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BA" w:rsidRPr="00C35D36" w:rsidRDefault="00522208" w:rsidP="00A35FBA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99</w:t>
      </w:r>
      <w:bookmarkStart w:id="0" w:name="_GoBack"/>
      <w:bookmarkEnd w:id="0"/>
      <w:r w:rsidR="00A35FBA">
        <w:rPr>
          <w:rFonts w:cs="Arial"/>
          <w:b/>
          <w:sz w:val="28"/>
          <w:szCs w:val="28"/>
          <w:lang w:val="es-ES_tradnl"/>
        </w:rPr>
        <w:t>6</w:t>
      </w:r>
      <w:r w:rsidR="00A35FBA" w:rsidRPr="00C35D36">
        <w:rPr>
          <w:rFonts w:cs="Arial"/>
          <w:b/>
          <w:sz w:val="28"/>
          <w:szCs w:val="28"/>
          <w:lang w:val="es-ES_tradnl"/>
        </w:rPr>
        <w:t>/18</w:t>
      </w:r>
    </w:p>
    <w:p w:rsidR="00A35FBA" w:rsidRPr="00C35D36" w:rsidRDefault="00A35FBA" w:rsidP="00A35FBA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35FBA" w:rsidRPr="00C35D36" w:rsidRDefault="00A35FBA" w:rsidP="00A35F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35D36">
        <w:rPr>
          <w:rFonts w:cs="Arial"/>
          <w:b/>
          <w:lang w:val="es-ES_tradnl"/>
        </w:rPr>
        <w:t>RESOLUCION ADOPTADA POR EL</w:t>
      </w:r>
    </w:p>
    <w:p w:rsidR="00A35FBA" w:rsidRPr="00C35D36" w:rsidRDefault="00A35FBA" w:rsidP="00A35FB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35FBA" w:rsidRPr="00C35D36" w:rsidRDefault="00A35FBA" w:rsidP="00A35F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35D36">
        <w:rPr>
          <w:rFonts w:cs="Arial"/>
          <w:b/>
          <w:lang w:val="es-ES_tradnl"/>
        </w:rPr>
        <w:t>TRIBUNAL DE CUENTAS</w:t>
      </w:r>
    </w:p>
    <w:p w:rsidR="00A35FBA" w:rsidRPr="00C35D36" w:rsidRDefault="00A35FBA" w:rsidP="00A35FB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35FBA" w:rsidRPr="00C35D36" w:rsidRDefault="00A35FBA" w:rsidP="00A35F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C35D36">
        <w:rPr>
          <w:rFonts w:cs="Arial"/>
          <w:b/>
          <w:lang w:val="es-ES_tradnl"/>
        </w:rPr>
        <w:t>EN SESION DE FECHA 14 DE MARZO DE 2018</w:t>
      </w:r>
    </w:p>
    <w:p w:rsidR="00A35FBA" w:rsidRPr="00C35D36" w:rsidRDefault="00A35FBA" w:rsidP="00A35F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35FBA" w:rsidRPr="00C35D36" w:rsidRDefault="00A35FBA" w:rsidP="00A35FBA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C35D36">
        <w:rPr>
          <w:rFonts w:cs="Arial"/>
          <w:b/>
          <w:lang w:val="en-US"/>
        </w:rPr>
        <w:t>(E. E. Nº</w:t>
      </w:r>
      <w:r w:rsidRPr="00C35D36">
        <w:rPr>
          <w:rFonts w:cs="Arial"/>
          <w:b/>
        </w:rPr>
        <w:t>201</w:t>
      </w:r>
      <w:r>
        <w:rPr>
          <w:rFonts w:cs="Arial"/>
          <w:b/>
        </w:rPr>
        <w:t>5</w:t>
      </w:r>
      <w:r w:rsidRPr="00C35D36">
        <w:rPr>
          <w:rFonts w:cs="Arial"/>
          <w:b/>
        </w:rPr>
        <w:t>-17-1-000</w:t>
      </w:r>
      <w:r>
        <w:rPr>
          <w:rFonts w:cs="Arial"/>
          <w:b/>
        </w:rPr>
        <w:t>7800</w:t>
      </w:r>
      <w:r w:rsidRPr="00C35D36">
        <w:rPr>
          <w:rFonts w:cs="Arial"/>
          <w:b/>
          <w:lang w:val="en-US"/>
        </w:rPr>
        <w:t>, Ent.</w:t>
      </w:r>
      <w:r>
        <w:rPr>
          <w:rFonts w:cs="Arial"/>
          <w:b/>
          <w:lang w:val="en-US"/>
        </w:rPr>
        <w:t>1127</w:t>
      </w:r>
      <w:r w:rsidRPr="00C35D36">
        <w:rPr>
          <w:b/>
        </w:rPr>
        <w:t>/18</w:t>
      </w:r>
      <w:r w:rsidRPr="00C35D36">
        <w:rPr>
          <w:rFonts w:cs="Arial"/>
          <w:b/>
          <w:lang w:val="en-US"/>
        </w:rPr>
        <w:t>)</w:t>
      </w:r>
    </w:p>
    <w:p w:rsidR="00A35FBA" w:rsidRDefault="00A35FBA" w:rsidP="000E4830">
      <w:pPr>
        <w:spacing w:line="360" w:lineRule="auto"/>
        <w:ind w:firstLine="708"/>
        <w:jc w:val="both"/>
        <w:rPr>
          <w:b/>
          <w:lang w:val="es-UY"/>
        </w:rPr>
      </w:pPr>
    </w:p>
    <w:p w:rsidR="000E4830" w:rsidRDefault="008E25E7" w:rsidP="000E4830">
      <w:pPr>
        <w:spacing w:line="360" w:lineRule="auto"/>
        <w:ind w:firstLine="708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 nuevas actuaciones remitidas por l</w:t>
      </w:r>
      <w:r w:rsidR="00D520BA">
        <w:rPr>
          <w:lang w:val="es-UY"/>
        </w:rPr>
        <w:t>a Dirección Nacional de Aduanas</w:t>
      </w:r>
      <w:r w:rsidR="00E1460F">
        <w:rPr>
          <w:lang w:val="es-UY"/>
        </w:rPr>
        <w:t xml:space="preserve"> </w:t>
      </w:r>
      <w:r w:rsidR="00C2291F">
        <w:rPr>
          <w:lang w:val="es-UY"/>
        </w:rPr>
        <w:t>(DNA)</w:t>
      </w:r>
      <w:r w:rsidR="00D520BA">
        <w:rPr>
          <w:lang w:val="es-UY"/>
        </w:rPr>
        <w:t xml:space="preserve">, </w:t>
      </w:r>
      <w:r w:rsidR="00F64EEE">
        <w:rPr>
          <w:lang w:val="es-UY"/>
        </w:rPr>
        <w:t xml:space="preserve">referentes al </w:t>
      </w:r>
      <w:r w:rsidR="00235ABE">
        <w:rPr>
          <w:lang w:val="es-UY"/>
        </w:rPr>
        <w:t>r</w:t>
      </w:r>
      <w:r w:rsidR="00F64EEE">
        <w:rPr>
          <w:lang w:val="es-UY"/>
        </w:rPr>
        <w:t xml:space="preserve">emate de mercaderías declarada en abandono, efectuado </w:t>
      </w:r>
      <w:r w:rsidR="00CF2B37">
        <w:rPr>
          <w:lang w:val="es-UY"/>
        </w:rPr>
        <w:t>17 de noviembre de 2015</w:t>
      </w:r>
      <w:r w:rsidR="00401727">
        <w:rPr>
          <w:lang w:val="es-UY"/>
        </w:rPr>
        <w:t xml:space="preserve"> por el rematador Germán Di </w:t>
      </w:r>
      <w:proofErr w:type="spellStart"/>
      <w:r w:rsidR="00401727">
        <w:rPr>
          <w:lang w:val="es-UY"/>
        </w:rPr>
        <w:t>Cicco</w:t>
      </w:r>
      <w:proofErr w:type="spellEnd"/>
      <w:r w:rsidR="000E4830">
        <w:rPr>
          <w:lang w:val="es-UY"/>
        </w:rPr>
        <w:t>;</w:t>
      </w:r>
    </w:p>
    <w:p w:rsidR="00C2291F" w:rsidRDefault="008E25E7" w:rsidP="00C2291F">
      <w:pPr>
        <w:spacing w:line="360" w:lineRule="auto"/>
        <w:ind w:firstLine="708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B84256" w:rsidRPr="00B84256">
        <w:rPr>
          <w:lang w:val="es-UY"/>
        </w:rPr>
        <w:t>que e</w:t>
      </w:r>
      <w:r w:rsidR="00C2291F">
        <w:rPr>
          <w:lang w:val="es-UY"/>
        </w:rPr>
        <w:t xml:space="preserve">ste Tribunal, en sesión de fecha 29/11/17, observó el procedimiento en virtud que no se </w:t>
      </w:r>
      <w:r w:rsidR="00C32C15">
        <w:rPr>
          <w:lang w:val="es-UY"/>
        </w:rPr>
        <w:t>había</w:t>
      </w:r>
      <w:r w:rsidR="00C2291F">
        <w:rPr>
          <w:lang w:val="es-UY"/>
        </w:rPr>
        <w:t xml:space="preserve"> dado cumplimiento a lo preceptuado por el </w:t>
      </w:r>
      <w:r w:rsidR="00C2291F" w:rsidRPr="00BE3B2B">
        <w:rPr>
          <w:lang w:val="es-UY"/>
        </w:rPr>
        <w:t>Artículo 53 del T.O.C.A.F</w:t>
      </w:r>
      <w:r w:rsidR="00C2291F">
        <w:rPr>
          <w:lang w:val="es-UY"/>
        </w:rPr>
        <w:t xml:space="preserve">. respecto a la antelación que debe existir entre la publicación realizada en el sitio Web de Compras y Contrataciones Estatales (efectuada con fecha 28.10.2015) y la fecha de apertura del remate (17.11.2015); </w:t>
      </w:r>
    </w:p>
    <w:p w:rsidR="00401727" w:rsidRDefault="00C2291F" w:rsidP="000E4830">
      <w:pPr>
        <w:spacing w:line="360" w:lineRule="auto"/>
        <w:ind w:firstLine="708"/>
        <w:jc w:val="both"/>
        <w:rPr>
          <w:lang w:val="es-UY"/>
        </w:rPr>
      </w:pPr>
      <w:r>
        <w:rPr>
          <w:lang w:val="es-UY"/>
        </w:rPr>
        <w:t xml:space="preserve">                                </w:t>
      </w:r>
      <w:r w:rsidRPr="00A448CC">
        <w:rPr>
          <w:b/>
          <w:lang w:val="es-UY"/>
        </w:rPr>
        <w:t>2)</w:t>
      </w:r>
      <w:r>
        <w:rPr>
          <w:lang w:val="es-UY"/>
        </w:rPr>
        <w:t xml:space="preserve"> que en l</w:t>
      </w:r>
      <w:r w:rsidR="00B84256" w:rsidRPr="006768F9">
        <w:rPr>
          <w:lang w:val="es-UY"/>
        </w:rPr>
        <w:t>a oportunidad</w:t>
      </w:r>
      <w:r w:rsidR="00235ABE">
        <w:rPr>
          <w:lang w:val="es-UY"/>
        </w:rPr>
        <w:t>,</w:t>
      </w:r>
      <w:r w:rsidR="00B84256" w:rsidRPr="006768F9">
        <w:rPr>
          <w:lang w:val="es-UY"/>
        </w:rPr>
        <w:t xml:space="preserve"> se remite</w:t>
      </w:r>
      <w:r>
        <w:rPr>
          <w:lang w:val="es-UY"/>
        </w:rPr>
        <w:t xml:space="preserve"> Resolución de la </w:t>
      </w:r>
      <w:r w:rsidR="00401727">
        <w:rPr>
          <w:lang w:val="es-UY"/>
        </w:rPr>
        <w:t>Dirección</w:t>
      </w:r>
      <w:r>
        <w:rPr>
          <w:lang w:val="es-UY"/>
        </w:rPr>
        <w:t xml:space="preserve"> Nacional de Aduanas </w:t>
      </w:r>
      <w:r w:rsidR="00401727">
        <w:rPr>
          <w:lang w:val="es-UY"/>
        </w:rPr>
        <w:t>de fecha 26/02/2018, por la que se reitera el procedimiento de remate observado;</w:t>
      </w:r>
    </w:p>
    <w:p w:rsidR="00A448CC" w:rsidRDefault="00401727" w:rsidP="00A448CC">
      <w:pPr>
        <w:spacing w:line="360" w:lineRule="auto"/>
        <w:ind w:firstLine="708"/>
        <w:jc w:val="both"/>
        <w:rPr>
          <w:lang w:val="es-UY"/>
        </w:rPr>
      </w:pPr>
      <w:r>
        <w:rPr>
          <w:lang w:val="es-UY"/>
        </w:rPr>
        <w:t xml:space="preserve">                               </w:t>
      </w:r>
      <w:r w:rsidRPr="00A448CC">
        <w:rPr>
          <w:b/>
          <w:lang w:val="es-UY"/>
        </w:rPr>
        <w:t>3)</w:t>
      </w:r>
      <w:r>
        <w:rPr>
          <w:lang w:val="es-UY"/>
        </w:rPr>
        <w:t xml:space="preserve"> que </w:t>
      </w:r>
      <w:r w:rsidR="00753345">
        <w:rPr>
          <w:lang w:val="es-UY"/>
        </w:rPr>
        <w:t>los</w:t>
      </w:r>
      <w:r>
        <w:rPr>
          <w:lang w:val="es-UY"/>
        </w:rPr>
        <w:t xml:space="preserve"> argumento</w:t>
      </w:r>
      <w:r w:rsidR="00753345">
        <w:rPr>
          <w:lang w:val="es-UY"/>
        </w:rPr>
        <w:t>s</w:t>
      </w:r>
      <w:r>
        <w:rPr>
          <w:lang w:val="es-UY"/>
        </w:rPr>
        <w:t xml:space="preserve"> vertido</w:t>
      </w:r>
      <w:r w:rsidR="00753345">
        <w:rPr>
          <w:lang w:val="es-UY"/>
        </w:rPr>
        <w:t>s</w:t>
      </w:r>
      <w:r>
        <w:rPr>
          <w:lang w:val="es-UY"/>
        </w:rPr>
        <w:t xml:space="preserve"> en dicha resolución expresa</w:t>
      </w:r>
      <w:r w:rsidR="00753345">
        <w:rPr>
          <w:lang w:val="es-UY"/>
        </w:rPr>
        <w:t>n</w:t>
      </w:r>
      <w:r w:rsidR="00A448CC">
        <w:rPr>
          <w:lang w:val="es-UY"/>
        </w:rPr>
        <w:t xml:space="preserve"> que</w:t>
      </w:r>
      <w:r w:rsidR="003A5CBF">
        <w:rPr>
          <w:lang w:val="es-UY"/>
        </w:rPr>
        <w:t xml:space="preserve"> </w:t>
      </w:r>
      <w:r w:rsidR="00A448CC">
        <w:rPr>
          <w:rFonts w:cs="Arial"/>
        </w:rPr>
        <w:t xml:space="preserve">no es posible dar cumplimiento con las publicaciones omitidas,  </w:t>
      </w:r>
      <w:r w:rsidR="003A5CBF">
        <w:rPr>
          <w:rFonts w:cs="Arial"/>
        </w:rPr>
        <w:t>y que</w:t>
      </w:r>
      <w:r w:rsidR="00A448CC">
        <w:rPr>
          <w:rFonts w:cs="Arial"/>
        </w:rPr>
        <w:t xml:space="preserve"> </w:t>
      </w:r>
      <w:r>
        <w:rPr>
          <w:lang w:val="es-UY"/>
        </w:rPr>
        <w:t>se procedió</w:t>
      </w:r>
      <w:r w:rsidR="00A448CC">
        <w:rPr>
          <w:lang w:val="es-UY"/>
        </w:rPr>
        <w:t xml:space="preserve"> </w:t>
      </w:r>
      <w:r w:rsidR="003A5CBF">
        <w:rPr>
          <w:lang w:val="es-UY"/>
        </w:rPr>
        <w:t>-</w:t>
      </w:r>
      <w:r w:rsidR="00A448CC">
        <w:rPr>
          <w:lang w:val="es-UY"/>
        </w:rPr>
        <w:t xml:space="preserve">a partir de </w:t>
      </w:r>
      <w:r w:rsidR="00EC7077">
        <w:rPr>
          <w:lang w:val="es-UY"/>
        </w:rPr>
        <w:t>la</w:t>
      </w:r>
      <w:r w:rsidR="00A448CC">
        <w:rPr>
          <w:lang w:val="es-UY"/>
        </w:rPr>
        <w:t xml:space="preserve"> observación</w:t>
      </w:r>
      <w:r w:rsidR="003A5CBF">
        <w:rPr>
          <w:lang w:val="es-UY"/>
        </w:rPr>
        <w:t>-</w:t>
      </w:r>
      <w:r w:rsidR="00A448CC">
        <w:rPr>
          <w:lang w:val="es-UY"/>
        </w:rPr>
        <w:t xml:space="preserve"> a cumplir con la publicidad con la anterioridad que la misma requiere en los siguientes procedimientos</w:t>
      </w:r>
      <w:r w:rsidR="003A5CBF">
        <w:rPr>
          <w:lang w:val="es-UY"/>
        </w:rPr>
        <w:t>;</w:t>
      </w:r>
    </w:p>
    <w:p w:rsidR="003A5CBF" w:rsidRPr="009201EF" w:rsidRDefault="00E1460F" w:rsidP="003A5CBF">
      <w:pPr>
        <w:spacing w:line="360" w:lineRule="auto"/>
        <w:jc w:val="both"/>
        <w:rPr>
          <w:rFonts w:cs="Arial"/>
        </w:rPr>
      </w:pPr>
      <w:r>
        <w:rPr>
          <w:b/>
          <w:lang w:val="es-UY"/>
        </w:rPr>
        <w:tab/>
        <w:t>C</w:t>
      </w:r>
      <w:r w:rsidR="00C1484E" w:rsidRPr="003C61E3">
        <w:rPr>
          <w:b/>
          <w:lang w:val="es-UY"/>
        </w:rPr>
        <w:t xml:space="preserve">ONSIDERANDO: </w:t>
      </w:r>
      <w:r w:rsidR="00753345" w:rsidRPr="00753345">
        <w:rPr>
          <w:lang w:val="es-UY"/>
        </w:rPr>
        <w:t>que</w:t>
      </w:r>
      <w:r w:rsidR="00753345">
        <w:rPr>
          <w:lang w:val="es-UY"/>
        </w:rPr>
        <w:t xml:space="preserve"> el cumplimiento del artículo 53 del TOCAF es de</w:t>
      </w:r>
      <w:r w:rsidR="003A5CBF">
        <w:rPr>
          <w:lang w:val="es-UY"/>
        </w:rPr>
        <w:t xml:space="preserve"> precepto</w:t>
      </w:r>
      <w:r w:rsidR="00753345">
        <w:rPr>
          <w:lang w:val="es-UY"/>
        </w:rPr>
        <w:t>, no conmoviendo los fundamentos expuestos la base de la</w:t>
      </w:r>
      <w:r w:rsidR="003A5CBF">
        <w:rPr>
          <w:lang w:val="es-UY"/>
        </w:rPr>
        <w:t xml:space="preserve"> </w:t>
      </w:r>
      <w:r w:rsidR="00753345">
        <w:rPr>
          <w:lang w:val="es-UY"/>
        </w:rPr>
        <w:t>observación del procedimiento</w:t>
      </w:r>
      <w:r w:rsidR="003A5CBF">
        <w:rPr>
          <w:lang w:val="es-UY"/>
        </w:rPr>
        <w:t>, la cual es de carácter insubsanable;</w:t>
      </w:r>
    </w:p>
    <w:p w:rsidR="002A537A" w:rsidRPr="002A537A" w:rsidRDefault="00C1484E" w:rsidP="002A537A">
      <w:pPr>
        <w:spacing w:line="360" w:lineRule="auto"/>
        <w:ind w:firstLine="708"/>
        <w:jc w:val="both"/>
        <w:rPr>
          <w:rFonts w:cs="Arial"/>
          <w:bCs/>
        </w:rPr>
      </w:pPr>
      <w:r w:rsidRPr="009C042C">
        <w:rPr>
          <w:b/>
          <w:lang w:val="es-UY"/>
        </w:rPr>
        <w:t>ATENTO:</w:t>
      </w:r>
      <w:r w:rsidRPr="009C042C">
        <w:rPr>
          <w:lang w:val="es-UY"/>
        </w:rPr>
        <w:t xml:space="preserve"> </w:t>
      </w:r>
      <w:r w:rsidR="002A537A" w:rsidRPr="002A537A">
        <w:rPr>
          <w:rFonts w:cs="Arial"/>
        </w:rPr>
        <w:t xml:space="preserve">a lo precedentemente expuesto y a lo dispuesto por el Artículo 211 Literal </w:t>
      </w:r>
      <w:r w:rsidR="003A5CBF">
        <w:rPr>
          <w:rFonts w:cs="Arial"/>
        </w:rPr>
        <w:t>E</w:t>
      </w:r>
      <w:r w:rsidR="002A537A" w:rsidRPr="002A537A">
        <w:rPr>
          <w:rFonts w:cs="Arial"/>
        </w:rPr>
        <w:t>) de la Constitución de la República;</w:t>
      </w:r>
    </w:p>
    <w:p w:rsidR="00C1484E" w:rsidRPr="00E1460F" w:rsidRDefault="00C1484E" w:rsidP="00C1484E">
      <w:pPr>
        <w:spacing w:line="360" w:lineRule="auto"/>
        <w:jc w:val="both"/>
      </w:pPr>
    </w:p>
    <w:p w:rsidR="00C1484E" w:rsidRPr="00A35FBA" w:rsidRDefault="00C1484E" w:rsidP="00A35FBA">
      <w:pPr>
        <w:spacing w:line="360" w:lineRule="auto"/>
        <w:jc w:val="center"/>
        <w:rPr>
          <w:b/>
          <w:lang w:val="es-UY"/>
        </w:rPr>
      </w:pPr>
      <w:r w:rsidRPr="009C042C">
        <w:rPr>
          <w:b/>
          <w:lang w:val="es-UY"/>
        </w:rPr>
        <w:lastRenderedPageBreak/>
        <w:t>EL TRIBUNAL ACUERDA</w:t>
      </w:r>
    </w:p>
    <w:p w:rsidR="004B6FFB" w:rsidRPr="004B6FFB" w:rsidRDefault="004B6FFB" w:rsidP="00A35FBA">
      <w:pPr>
        <w:pStyle w:val="Prrafodelista"/>
        <w:numPr>
          <w:ilvl w:val="0"/>
          <w:numId w:val="9"/>
        </w:numPr>
        <w:spacing w:line="360" w:lineRule="auto"/>
        <w:ind w:left="284" w:hanging="284"/>
        <w:jc w:val="both"/>
        <w:rPr>
          <w:rFonts w:cs="Arial"/>
        </w:rPr>
      </w:pPr>
      <w:r w:rsidRPr="004B6FFB">
        <w:rPr>
          <w:rFonts w:cs="Arial"/>
        </w:rPr>
        <w:t xml:space="preserve">Mantener la observación  dispuesta por este Tribunal en su Acuerdo del </w:t>
      </w:r>
      <w:r>
        <w:rPr>
          <w:lang w:val="es-UY"/>
        </w:rPr>
        <w:t>29 de noviembre de 2017</w:t>
      </w:r>
      <w:r w:rsidRPr="004B6FFB">
        <w:rPr>
          <w:rFonts w:cs="Arial"/>
        </w:rPr>
        <w:t>;</w:t>
      </w:r>
    </w:p>
    <w:p w:rsidR="003A5CBF" w:rsidRDefault="004B6FFB" w:rsidP="00A35FBA">
      <w:pPr>
        <w:pStyle w:val="Prrafodelista"/>
        <w:numPr>
          <w:ilvl w:val="0"/>
          <w:numId w:val="9"/>
        </w:numPr>
        <w:tabs>
          <w:tab w:val="left" w:pos="709"/>
        </w:tabs>
        <w:spacing w:line="360" w:lineRule="auto"/>
        <w:ind w:left="360"/>
        <w:jc w:val="both"/>
        <w:rPr>
          <w:rFonts w:cs="Arial"/>
        </w:rPr>
      </w:pPr>
      <w:r w:rsidRPr="003A5CBF">
        <w:rPr>
          <w:rFonts w:cs="Arial"/>
        </w:rPr>
        <w:t>Comunicar a la Contadora Auditora en el Ministerio de Economía y Finanzas</w:t>
      </w:r>
      <w:r w:rsidR="003A5CBF">
        <w:rPr>
          <w:rFonts w:cs="Arial"/>
        </w:rPr>
        <w:t>;</w:t>
      </w:r>
    </w:p>
    <w:p w:rsidR="004B6FFB" w:rsidRPr="003A5CBF" w:rsidRDefault="00A35FBA" w:rsidP="00A35FBA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Devolver las actuaciones.</w:t>
      </w:r>
    </w:p>
    <w:p w:rsidR="00A91CA1" w:rsidRPr="00A35FBA" w:rsidRDefault="00A35FBA" w:rsidP="00A35FBA">
      <w:pPr>
        <w:suppressAutoHyphens/>
        <w:spacing w:line="360" w:lineRule="auto"/>
        <w:rPr>
          <w:i/>
          <w:spacing w:val="-3"/>
          <w:sz w:val="20"/>
          <w:szCs w:val="20"/>
          <w:lang w:val="es-ES_tradnl"/>
        </w:rPr>
      </w:pPr>
      <w:r>
        <w:rPr>
          <w:spacing w:val="-3"/>
          <w:sz w:val="20"/>
          <w:szCs w:val="20"/>
          <w:lang w:val="es-ES_tradnl"/>
        </w:rPr>
        <w:t>CLC</w:t>
      </w: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CF2B37" w:rsidRDefault="00CF2B37" w:rsidP="00984BC8"/>
    <w:p w:rsidR="00CF2B37" w:rsidRDefault="00CF2B37" w:rsidP="00984BC8"/>
    <w:p w:rsidR="00CF2B37" w:rsidRDefault="00CF2B37" w:rsidP="00984BC8"/>
    <w:p w:rsidR="00CF2B37" w:rsidRDefault="00CF2B37" w:rsidP="00984BC8"/>
    <w:p w:rsidR="00CF2B37" w:rsidRDefault="00CF2B37" w:rsidP="00984BC8"/>
    <w:p w:rsidR="005D3CEA" w:rsidRDefault="005D3CEA" w:rsidP="005D3CEA">
      <w:pPr>
        <w:rPr>
          <w:lang w:val="es-ES_tradnl"/>
        </w:rPr>
      </w:pPr>
    </w:p>
    <w:p w:rsidR="008E25E7" w:rsidRDefault="008E25E7" w:rsidP="005D3CEA">
      <w:pPr>
        <w:spacing w:line="360" w:lineRule="auto"/>
        <w:rPr>
          <w:lang w:val="es-UY"/>
        </w:rPr>
      </w:pPr>
    </w:p>
    <w:p w:rsidR="00BB26B9" w:rsidRDefault="00BB26B9"/>
    <w:sectPr w:rsidR="00BB26B9" w:rsidSect="003F0200">
      <w:footerReference w:type="even" r:id="rId9"/>
      <w:footerReference w:type="default" r:id="rId10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F8" w:rsidRDefault="008174F8">
      <w:r>
        <w:separator/>
      </w:r>
    </w:p>
  </w:endnote>
  <w:endnote w:type="continuationSeparator" w:id="0">
    <w:p w:rsidR="008174F8" w:rsidRDefault="0081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59" w:rsidRDefault="004E4C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4C59" w:rsidRDefault="004E4C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59" w:rsidRDefault="004E4C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020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4C59" w:rsidRDefault="004E4C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F8" w:rsidRDefault="008174F8">
      <w:r>
        <w:separator/>
      </w:r>
    </w:p>
  </w:footnote>
  <w:footnote w:type="continuationSeparator" w:id="0">
    <w:p w:rsidR="008174F8" w:rsidRDefault="0081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EB140B30"/>
    <w:lvl w:ilvl="0" w:tplc="B16640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47E70"/>
    <w:rsid w:val="00096F07"/>
    <w:rsid w:val="000B3713"/>
    <w:rsid w:val="000D353B"/>
    <w:rsid w:val="000E4830"/>
    <w:rsid w:val="00142088"/>
    <w:rsid w:val="00142202"/>
    <w:rsid w:val="001657B2"/>
    <w:rsid w:val="00177A3A"/>
    <w:rsid w:val="001C0457"/>
    <w:rsid w:val="001D4544"/>
    <w:rsid w:val="001E16CA"/>
    <w:rsid w:val="001F1966"/>
    <w:rsid w:val="002014E3"/>
    <w:rsid w:val="00235ABE"/>
    <w:rsid w:val="00246FBE"/>
    <w:rsid w:val="002A1454"/>
    <w:rsid w:val="002A537A"/>
    <w:rsid w:val="002B7FBE"/>
    <w:rsid w:val="00322421"/>
    <w:rsid w:val="00325077"/>
    <w:rsid w:val="003305C4"/>
    <w:rsid w:val="00342586"/>
    <w:rsid w:val="00351EC1"/>
    <w:rsid w:val="003A4EE4"/>
    <w:rsid w:val="003A5CBF"/>
    <w:rsid w:val="003B25F0"/>
    <w:rsid w:val="003C4F90"/>
    <w:rsid w:val="003D7043"/>
    <w:rsid w:val="003F0200"/>
    <w:rsid w:val="00401727"/>
    <w:rsid w:val="00415A6F"/>
    <w:rsid w:val="0041797D"/>
    <w:rsid w:val="00427D14"/>
    <w:rsid w:val="00440C3C"/>
    <w:rsid w:val="004436DC"/>
    <w:rsid w:val="00482A1E"/>
    <w:rsid w:val="00482FD9"/>
    <w:rsid w:val="004B6AA7"/>
    <w:rsid w:val="004B6FFB"/>
    <w:rsid w:val="004B73DC"/>
    <w:rsid w:val="004D4E70"/>
    <w:rsid w:val="004E4C59"/>
    <w:rsid w:val="0051321C"/>
    <w:rsid w:val="00522208"/>
    <w:rsid w:val="0054614B"/>
    <w:rsid w:val="00550FD6"/>
    <w:rsid w:val="005543B7"/>
    <w:rsid w:val="00554A4D"/>
    <w:rsid w:val="00570D82"/>
    <w:rsid w:val="00591433"/>
    <w:rsid w:val="005A47B6"/>
    <w:rsid w:val="005D3CEA"/>
    <w:rsid w:val="006118E6"/>
    <w:rsid w:val="0065598E"/>
    <w:rsid w:val="006768F9"/>
    <w:rsid w:val="006827D8"/>
    <w:rsid w:val="0069698B"/>
    <w:rsid w:val="007014C0"/>
    <w:rsid w:val="00753345"/>
    <w:rsid w:val="00794F88"/>
    <w:rsid w:val="00797BE8"/>
    <w:rsid w:val="007F0065"/>
    <w:rsid w:val="00801306"/>
    <w:rsid w:val="00805833"/>
    <w:rsid w:val="008174F8"/>
    <w:rsid w:val="00832752"/>
    <w:rsid w:val="008407EF"/>
    <w:rsid w:val="00841AD4"/>
    <w:rsid w:val="00870FEB"/>
    <w:rsid w:val="008C36B8"/>
    <w:rsid w:val="008C51BA"/>
    <w:rsid w:val="008E25E7"/>
    <w:rsid w:val="008F419E"/>
    <w:rsid w:val="00900D89"/>
    <w:rsid w:val="00965303"/>
    <w:rsid w:val="00984BC8"/>
    <w:rsid w:val="009C042C"/>
    <w:rsid w:val="009C3230"/>
    <w:rsid w:val="009C7EFB"/>
    <w:rsid w:val="00A35FBA"/>
    <w:rsid w:val="00A448CC"/>
    <w:rsid w:val="00A54085"/>
    <w:rsid w:val="00A67E42"/>
    <w:rsid w:val="00A86D86"/>
    <w:rsid w:val="00A91CA1"/>
    <w:rsid w:val="00B218B9"/>
    <w:rsid w:val="00B55C75"/>
    <w:rsid w:val="00B56EF4"/>
    <w:rsid w:val="00B82A9D"/>
    <w:rsid w:val="00B84256"/>
    <w:rsid w:val="00BB26B9"/>
    <w:rsid w:val="00BB371B"/>
    <w:rsid w:val="00BB69A9"/>
    <w:rsid w:val="00BE1988"/>
    <w:rsid w:val="00BE3B2B"/>
    <w:rsid w:val="00C1484E"/>
    <w:rsid w:val="00C20393"/>
    <w:rsid w:val="00C2213F"/>
    <w:rsid w:val="00C2291F"/>
    <w:rsid w:val="00C32C15"/>
    <w:rsid w:val="00C45626"/>
    <w:rsid w:val="00C572B3"/>
    <w:rsid w:val="00C904D4"/>
    <w:rsid w:val="00CA177E"/>
    <w:rsid w:val="00CB64D7"/>
    <w:rsid w:val="00CD2B69"/>
    <w:rsid w:val="00CF1714"/>
    <w:rsid w:val="00CF2B37"/>
    <w:rsid w:val="00CF6FC6"/>
    <w:rsid w:val="00D0514E"/>
    <w:rsid w:val="00D261B2"/>
    <w:rsid w:val="00D26B9C"/>
    <w:rsid w:val="00D3304E"/>
    <w:rsid w:val="00D44662"/>
    <w:rsid w:val="00D51374"/>
    <w:rsid w:val="00D520BA"/>
    <w:rsid w:val="00DC4365"/>
    <w:rsid w:val="00E1460F"/>
    <w:rsid w:val="00E74699"/>
    <w:rsid w:val="00EC7077"/>
    <w:rsid w:val="00F0067C"/>
    <w:rsid w:val="00F01F43"/>
    <w:rsid w:val="00F61AB6"/>
    <w:rsid w:val="00F63EC6"/>
    <w:rsid w:val="00F64EEE"/>
    <w:rsid w:val="00F7346C"/>
    <w:rsid w:val="00F8512E"/>
    <w:rsid w:val="00F8530A"/>
    <w:rsid w:val="00F976F1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241F-EDEF-422F-BF34-34BB6A44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5</cp:revision>
  <cp:lastPrinted>2018-03-21T15:25:00Z</cp:lastPrinted>
  <dcterms:created xsi:type="dcterms:W3CDTF">2018-03-21T15:10:00Z</dcterms:created>
  <dcterms:modified xsi:type="dcterms:W3CDTF">2018-03-21T15:25:00Z</dcterms:modified>
</cp:coreProperties>
</file>