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B4E" w:rsidRPr="00786EEB" w:rsidRDefault="00EB5B4E" w:rsidP="00DC5833">
      <w:pPr>
        <w:tabs>
          <w:tab w:val="center" w:pos="4253"/>
        </w:tabs>
        <w:suppressAutoHyphens/>
        <w:jc w:val="right"/>
        <w:rPr>
          <w:rFonts w:cs="Arial"/>
          <w:b/>
          <w:sz w:val="28"/>
          <w:szCs w:val="28"/>
          <w:lang w:val="es-ES_tradnl"/>
        </w:rPr>
      </w:pPr>
      <w:r>
        <w:rPr>
          <w:rFonts w:cs="Arial"/>
          <w:b/>
          <w:sz w:val="28"/>
          <w:szCs w:val="28"/>
          <w:lang w:val="es-ES_tradnl"/>
        </w:rPr>
        <w:t>RES. 985/18</w:t>
      </w:r>
    </w:p>
    <w:p w:rsidR="00EB5B4E" w:rsidRPr="00762B34" w:rsidRDefault="00EB5B4E">
      <w:pPr>
        <w:tabs>
          <w:tab w:val="center" w:pos="4253"/>
        </w:tabs>
        <w:suppressAutoHyphens/>
        <w:jc w:val="center"/>
        <w:rPr>
          <w:rFonts w:cs="Arial"/>
          <w:b/>
          <w:lang w:val="es-ES_tradnl"/>
        </w:rPr>
      </w:pPr>
      <w:r w:rsidRPr="00762B34">
        <w:rPr>
          <w:rFonts w:cs="Arial"/>
          <w:b/>
          <w:lang w:val="es-ES_tradnl"/>
        </w:rPr>
        <w:t>RESOLUCION ADOPTADA POR EL</w:t>
      </w:r>
    </w:p>
    <w:p w:rsidR="00EB5B4E" w:rsidRPr="00762B34" w:rsidRDefault="00EB5B4E">
      <w:pPr>
        <w:tabs>
          <w:tab w:val="left" w:pos="-720"/>
        </w:tabs>
        <w:suppressAutoHyphens/>
        <w:jc w:val="center"/>
        <w:rPr>
          <w:rFonts w:cs="Arial"/>
          <w:b/>
          <w:lang w:val="es-ES_tradnl"/>
        </w:rPr>
      </w:pPr>
    </w:p>
    <w:p w:rsidR="00EB5B4E" w:rsidRPr="00762B34" w:rsidRDefault="00EB5B4E">
      <w:pPr>
        <w:tabs>
          <w:tab w:val="center" w:pos="4253"/>
        </w:tabs>
        <w:suppressAutoHyphens/>
        <w:jc w:val="center"/>
        <w:rPr>
          <w:rFonts w:cs="Arial"/>
          <w:b/>
          <w:lang w:val="es-ES_tradnl"/>
        </w:rPr>
      </w:pPr>
      <w:r w:rsidRPr="00762B34">
        <w:rPr>
          <w:rFonts w:cs="Arial"/>
          <w:b/>
          <w:lang w:val="es-ES_tradnl"/>
        </w:rPr>
        <w:t>TRIBUNAL DE CUENTAS</w:t>
      </w:r>
    </w:p>
    <w:p w:rsidR="00EB5B4E" w:rsidRPr="00762B34" w:rsidRDefault="00EB5B4E">
      <w:pPr>
        <w:tabs>
          <w:tab w:val="left" w:pos="-720"/>
        </w:tabs>
        <w:suppressAutoHyphens/>
        <w:jc w:val="center"/>
        <w:rPr>
          <w:rFonts w:cs="Arial"/>
          <w:b/>
          <w:lang w:val="es-ES_tradnl"/>
        </w:rPr>
      </w:pPr>
    </w:p>
    <w:p w:rsidR="00EB5B4E" w:rsidRPr="00762B34" w:rsidRDefault="00EB5B4E">
      <w:pPr>
        <w:tabs>
          <w:tab w:val="center" w:pos="4253"/>
        </w:tabs>
        <w:suppressAutoHyphens/>
        <w:jc w:val="center"/>
        <w:rPr>
          <w:rFonts w:cs="Arial"/>
          <w:b/>
          <w:lang w:val="es-ES_tradnl"/>
        </w:rPr>
      </w:pPr>
      <w:r w:rsidRPr="00762B34">
        <w:rPr>
          <w:rFonts w:cs="Arial"/>
          <w:b/>
          <w:lang w:val="es-ES_tradnl"/>
        </w:rPr>
        <w:t xml:space="preserve">EN SESION DE FECHA </w:t>
      </w:r>
      <w:r>
        <w:rPr>
          <w:rFonts w:cs="Arial"/>
          <w:b/>
          <w:lang w:val="es-ES_tradnl"/>
        </w:rPr>
        <w:t xml:space="preserve">14 DE MARZO </w:t>
      </w:r>
      <w:r>
        <w:rPr>
          <w:rFonts w:ascii="Helvetica" w:hAnsi="Helvetica"/>
          <w:b/>
          <w:lang w:val="es-ES_tradnl"/>
        </w:rPr>
        <w:t>DE 2018</w:t>
      </w:r>
    </w:p>
    <w:p w:rsidR="00EB5B4E" w:rsidRPr="00762B34" w:rsidRDefault="00EB5B4E">
      <w:pPr>
        <w:tabs>
          <w:tab w:val="center" w:pos="4253"/>
        </w:tabs>
        <w:suppressAutoHyphens/>
        <w:jc w:val="center"/>
        <w:rPr>
          <w:rFonts w:cs="Arial"/>
          <w:b/>
          <w:lang w:val="es-ES_tradnl"/>
        </w:rPr>
      </w:pPr>
    </w:p>
    <w:p w:rsidR="00EB5B4E" w:rsidRPr="00060287" w:rsidRDefault="00EB5B4E">
      <w:pPr>
        <w:tabs>
          <w:tab w:val="center" w:pos="4253"/>
        </w:tabs>
        <w:suppressAutoHyphens/>
        <w:jc w:val="center"/>
        <w:rPr>
          <w:rFonts w:cs="Arial"/>
          <w:b/>
          <w:lang w:val="es-UY"/>
        </w:rPr>
      </w:pPr>
      <w:r w:rsidRPr="00060287">
        <w:rPr>
          <w:rFonts w:cs="Arial"/>
          <w:b/>
          <w:lang w:val="es-UY"/>
        </w:rPr>
        <w:t xml:space="preserve">(E. E. Nº 2017-17-1-0006774, </w:t>
      </w:r>
      <w:proofErr w:type="spellStart"/>
      <w:r w:rsidRPr="00060287">
        <w:rPr>
          <w:rFonts w:cs="Arial"/>
          <w:b/>
          <w:lang w:val="es-UY"/>
        </w:rPr>
        <w:t>Ent</w:t>
      </w:r>
      <w:proofErr w:type="spellEnd"/>
      <w:r w:rsidRPr="00060287">
        <w:rPr>
          <w:rFonts w:cs="Arial"/>
          <w:b/>
          <w:lang w:val="es-UY"/>
        </w:rPr>
        <w:t xml:space="preserve">. N° </w:t>
      </w:r>
      <w:r w:rsidR="00060287" w:rsidRPr="00060287">
        <w:rPr>
          <w:rFonts w:cs="Arial"/>
          <w:b/>
          <w:lang w:val="es-UY"/>
        </w:rPr>
        <w:t>907</w:t>
      </w:r>
      <w:r w:rsidRPr="00060287">
        <w:rPr>
          <w:rFonts w:cs="Arial"/>
          <w:b/>
          <w:lang w:val="es-UY"/>
        </w:rPr>
        <w:t>/18)</w:t>
      </w:r>
    </w:p>
    <w:p w:rsidR="00EB5B4E" w:rsidRPr="00060287" w:rsidRDefault="00EB5B4E">
      <w:pPr>
        <w:rPr>
          <w:lang w:val="es-UY"/>
        </w:rPr>
      </w:pPr>
    </w:p>
    <w:p w:rsidR="00EB5B4E" w:rsidRDefault="00EB5B4E" w:rsidP="008A2F31">
      <w:pPr>
        <w:tabs>
          <w:tab w:val="left" w:pos="-720"/>
        </w:tabs>
        <w:suppressAutoHyphens/>
        <w:spacing w:line="360" w:lineRule="auto"/>
        <w:jc w:val="both"/>
        <w:rPr>
          <w:b/>
          <w:spacing w:val="-3"/>
          <w:lang w:val="es-ES_tradnl"/>
        </w:rPr>
      </w:pPr>
    </w:p>
    <w:p w:rsidR="008A2F31" w:rsidRPr="00C13B23" w:rsidRDefault="00E12F86" w:rsidP="008A2F31">
      <w:pPr>
        <w:tabs>
          <w:tab w:val="left" w:pos="-720"/>
        </w:tabs>
        <w:suppressAutoHyphens/>
        <w:spacing w:line="360" w:lineRule="auto"/>
        <w:jc w:val="both"/>
      </w:pPr>
      <w:r>
        <w:rPr>
          <w:b/>
          <w:spacing w:val="-3"/>
          <w:lang w:val="es-ES_tradnl"/>
        </w:rPr>
        <w:tab/>
      </w:r>
      <w:r w:rsidR="008A2F31" w:rsidRPr="00E304A1">
        <w:rPr>
          <w:b/>
          <w:spacing w:val="-3"/>
          <w:lang w:val="es-ES_tradnl"/>
        </w:rPr>
        <w:t>VISTO:</w:t>
      </w:r>
      <w:r w:rsidR="008A2F31" w:rsidRPr="00C13B23">
        <w:rPr>
          <w:spacing w:val="-3"/>
          <w:lang w:val="es-ES_tradnl"/>
        </w:rPr>
        <w:t xml:space="preserve"> estos antecedentes remitidos por la </w:t>
      </w:r>
      <w:r w:rsidR="008A2F31" w:rsidRPr="00C13B23">
        <w:t>Administración Nacional de Combustibles</w:t>
      </w:r>
      <w:r w:rsidR="00060287">
        <w:t>,</w:t>
      </w:r>
      <w:r w:rsidR="008A2F31" w:rsidRPr="00C13B23">
        <w:t xml:space="preserve"> Alcohol y Portland (ANCAP), relacionados con el acuerdo transaccional </w:t>
      </w:r>
      <w:r w:rsidR="008A2F31">
        <w:t xml:space="preserve">a </w:t>
      </w:r>
      <w:r w:rsidR="008A2F31" w:rsidRPr="00C13B23">
        <w:t>celebra</w:t>
      </w:r>
      <w:r w:rsidR="008A2F31">
        <w:t>r</w:t>
      </w:r>
      <w:r w:rsidR="008A2F31" w:rsidRPr="00C13B23">
        <w:t xml:space="preserve"> con la</w:t>
      </w:r>
      <w:r w:rsidR="00060287">
        <w:t>s</w:t>
      </w:r>
      <w:r w:rsidR="008A2F31" w:rsidRPr="00C13B23">
        <w:t xml:space="preserve"> empresa</w:t>
      </w:r>
      <w:r w:rsidR="008A2F31">
        <w:t>s FL SMIDHT, NL SUPERVISION COMPANY A/S (Dinamarca) y NL SUPERVISION COMPANY A/S Sucursal Uruguay;</w:t>
      </w:r>
    </w:p>
    <w:p w:rsidR="008A2F31" w:rsidRDefault="008A2F31" w:rsidP="00E12F86">
      <w:pPr>
        <w:spacing w:line="360" w:lineRule="auto"/>
        <w:ind w:firstLine="708"/>
        <w:jc w:val="both"/>
      </w:pPr>
      <w:r w:rsidRPr="00E304A1">
        <w:rPr>
          <w:b/>
        </w:rPr>
        <w:t>RESULTANDO:</w:t>
      </w:r>
      <w:r w:rsidRPr="00C13B23">
        <w:t xml:space="preserve"> </w:t>
      </w:r>
      <w:r w:rsidRPr="001B44A3">
        <w:rPr>
          <w:b/>
        </w:rPr>
        <w:t>1</w:t>
      </w:r>
      <w:r w:rsidRPr="001B44A3">
        <w:rPr>
          <w:b/>
          <w:bCs/>
        </w:rPr>
        <w:t>)</w:t>
      </w:r>
      <w:r w:rsidRPr="00C13B23">
        <w:rPr>
          <w:bCs/>
        </w:rPr>
        <w:t xml:space="preserve"> </w:t>
      </w:r>
      <w:r w:rsidRPr="00C13B23">
        <w:t>que</w:t>
      </w:r>
      <w:r>
        <w:t xml:space="preserve"> por Resolución del Directorio de ANCAP </w:t>
      </w:r>
      <w:r w:rsidR="00060287">
        <w:t xml:space="preserve">         </w:t>
      </w:r>
      <w:r>
        <w:t>Nº 273/4/09 del 1/4/09, ANCAP adjudic</w:t>
      </w:r>
      <w:r w:rsidR="006426C4">
        <w:t>ó</w:t>
      </w:r>
      <w:r>
        <w:t xml:space="preserve"> a la firma VIMAR SRL, en representación de FL SMIDTH, la compra directa por excepción Nº 2700004300 relativa a la contratación del proyecto, servicio de  ingeniería y suministro de equipos para la instalación de una planta de molienda de carbón en fábrica de Paysandú por un monto de</w:t>
      </w:r>
      <w:r w:rsidR="00060287">
        <w:t xml:space="preserve"> </w:t>
      </w:r>
      <w:r w:rsidR="00060287">
        <w:rPr>
          <w:rFonts w:cs="Arial"/>
        </w:rPr>
        <w:t>€</w:t>
      </w:r>
      <w:r>
        <w:t xml:space="preserve"> 8:441.819, en condición FOB puerto Europeo o Asiático y uno monto de </w:t>
      </w:r>
      <w:r w:rsidR="00060287">
        <w:t xml:space="preserve"> </w:t>
      </w:r>
      <w:r w:rsidR="00060287">
        <w:rPr>
          <w:rFonts w:cs="Arial"/>
        </w:rPr>
        <w:t>€</w:t>
      </w:r>
      <w:r w:rsidR="00060287">
        <w:t xml:space="preserve"> </w:t>
      </w:r>
      <w:r>
        <w:t xml:space="preserve">1:240.100 por concepto de servicios de ingeniería, supervisión y pasajes; </w:t>
      </w:r>
    </w:p>
    <w:p w:rsidR="00E12F86" w:rsidRDefault="00E12F86" w:rsidP="00E12F86">
      <w:pPr>
        <w:spacing w:line="360" w:lineRule="auto"/>
        <w:ind w:firstLine="2552"/>
        <w:jc w:val="both"/>
      </w:pPr>
      <w:r>
        <w:rPr>
          <w:b/>
        </w:rPr>
        <w:t xml:space="preserve"> </w:t>
      </w:r>
      <w:r w:rsidR="008A2F31" w:rsidRPr="006E073F">
        <w:rPr>
          <w:b/>
        </w:rPr>
        <w:t>2)</w:t>
      </w:r>
      <w:r w:rsidR="008A2F31">
        <w:t xml:space="preserve"> que  la firma FL SMIDTH solicitó autorización a ANCAP para ceder en forma parcial los derechos emergentes de la  adjudicación que viene de referirse a favor de NL SUPERVISION COMPANY A/S y para la suscripción de un contrato de servicio de consultoría, ante lo cual, ANCAP  mediante Resolución del Directorio Nº 671/7/09 del 23/7/09, autorizó la solicitada cesión parcial en relación al rubro “supervisión” de la adjudicación de la compra directa por excepción Nº 2700004300 y aprobó el borrador de contrato de consultoría con la cesionaria NL SUPERVISION COMPANY A/S  por un monto total estimado de </w:t>
      </w:r>
      <w:r w:rsidR="00060287">
        <w:rPr>
          <w:rFonts w:cs="Arial"/>
        </w:rPr>
        <w:t>€</w:t>
      </w:r>
      <w:r w:rsidR="00060287">
        <w:t xml:space="preserve"> </w:t>
      </w:r>
      <w:r w:rsidR="008A2F31">
        <w:t>770.100;</w:t>
      </w:r>
    </w:p>
    <w:p w:rsidR="00E12F86" w:rsidRDefault="008A2F31" w:rsidP="00E12F86">
      <w:pPr>
        <w:spacing w:line="360" w:lineRule="auto"/>
        <w:ind w:firstLine="2552"/>
        <w:jc w:val="both"/>
      </w:pPr>
      <w:r w:rsidRPr="001B44A3">
        <w:rPr>
          <w:b/>
        </w:rPr>
        <w:lastRenderedPageBreak/>
        <w:t>3)</w:t>
      </w:r>
      <w:r>
        <w:t xml:space="preserve"> que mediante Resolución del Direct</w:t>
      </w:r>
      <w:r w:rsidR="00D74052">
        <w:t>ori</w:t>
      </w:r>
      <w:r>
        <w:t xml:space="preserve">o Nº 142/3/09 del 12/3/09, ANCAP adjudicó a la firma VIMAR SRL, en representación de FL SMIDTH, el pedido de precios Nº 2700007200 para la contratación de la ingeniería y suministros para el proyecto de ampliación de capacidad de producción de Clinker, instalación de un sistema para la utilización de </w:t>
      </w:r>
      <w:proofErr w:type="spellStart"/>
      <w:r>
        <w:t>coke</w:t>
      </w:r>
      <w:proofErr w:type="spellEnd"/>
      <w:r>
        <w:t xml:space="preserve"> de petróleo y carbón vegetal y otras mejoras de proceso de Planta Portland Minas, por un monto de </w:t>
      </w:r>
      <w:r w:rsidR="00D74052">
        <w:rPr>
          <w:rFonts w:cs="Arial"/>
        </w:rPr>
        <w:t>€</w:t>
      </w:r>
      <w:r w:rsidR="00D74052">
        <w:t xml:space="preserve"> </w:t>
      </w:r>
      <w:r>
        <w:t xml:space="preserve">21:084.546, correspondiendo </w:t>
      </w:r>
      <w:r w:rsidR="00D74052">
        <w:rPr>
          <w:rFonts w:cs="Arial"/>
        </w:rPr>
        <w:t>€</w:t>
      </w:r>
      <w:r w:rsidR="00D74052">
        <w:t xml:space="preserve"> </w:t>
      </w:r>
      <w:r>
        <w:t xml:space="preserve">18:504.546 a suministros en condición FOB/FCA puertos Europeos o Asiáticos y </w:t>
      </w:r>
      <w:r w:rsidR="00D74052">
        <w:rPr>
          <w:rFonts w:cs="Arial"/>
        </w:rPr>
        <w:t>€</w:t>
      </w:r>
      <w:r w:rsidR="00D74052">
        <w:t xml:space="preserve"> </w:t>
      </w:r>
      <w:r>
        <w:t>2:580.000  a los servicios;</w:t>
      </w:r>
    </w:p>
    <w:p w:rsidR="00E12F86" w:rsidRDefault="00E12F86" w:rsidP="00E12F86">
      <w:pPr>
        <w:spacing w:line="360" w:lineRule="auto"/>
        <w:ind w:firstLine="2552"/>
        <w:jc w:val="both"/>
      </w:pPr>
      <w:r>
        <w:t xml:space="preserve"> </w:t>
      </w:r>
      <w:r w:rsidR="008A2F31" w:rsidRPr="003A1417">
        <w:rPr>
          <w:b/>
        </w:rPr>
        <w:t xml:space="preserve">4) </w:t>
      </w:r>
      <w:r w:rsidR="008A2F31">
        <w:t xml:space="preserve">que posteriormente, la firma FL SMIDTH solicitó autorización a ANCAP para ceder en forma parcial los derechos emergentes de la referida adjudicación a favor de NL SUPERVISION COMPANY A/S y para la suscripción de un contrato de servicio de consultoría a firmar con el cesionario, ante lo cual, ANCAP  mediante Resolución del Directorio Nº 672/7/09 del 23/7/09, autorizó la solicitada cesión parcial y aprobó la celebración del contrato de consultoría con la cesionaria NL SUPERVISION COMPANY A/S  por un monto total estimado de </w:t>
      </w:r>
      <w:r w:rsidR="00D74052">
        <w:rPr>
          <w:rFonts w:cs="Arial"/>
        </w:rPr>
        <w:t>€</w:t>
      </w:r>
      <w:r w:rsidR="00D74052">
        <w:t xml:space="preserve"> </w:t>
      </w:r>
      <w:r w:rsidR="008A2F31">
        <w:t>1:300.000;</w:t>
      </w:r>
    </w:p>
    <w:p w:rsidR="00E12F86" w:rsidRDefault="008A2F31" w:rsidP="00E12F86">
      <w:pPr>
        <w:spacing w:line="360" w:lineRule="auto"/>
        <w:ind w:firstLine="2552"/>
        <w:jc w:val="both"/>
      </w:pPr>
      <w:r w:rsidRPr="003A1417">
        <w:rPr>
          <w:b/>
        </w:rPr>
        <w:t>5)</w:t>
      </w:r>
      <w:r>
        <w:t xml:space="preserve"> que por Resolución del Directorio de ANCAP Nº1046/11/09 del 12/11/09, se resolvió ampliar el pedido de precios adjudicado a la firma VIMAR SRL, en representación de FL SMIDTH, por un monto de </w:t>
      </w:r>
      <w:r w:rsidR="00D74052">
        <w:rPr>
          <w:rFonts w:cs="Arial"/>
        </w:rPr>
        <w:t>€</w:t>
      </w:r>
      <w:r w:rsidR="00D74052">
        <w:t xml:space="preserve"> </w:t>
      </w:r>
      <w:r>
        <w:t xml:space="preserve">4.311.873 por el suministro de equipos y por </w:t>
      </w:r>
      <w:r w:rsidR="00D74052">
        <w:rPr>
          <w:rFonts w:cs="Arial"/>
        </w:rPr>
        <w:t>€</w:t>
      </w:r>
      <w:r w:rsidR="00D74052">
        <w:t xml:space="preserve"> </w:t>
      </w:r>
      <w:r>
        <w:t>558.523 por la contratación de servicios de ingeniería y diseño de planos, monto equivalente al 22.75% del total adjudicado;</w:t>
      </w:r>
    </w:p>
    <w:p w:rsidR="00E12F86" w:rsidRDefault="008A2F31" w:rsidP="00E12F86">
      <w:pPr>
        <w:spacing w:line="360" w:lineRule="auto"/>
        <w:ind w:firstLine="2552"/>
        <w:jc w:val="both"/>
      </w:pPr>
      <w:r w:rsidRPr="003A1417">
        <w:rPr>
          <w:b/>
        </w:rPr>
        <w:t>6)</w:t>
      </w:r>
      <w:r>
        <w:t xml:space="preserve"> que por Resolución del Directorio de ANCAP Nº158/3/10 de fecha 4/3/10, se resol</w:t>
      </w:r>
      <w:r w:rsidR="00811CA8">
        <w:t>vió</w:t>
      </w:r>
      <w:r>
        <w:t xml:space="preserve"> ampliar en un 2,62% de la contratación original por </w:t>
      </w:r>
      <w:r w:rsidR="00DC5833">
        <w:rPr>
          <w:rFonts w:cs="Arial"/>
        </w:rPr>
        <w:t>€</w:t>
      </w:r>
      <w:r w:rsidR="00DC5833">
        <w:t xml:space="preserve"> </w:t>
      </w:r>
      <w:r>
        <w:t xml:space="preserve">608.000 en condición FOB puerto Europeo o Asiático y por los servicios de ingeniería y diseño de plano por </w:t>
      </w:r>
      <w:r w:rsidR="00DC5833">
        <w:rPr>
          <w:rFonts w:cs="Arial"/>
        </w:rPr>
        <w:t>€</w:t>
      </w:r>
      <w:r w:rsidR="00DC5833">
        <w:t xml:space="preserve"> </w:t>
      </w:r>
      <w:r>
        <w:t xml:space="preserve">12.000. Luego, por Resolución del Directorio de ANCAP Nº 1364/12/10 del 23/12/10, se resolvió </w:t>
      </w:r>
      <w:r>
        <w:lastRenderedPageBreak/>
        <w:t>ampliar nuevamente el referido pedido de precios adjudicad</w:t>
      </w:r>
      <w:r w:rsidR="006426C4">
        <w:t>o</w:t>
      </w:r>
      <w:r>
        <w:t xml:space="preserve"> a  la firma VIMAR SRL, en representación de FL SMIDTH, por un monto total de </w:t>
      </w:r>
      <w:r w:rsidR="00DC5833">
        <w:rPr>
          <w:rFonts w:cs="Arial"/>
        </w:rPr>
        <w:t>€</w:t>
      </w:r>
      <w:r w:rsidR="00DC5833">
        <w:t xml:space="preserve"> </w:t>
      </w:r>
      <w:r>
        <w:t>349.983, en relación al concepto suministros, representando un 1,8% del monto de la contratación original;</w:t>
      </w:r>
    </w:p>
    <w:p w:rsidR="00E12F86" w:rsidRDefault="008A2F31" w:rsidP="00E12F86">
      <w:pPr>
        <w:spacing w:line="360" w:lineRule="auto"/>
        <w:ind w:firstLine="2552"/>
        <w:jc w:val="both"/>
      </w:pPr>
      <w:r w:rsidRPr="003A1417">
        <w:rPr>
          <w:b/>
        </w:rPr>
        <w:t>7)</w:t>
      </w:r>
      <w:r>
        <w:t xml:space="preserve"> que mediante Resolución del Directorio de ANCAP Nº812/8/10</w:t>
      </w:r>
      <w:r w:rsidR="006426C4">
        <w:t xml:space="preserve"> </w:t>
      </w:r>
      <w:r>
        <w:t>del 12/8/10, se resolvió adjudicar a FL SMIDTH A/S la compra de suministros BSD por un monto de 4:132.190 euros en condición FOB puerto Europeo o Asiático y</w:t>
      </w:r>
      <w:r w:rsidR="00811CA8">
        <w:t xml:space="preserve"> por un monto de hasta </w:t>
      </w:r>
      <w:r w:rsidR="00DC5833">
        <w:rPr>
          <w:rFonts w:cs="Arial"/>
        </w:rPr>
        <w:t>€</w:t>
      </w:r>
      <w:r w:rsidR="00DC5833">
        <w:t xml:space="preserve"> </w:t>
      </w:r>
      <w:r w:rsidR="00811CA8">
        <w:t xml:space="preserve">170.000 </w:t>
      </w:r>
      <w:r>
        <w:t xml:space="preserve">para </w:t>
      </w:r>
      <w:r w:rsidR="00DF6B8A">
        <w:t>ó</w:t>
      </w:r>
      <w:r>
        <w:t>rdenes de cambio;</w:t>
      </w:r>
    </w:p>
    <w:p w:rsidR="00E12F86" w:rsidRDefault="008A2F31" w:rsidP="00E12F86">
      <w:pPr>
        <w:spacing w:line="360" w:lineRule="auto"/>
        <w:ind w:firstLine="2552"/>
        <w:jc w:val="both"/>
      </w:pPr>
      <w:r w:rsidRPr="003A1417">
        <w:rPr>
          <w:b/>
        </w:rPr>
        <w:t>8)</w:t>
      </w:r>
      <w:r>
        <w:t xml:space="preserve"> que por Resolución de la Gerencia de Servicios Compartidos Nº 111/2014 del 11/8/14, se resolvió adjudicar la compra directa por excepción Nº 2700051400, convocada para la contratación del servicio de supervisión en la operación y control electrónico de las nuevas instalación en Planta Portland Minas, a la firma FL SMIDTH A/S por un monto de </w:t>
      </w:r>
      <w:r w:rsidR="00DF6B8A">
        <w:rPr>
          <w:rFonts w:cs="Arial"/>
        </w:rPr>
        <w:t>€</w:t>
      </w:r>
      <w:r w:rsidR="00DF6B8A">
        <w:t xml:space="preserve"> </w:t>
      </w:r>
      <w:r>
        <w:t>526.500;</w:t>
      </w:r>
    </w:p>
    <w:p w:rsidR="00E12F86" w:rsidRDefault="00E12F86" w:rsidP="00E12F86">
      <w:pPr>
        <w:spacing w:line="360" w:lineRule="auto"/>
        <w:ind w:firstLine="2552"/>
        <w:jc w:val="both"/>
      </w:pPr>
      <w:r>
        <w:rPr>
          <w:b/>
        </w:rPr>
        <w:t>9</w:t>
      </w:r>
      <w:r w:rsidR="008A2F31" w:rsidRPr="003A1417">
        <w:rPr>
          <w:b/>
        </w:rPr>
        <w:t xml:space="preserve">) </w:t>
      </w:r>
      <w:r w:rsidR="008A2F31">
        <w:t xml:space="preserve">que mediante Resolución del Directorio de ANCAP Nº881/8/15 del 5/8/15, ANCAP resolvió contratar mediante la compra directa por excepción Nº 2700058500, la supervisión y control del montaje para la ampliación de la capacidad de Clinker (horno </w:t>
      </w:r>
      <w:proofErr w:type="spellStart"/>
      <w:r w:rsidR="008A2F31">
        <w:t>semiseca</w:t>
      </w:r>
      <w:proofErr w:type="spellEnd"/>
      <w:r w:rsidR="008A2F31">
        <w:t xml:space="preserve"> y molienda molino de carbón) por un monto de </w:t>
      </w:r>
      <w:r w:rsidR="00DF6B8A">
        <w:rPr>
          <w:rFonts w:cs="Arial"/>
        </w:rPr>
        <w:t>€</w:t>
      </w:r>
      <w:r w:rsidR="00DF6B8A">
        <w:t xml:space="preserve"> </w:t>
      </w:r>
      <w:r w:rsidR="008A2F31">
        <w:t>3:302.223 a la firma VIMARCEMENT S.A. (actual representante de NLS</w:t>
      </w:r>
      <w:r w:rsidR="00DF6B8A">
        <w:t>)</w:t>
      </w:r>
      <w:r w:rsidR="008A2F31">
        <w:t>;</w:t>
      </w:r>
    </w:p>
    <w:p w:rsidR="00E12F86" w:rsidRDefault="008A2F31" w:rsidP="00E12F86">
      <w:pPr>
        <w:spacing w:line="360" w:lineRule="auto"/>
        <w:ind w:firstLine="2552"/>
        <w:jc w:val="both"/>
      </w:pPr>
      <w:r w:rsidRPr="003A1417">
        <w:rPr>
          <w:b/>
        </w:rPr>
        <w:t>10)</w:t>
      </w:r>
      <w:r>
        <w:t xml:space="preserve"> que por Resolución de Servicios Compartidos Nº040/2016 del 18/5/16, se adjudicó a FL SMIDTH la contratación del servicio de control y supervisión de la operación del horno 3 para ajuste de la quema de carbón y emisiones de gases en Planta Portland Minas por un monto de </w:t>
      </w:r>
      <w:r w:rsidR="00DF6B8A">
        <w:t xml:space="preserve">          </w:t>
      </w:r>
      <w:r w:rsidR="00DF6B8A">
        <w:rPr>
          <w:rFonts w:cs="Arial"/>
        </w:rPr>
        <w:t>€</w:t>
      </w:r>
      <w:r w:rsidR="00DF6B8A">
        <w:t xml:space="preserve"> </w:t>
      </w:r>
      <w:r>
        <w:t>526.500;</w:t>
      </w:r>
    </w:p>
    <w:p w:rsidR="00E12F86" w:rsidRDefault="008A2F31" w:rsidP="00E12F86">
      <w:pPr>
        <w:spacing w:line="360" w:lineRule="auto"/>
        <w:ind w:firstLine="2552"/>
        <w:jc w:val="both"/>
      </w:pPr>
      <w:r w:rsidRPr="003A1417">
        <w:rPr>
          <w:b/>
        </w:rPr>
        <w:t>11)</w:t>
      </w:r>
      <w:r>
        <w:t xml:space="preserve"> que e</w:t>
      </w:r>
      <w:r w:rsidR="006426C4">
        <w:t>n el marco de dichas contratacio</w:t>
      </w:r>
      <w:r>
        <w:t>n</w:t>
      </w:r>
      <w:r w:rsidR="006426C4">
        <w:t>es</w:t>
      </w:r>
      <w:r>
        <w:t xml:space="preserve"> ANCAP ha reclamado a FL SMIDTH Y NL SUPERVISION sobrecostos a causa de errores de proyectos y suministros por parte del referido proveedor por un monto de $21.734.478. A su vez se señala que ANCAP ha pagado  sobrecostos a la firma TEYMA  -empresa encargada de la construcción y montaje de la obra- siendo FL SMIDTH parte responsable de los montos pagados,  los que se estiman en $22.641.323. Al mismo tiempo, ANCAP entiende que durante la contratación de los servicios de supervisión, comisionado y post</w:t>
      </w:r>
      <w:r w:rsidR="00DF6B8A">
        <w:t>-</w:t>
      </w:r>
      <w:r>
        <w:t>comisionado se ha generado una super</w:t>
      </w:r>
      <w:r w:rsidR="006426C4">
        <w:t>visión en exces</w:t>
      </w:r>
      <w:r w:rsidR="000B6568">
        <w:t>o</w:t>
      </w:r>
      <w:r>
        <w:t xml:space="preserve"> de las referidas firmas, lo que se estima en </w:t>
      </w:r>
      <w:r w:rsidR="00DF6B8A">
        <w:rPr>
          <w:rFonts w:cs="Arial"/>
        </w:rPr>
        <w:t>€</w:t>
      </w:r>
      <w:r w:rsidR="00DF6B8A">
        <w:t xml:space="preserve"> </w:t>
      </w:r>
      <w:r>
        <w:t>770.107;</w:t>
      </w:r>
    </w:p>
    <w:p w:rsidR="00E12F86" w:rsidRDefault="008A2F31" w:rsidP="00E12F86">
      <w:pPr>
        <w:spacing w:line="360" w:lineRule="auto"/>
        <w:ind w:firstLine="2552"/>
        <w:jc w:val="both"/>
      </w:pPr>
      <w:r w:rsidRPr="00EF6381">
        <w:rPr>
          <w:b/>
        </w:rPr>
        <w:t>12)</w:t>
      </w:r>
      <w:r>
        <w:t xml:space="preserve"> que por su parte, en </w:t>
      </w:r>
      <w:r w:rsidR="006426C4">
        <w:t>ese</w:t>
      </w:r>
      <w:r>
        <w:t xml:space="preserve"> marco,  las empresas FL SMIDTH, NL SUPERVISION (Dinamarca) y NL SUPERVISION Sucursal Uruguay, reclaman a ANCAP: </w:t>
      </w:r>
    </w:p>
    <w:p w:rsidR="00E12F86" w:rsidRDefault="008A2F31" w:rsidP="00E12F86">
      <w:pPr>
        <w:spacing w:line="360" w:lineRule="auto"/>
        <w:jc w:val="both"/>
      </w:pPr>
      <w:r w:rsidRPr="006426C4">
        <w:rPr>
          <w:b/>
        </w:rPr>
        <w:t>a)</w:t>
      </w:r>
      <w:r>
        <w:t xml:space="preserve"> impuestos empresariales generados durante la ejecución de los servicios que</w:t>
      </w:r>
      <w:r w:rsidR="00240EE8">
        <w:t>,</w:t>
      </w:r>
      <w:r>
        <w:t xml:space="preserve"> según el contrato de consultoría y de suministro</w:t>
      </w:r>
      <w:r w:rsidR="00240EE8">
        <w:t>,</w:t>
      </w:r>
      <w:r>
        <w:t xml:space="preserve"> establecen que el cliente deberá pagar todos los impuestos, cargas, obligaciones, impuestos generales </w:t>
      </w:r>
      <w:r w:rsidR="00240EE8">
        <w:t>sobre</w:t>
      </w:r>
      <w:r>
        <w:t xml:space="preserve"> ventas, IVA, etc</w:t>
      </w:r>
      <w:r w:rsidR="00DF6B8A">
        <w:t>.,</w:t>
      </w:r>
      <w:r>
        <w:t xml:space="preserve"> que sean impuestos por las autoridades del </w:t>
      </w:r>
      <w:r w:rsidR="00DF6B8A">
        <w:t>p</w:t>
      </w:r>
      <w:r>
        <w:t xml:space="preserve">aís al consultor y/o al asesor, durante la prestación de los servicios de consultoría o en relación a dichos servicios, lo que estiman en un total de $ 74.331.803, </w:t>
      </w:r>
    </w:p>
    <w:p w:rsidR="00E12F86" w:rsidRDefault="008A2F31" w:rsidP="00E12F86">
      <w:pPr>
        <w:spacing w:line="360" w:lineRule="auto"/>
        <w:jc w:val="both"/>
      </w:pPr>
      <w:r w:rsidRPr="006426C4">
        <w:rPr>
          <w:b/>
        </w:rPr>
        <w:t>b)</w:t>
      </w:r>
      <w:r>
        <w:t xml:space="preserve"> pago por servicio de supervisión pendiente de pago por la suma total de </w:t>
      </w:r>
      <w:r w:rsidR="00DF6B8A">
        <w:t xml:space="preserve">      </w:t>
      </w:r>
      <w:r w:rsidR="00DF6B8A">
        <w:rPr>
          <w:rFonts w:cs="Arial"/>
        </w:rPr>
        <w:t>€</w:t>
      </w:r>
      <w:r w:rsidR="00DF6B8A">
        <w:t xml:space="preserve"> </w:t>
      </w:r>
      <w:r>
        <w:t xml:space="preserve">2.848.258 más los intereses, </w:t>
      </w:r>
    </w:p>
    <w:p w:rsidR="008A2F31" w:rsidRDefault="008A2F31" w:rsidP="00E12F86">
      <w:pPr>
        <w:spacing w:line="360" w:lineRule="auto"/>
        <w:jc w:val="both"/>
      </w:pPr>
      <w:r w:rsidRPr="00E5347B">
        <w:rPr>
          <w:b/>
        </w:rPr>
        <w:t>c)</w:t>
      </w:r>
      <w:r>
        <w:t xml:space="preserve"> pago de equipos adicionales suministrado por un monto total de </w:t>
      </w:r>
      <w:r w:rsidR="00DF6B8A">
        <w:rPr>
          <w:rFonts w:cs="Arial"/>
        </w:rPr>
        <w:t>€</w:t>
      </w:r>
      <w:r w:rsidR="00DF6B8A">
        <w:t xml:space="preserve"> </w:t>
      </w:r>
      <w:r>
        <w:t>141.805;</w:t>
      </w:r>
    </w:p>
    <w:p w:rsidR="00E12F86" w:rsidRDefault="008A2F31" w:rsidP="00E12F86">
      <w:pPr>
        <w:spacing w:line="360" w:lineRule="auto"/>
        <w:ind w:firstLine="2552"/>
        <w:jc w:val="both"/>
      </w:pPr>
      <w:r w:rsidRPr="00E5347B">
        <w:rPr>
          <w:b/>
        </w:rPr>
        <w:t>13)</w:t>
      </w:r>
      <w:r>
        <w:t xml:space="preserve"> que</w:t>
      </w:r>
      <w:r w:rsidR="00240EE8">
        <w:t>,</w:t>
      </w:r>
      <w:r>
        <w:t xml:space="preserve"> teniendo en cuenta el marco contractual referido y la existencia de reclamaci</w:t>
      </w:r>
      <w:r w:rsidR="00240EE8">
        <w:t>ones</w:t>
      </w:r>
      <w:r>
        <w:t xml:space="preserve"> mutuas</w:t>
      </w:r>
      <w:r w:rsidR="00240EE8">
        <w:t>,</w:t>
      </w:r>
      <w:r>
        <w:t xml:space="preserve">  la Gerencia de Portland y la Gerencia General de ANCA</w:t>
      </w:r>
      <w:r w:rsidR="000B6568">
        <w:t>P, con fecha 4/7/17, informaron</w:t>
      </w:r>
      <w:r>
        <w:t xml:space="preserve"> que</w:t>
      </w:r>
      <w:r w:rsidR="00240EE8">
        <w:t>,</w:t>
      </w:r>
      <w:r>
        <w:t xml:space="preserve"> tras el análisis  </w:t>
      </w:r>
      <w:r w:rsidR="00240EE8">
        <w:t xml:space="preserve">de los </w:t>
      </w:r>
      <w:r>
        <w:t>aspectos técnicos, comerciales y económicos,  resulta</w:t>
      </w:r>
      <w:r w:rsidR="00240EE8">
        <w:t xml:space="preserve"> </w:t>
      </w:r>
      <w:r>
        <w:t>conveniente llegar a un acuerdo entre las partes a los efectos de dirimir definitivamente los reclamos y litigios derivados o que puedan derivar de la contratación mencionada;</w:t>
      </w:r>
    </w:p>
    <w:p w:rsidR="00E12F86" w:rsidRDefault="008A2F31" w:rsidP="00E12F86">
      <w:pPr>
        <w:spacing w:line="360" w:lineRule="auto"/>
        <w:ind w:firstLine="2552"/>
        <w:jc w:val="both"/>
      </w:pPr>
      <w:r w:rsidRPr="008A2F31">
        <w:rPr>
          <w:b/>
        </w:rPr>
        <w:t>14)</w:t>
      </w:r>
      <w:r>
        <w:t xml:space="preserve"> que en tal sentido, </w:t>
      </w:r>
      <w:r w:rsidRPr="00E34042">
        <w:rPr>
          <w:rFonts w:cs="Arial"/>
        </w:rPr>
        <w:t>por Resolución del Directorio Nº1116/10/17 del 12/10/17, se autorizó la suscripción</w:t>
      </w:r>
      <w:r w:rsidR="003766A9">
        <w:rPr>
          <w:rFonts w:cs="Arial"/>
        </w:rPr>
        <w:t>, condicionada a la previa intervención de este Tribunal,</w:t>
      </w:r>
      <w:r w:rsidRPr="00E34042">
        <w:rPr>
          <w:rFonts w:cs="Arial"/>
        </w:rPr>
        <w:t xml:space="preserve">  de un acuerdo transaccional  entre ANCAP y  las </w:t>
      </w:r>
      <w:r>
        <w:rPr>
          <w:rFonts w:cs="Arial"/>
        </w:rPr>
        <w:t>mencionada</w:t>
      </w:r>
      <w:r w:rsidR="003766A9">
        <w:rPr>
          <w:rFonts w:cs="Arial"/>
        </w:rPr>
        <w:t>s</w:t>
      </w:r>
      <w:r>
        <w:rPr>
          <w:rFonts w:cs="Arial"/>
        </w:rPr>
        <w:t xml:space="preserve"> </w:t>
      </w:r>
      <w:r w:rsidRPr="00E34042">
        <w:rPr>
          <w:rFonts w:cs="Arial"/>
        </w:rPr>
        <w:t>empresas a los efectos de dirimir definitivamente los reclamos y litigios derivados o que puedan derivar de las contrataciones mencionadas.</w:t>
      </w:r>
    </w:p>
    <w:p w:rsidR="00E12F86" w:rsidRDefault="008A2F31" w:rsidP="00E12F86">
      <w:pPr>
        <w:spacing w:line="360" w:lineRule="auto"/>
        <w:ind w:firstLine="2552"/>
        <w:jc w:val="both"/>
      </w:pPr>
      <w:r w:rsidRPr="008A2F31">
        <w:rPr>
          <w:b/>
        </w:rPr>
        <w:t>1</w:t>
      </w:r>
      <w:r>
        <w:rPr>
          <w:b/>
        </w:rPr>
        <w:t>5</w:t>
      </w:r>
      <w:r w:rsidRPr="00E304A1">
        <w:rPr>
          <w:b/>
        </w:rPr>
        <w:t>)</w:t>
      </w:r>
      <w:r>
        <w:t xml:space="preserve"> que  según surge del proyecto de transacción cuya copia se adjunta, por intermedio del mismo, las partes, haciéndose reciprocas concesiones, acuerdan que: </w:t>
      </w:r>
    </w:p>
    <w:p w:rsidR="00E12F86" w:rsidRDefault="008A2F31" w:rsidP="00E12F86">
      <w:pPr>
        <w:spacing w:line="360" w:lineRule="auto"/>
        <w:jc w:val="both"/>
      </w:pPr>
      <w:r w:rsidRPr="00F514C2">
        <w:rPr>
          <w:b/>
        </w:rPr>
        <w:t>I)</w:t>
      </w:r>
      <w:r>
        <w:t xml:space="preserve">  ANCAP pagará a:  </w:t>
      </w:r>
    </w:p>
    <w:p w:rsidR="00E12F86" w:rsidRDefault="008A2F31" w:rsidP="00E12F86">
      <w:pPr>
        <w:spacing w:line="360" w:lineRule="auto"/>
        <w:jc w:val="both"/>
      </w:pPr>
      <w:r w:rsidRPr="009764D4">
        <w:rPr>
          <w:b/>
        </w:rPr>
        <w:t>a)</w:t>
      </w:r>
      <w:r>
        <w:t xml:space="preserve"> FL SMIDHT la suma total y definitiva de U$S 153.149 por concepto de equipos adicionales, </w:t>
      </w:r>
    </w:p>
    <w:p w:rsidR="00E12F86" w:rsidRDefault="008A2F31" w:rsidP="00E12F86">
      <w:pPr>
        <w:spacing w:line="360" w:lineRule="auto"/>
        <w:jc w:val="both"/>
      </w:pPr>
      <w:r w:rsidRPr="009764D4">
        <w:rPr>
          <w:b/>
        </w:rPr>
        <w:t>b)</w:t>
      </w:r>
      <w:r>
        <w:t xml:space="preserve"> NL SUPERVISION COMPANY A/S Sucursal Uruguay la suma total de U$S2.654.919 más IVA por concepto de servicios de supervisión, </w:t>
      </w:r>
    </w:p>
    <w:p w:rsidR="00E12F86" w:rsidRDefault="008A2F31" w:rsidP="00E12F86">
      <w:pPr>
        <w:spacing w:line="360" w:lineRule="auto"/>
        <w:jc w:val="both"/>
      </w:pPr>
      <w:r w:rsidRPr="009764D4">
        <w:rPr>
          <w:b/>
        </w:rPr>
        <w:t>c)</w:t>
      </w:r>
      <w:r>
        <w:t xml:space="preserve"> NL SUPERVISION COMPANY A/S (Dinamarca) la suma total y definitiva de U$S1.180.810 por concepto de costos empresariales (impuesto al patrimonio, impuesto por distribución de dividendos, impuesto a las actividades empresariales, cargas sociales etc</w:t>
      </w:r>
      <w:r w:rsidR="00DF6B8A">
        <w:t>.</w:t>
      </w:r>
      <w:r>
        <w:t>) generada durante las contrataciones referidas ut supra. Por dicho monto ANCAP deberá tributa</w:t>
      </w:r>
      <w:r w:rsidR="000B6568">
        <w:t>r</w:t>
      </w:r>
      <w:r>
        <w:t xml:space="preserve"> por concepto de IRNR la suma total de U$S 161.019,55. Los importes referidos incluyen la variación del tipo de cambio. </w:t>
      </w:r>
    </w:p>
    <w:p w:rsidR="00E12F86" w:rsidRDefault="008A2F31" w:rsidP="00E12F86">
      <w:pPr>
        <w:spacing w:line="360" w:lineRule="auto"/>
        <w:jc w:val="both"/>
      </w:pPr>
      <w:r w:rsidRPr="00F514C2">
        <w:rPr>
          <w:b/>
        </w:rPr>
        <w:t>II)</w:t>
      </w:r>
      <w:r>
        <w:t xml:space="preserve"> NL SUPERVISION COMPANY A/S (Dinamarca), NL SUPERVISION COMPANY A/S Sucursal Uruguay y FL SMIDTH se obligan a: </w:t>
      </w:r>
    </w:p>
    <w:p w:rsidR="00E12F86" w:rsidRDefault="008A2F31" w:rsidP="00E12F86">
      <w:pPr>
        <w:spacing w:line="360" w:lineRule="auto"/>
        <w:jc w:val="both"/>
      </w:pPr>
      <w:r w:rsidRPr="00F514C2">
        <w:rPr>
          <w:b/>
        </w:rPr>
        <w:t>a)</w:t>
      </w:r>
      <w:r w:rsidRPr="00AC42A6">
        <w:t xml:space="preserve"> </w:t>
      </w:r>
      <w:r>
        <w:t xml:space="preserve">NL SUPERVISION COMPANY A/S Sucursal Uruguay se obliga a presentar con la suscripción de la transacción las notas de crédito de determinadas facturas que se detallan, emitidas por NL SUPERVISION Sucursal Uruguay un monto total de </w:t>
      </w:r>
      <w:r w:rsidR="00DF6B8A">
        <w:rPr>
          <w:rFonts w:cs="Arial"/>
        </w:rPr>
        <w:t>€</w:t>
      </w:r>
      <w:r w:rsidR="00DF6B8A">
        <w:t xml:space="preserve"> </w:t>
      </w:r>
      <w:r>
        <w:t>3.496.631</w:t>
      </w:r>
      <w:r w:rsidR="00F514C2">
        <w:t>,</w:t>
      </w:r>
      <w:r>
        <w:t xml:space="preserve"> IVA incluido; </w:t>
      </w:r>
    </w:p>
    <w:p w:rsidR="00E12F86" w:rsidRDefault="008A2F31" w:rsidP="00E12F86">
      <w:pPr>
        <w:spacing w:line="360" w:lineRule="auto"/>
        <w:jc w:val="both"/>
      </w:pPr>
      <w:r w:rsidRPr="00F514C2">
        <w:rPr>
          <w:b/>
        </w:rPr>
        <w:t>b)</w:t>
      </w:r>
      <w:r w:rsidRPr="00AC42A6">
        <w:t xml:space="preserve"> </w:t>
      </w:r>
      <w:r>
        <w:t xml:space="preserve">NL SUPERVISION COMPANY A/S (Dinamarca), NL SUPERVISION COMPANY A/S Sucursal Uruguay y FL SMIDTH se obligan a completar los trabajos pendientes relacionados con las modificaciones en torre de precalentamiento, calcinador, quemador del horno, sopladores y línea de transportes de carbón al horno, así como el comisionado del Generador de Gases Calientes y comisionado de equipos del </w:t>
      </w:r>
      <w:r w:rsidR="001806D6">
        <w:t>D</w:t>
      </w:r>
      <w:r>
        <w:t xml:space="preserve">epartamento 263: combustibles sólidos alternativos, estableciéndose como plazo máximo para la realización de lo mismo hasta el 31/12/17, </w:t>
      </w:r>
    </w:p>
    <w:p w:rsidR="008A2F31" w:rsidRDefault="008A2F31" w:rsidP="00E12F86">
      <w:pPr>
        <w:spacing w:line="360" w:lineRule="auto"/>
        <w:jc w:val="both"/>
      </w:pPr>
      <w:r w:rsidRPr="00F514C2">
        <w:rPr>
          <w:b/>
        </w:rPr>
        <w:t>c)</w:t>
      </w:r>
      <w:r w:rsidRPr="006F63F3">
        <w:t xml:space="preserve"> </w:t>
      </w:r>
      <w:r>
        <w:t>FL SMIDTH se obliga a entregar la factura  correspondiente al suministro de equipos adicionales por U$S 153.149:</w:t>
      </w:r>
    </w:p>
    <w:p w:rsidR="00E12F86" w:rsidRDefault="008A2F31" w:rsidP="00E12F86">
      <w:pPr>
        <w:spacing w:line="360" w:lineRule="auto"/>
        <w:ind w:firstLine="2552"/>
        <w:jc w:val="both"/>
      </w:pPr>
      <w:r w:rsidRPr="00E304A1">
        <w:rPr>
          <w:b/>
        </w:rPr>
        <w:t>1</w:t>
      </w:r>
      <w:r w:rsidR="00E304A1" w:rsidRPr="00E304A1">
        <w:rPr>
          <w:b/>
        </w:rPr>
        <w:t>6</w:t>
      </w:r>
      <w:r w:rsidRPr="00E304A1">
        <w:rPr>
          <w:b/>
        </w:rPr>
        <w:t>)</w:t>
      </w:r>
      <w:r>
        <w:t xml:space="preserve"> que según se establece, los pagos referidos se efectuará</w:t>
      </w:r>
      <w:r w:rsidR="003766A9">
        <w:t>n</w:t>
      </w:r>
      <w:r>
        <w:t xml:space="preserve"> a los 10 días de la suscripción del acuerdo, reteniéndose ANCAP de los pagos a efectua</w:t>
      </w:r>
      <w:r w:rsidR="000B6568">
        <w:t>r</w:t>
      </w:r>
      <w:r w:rsidRPr="006F63F3">
        <w:t xml:space="preserve"> </w:t>
      </w:r>
      <w:r w:rsidR="000B6568">
        <w:t xml:space="preserve">a </w:t>
      </w:r>
      <w:r>
        <w:t>NL SUPERVISION COMPANY A/S (Dinamarca) y NL SUPERVISION COMPANY A/S Sucursal Uruguay, el 5% de los mismos hasta la completa realiza</w:t>
      </w:r>
      <w:r w:rsidR="001806D6">
        <w:t xml:space="preserve">ción de los trabajos acordados </w:t>
      </w:r>
      <w:r>
        <w:t>a real</w:t>
      </w:r>
      <w:r w:rsidR="000B6568">
        <w:t>i</w:t>
      </w:r>
      <w:r>
        <w:t>zar por</w:t>
      </w:r>
      <w:r w:rsidRPr="006F63F3">
        <w:t xml:space="preserve"> </w:t>
      </w:r>
      <w:r>
        <w:t>NL SUPERVISION COMPANY A/S (Dinamarca). Una vez recibidos los referidos trabajos a satisfacción, ANCAP pagará el saldo retenido a los 10 días;</w:t>
      </w:r>
    </w:p>
    <w:p w:rsidR="00E12F86" w:rsidRDefault="008A2F31" w:rsidP="00E12F86">
      <w:pPr>
        <w:spacing w:line="360" w:lineRule="auto"/>
        <w:ind w:firstLine="2552"/>
        <w:jc w:val="both"/>
      </w:pPr>
      <w:r w:rsidRPr="00E304A1">
        <w:rPr>
          <w:b/>
        </w:rPr>
        <w:t>1</w:t>
      </w:r>
      <w:r w:rsidR="00E304A1" w:rsidRPr="00E304A1">
        <w:rPr>
          <w:b/>
        </w:rPr>
        <w:t>7</w:t>
      </w:r>
      <w:r w:rsidRPr="00E304A1">
        <w:rPr>
          <w:b/>
        </w:rPr>
        <w:t>)</w:t>
      </w:r>
      <w:r>
        <w:t xml:space="preserve"> que</w:t>
      </w:r>
      <w:r w:rsidR="00F514C2">
        <w:t>,</w:t>
      </w:r>
      <w:r>
        <w:t xml:space="preserve"> según emerge del acuerdo, una vez  recibidas las sumas que viene</w:t>
      </w:r>
      <w:r w:rsidR="001806D6">
        <w:t xml:space="preserve">n de indicarse, las empresas </w:t>
      </w:r>
      <w:r>
        <w:t>NL SUPERVISION COMPANY A/S (Dinamarca), NL SUPERVISION COMPANY A/S Sucursal Uruguay y FL SMIDTH verán satisfecho su reclamo, declarando que nada más tiene</w:t>
      </w:r>
      <w:r w:rsidR="001806D6">
        <w:t>n</w:t>
      </w:r>
      <w:r>
        <w:t xml:space="preserve"> que reclamar de ANCAP por ningún concepto. Por su parte ANCAP manifiesta que una vez cumplidas todas las obligaciones pactadas en el curso a cargo  de las citadas empresas, no tendrá nada más que reclamar a las mismas; </w:t>
      </w:r>
    </w:p>
    <w:p w:rsidR="00E12F86" w:rsidRDefault="00E304A1" w:rsidP="00E12F86">
      <w:pPr>
        <w:spacing w:line="360" w:lineRule="auto"/>
        <w:ind w:firstLine="2552"/>
        <w:jc w:val="both"/>
        <w:rPr>
          <w:rFonts w:cs="Arial"/>
          <w:i/>
        </w:rPr>
      </w:pPr>
      <w:r w:rsidRPr="00E304A1">
        <w:rPr>
          <w:rFonts w:cs="Arial"/>
          <w:b/>
        </w:rPr>
        <w:t>18)</w:t>
      </w:r>
      <w:r>
        <w:t xml:space="preserve"> </w:t>
      </w:r>
      <w:r w:rsidRPr="00E304A1">
        <w:rPr>
          <w:rFonts w:cs="Arial"/>
        </w:rPr>
        <w:t>que</w:t>
      </w:r>
      <w:r w:rsidR="00F514C2">
        <w:rPr>
          <w:rFonts w:cs="Arial"/>
        </w:rPr>
        <w:t>,</w:t>
      </w:r>
      <w:r w:rsidRPr="00E304A1">
        <w:rPr>
          <w:rFonts w:cs="Arial"/>
        </w:rPr>
        <w:t xml:space="preserve"> c</w:t>
      </w:r>
      <w:r w:rsidRPr="00E34042">
        <w:rPr>
          <w:rFonts w:cs="Arial"/>
        </w:rPr>
        <w:t>on relación a la transacción mencionada, surge un informe realizado el 24/7/17  por los Servicios Jurídicos de ANCAP,  en el que, en sus  numerales 2) y 4) del Capítulo 4),  se señala que : “2</w:t>
      </w:r>
      <w:r w:rsidRPr="00E34042">
        <w:rPr>
          <w:rFonts w:cs="Arial"/>
          <w:i/>
        </w:rPr>
        <w:t>) Con relación a los servicios pendientes de pago que se proyectó pagar, están siendo objeto de una investigación administrativa decretada por el Directorio la que no está concluida  a la fecha</w:t>
      </w:r>
      <w:r w:rsidR="001806D6">
        <w:rPr>
          <w:rFonts w:cs="Arial"/>
          <w:i/>
        </w:rPr>
        <w:t>,</w:t>
      </w:r>
      <w:r w:rsidRPr="00E34042">
        <w:rPr>
          <w:rFonts w:cs="Arial"/>
          <w:i/>
        </w:rPr>
        <w:t xml:space="preserve">  y “3) Con relación al pago de los equipos adicionales, corresponde hacer notar a la Superioridad que de acuerdo </w:t>
      </w:r>
      <w:r w:rsidR="001806D6">
        <w:rPr>
          <w:rFonts w:cs="Arial"/>
          <w:i/>
        </w:rPr>
        <w:t>con lo</w:t>
      </w:r>
      <w:r w:rsidRPr="00E34042">
        <w:rPr>
          <w:rFonts w:cs="Arial"/>
          <w:i/>
        </w:rPr>
        <w:t xml:space="preserve"> informado por Portland los equipos adicionales cuyo pago se regulariza por </w:t>
      </w:r>
      <w:r w:rsidR="00F514C2" w:rsidRPr="00E34042">
        <w:rPr>
          <w:rFonts w:cs="Arial"/>
          <w:i/>
        </w:rPr>
        <w:t>la</w:t>
      </w:r>
      <w:r w:rsidRPr="00E34042">
        <w:rPr>
          <w:rFonts w:cs="Arial"/>
          <w:i/>
        </w:rPr>
        <w:t xml:space="preserve"> transacción que se proyecta han ingresado a la Administración sin ser facturada por el proveedor, ni</w:t>
      </w:r>
      <w:r w:rsidR="00F514C2">
        <w:rPr>
          <w:rFonts w:cs="Arial"/>
          <w:i/>
        </w:rPr>
        <w:t xml:space="preserve"> a</w:t>
      </w:r>
      <w:r w:rsidRPr="00E34042">
        <w:rPr>
          <w:rFonts w:cs="Arial"/>
          <w:i/>
        </w:rPr>
        <w:t xml:space="preserve"> través de ningún procedimiento de compra</w:t>
      </w:r>
      <w:r w:rsidR="001C31CE">
        <w:rPr>
          <w:rFonts w:cs="Arial"/>
          <w:i/>
        </w:rPr>
        <w:t>,</w:t>
      </w:r>
      <w:r w:rsidRPr="00E34042">
        <w:rPr>
          <w:rFonts w:cs="Arial"/>
          <w:i/>
        </w:rPr>
        <w:t xml:space="preserve"> lo que adem</w:t>
      </w:r>
      <w:r w:rsidR="00F514C2">
        <w:rPr>
          <w:rFonts w:cs="Arial"/>
          <w:i/>
        </w:rPr>
        <w:t>ás</w:t>
      </w:r>
      <w:r w:rsidRPr="00E34042">
        <w:rPr>
          <w:rFonts w:cs="Arial"/>
          <w:i/>
        </w:rPr>
        <w:t xml:space="preserve"> de ser contario a las normas de contratación prevista</w:t>
      </w:r>
      <w:r w:rsidR="001C31CE">
        <w:rPr>
          <w:rFonts w:cs="Arial"/>
          <w:i/>
        </w:rPr>
        <w:t>s</w:t>
      </w:r>
      <w:r w:rsidRPr="00E34042">
        <w:rPr>
          <w:rFonts w:cs="Arial"/>
          <w:i/>
        </w:rPr>
        <w:t xml:space="preserve"> en el TOCAF, tal proceder podría implicar alguna infracción por parte de la Administración.</w:t>
      </w:r>
    </w:p>
    <w:p w:rsidR="00E12F86" w:rsidRDefault="00E304A1" w:rsidP="00E12F86">
      <w:pPr>
        <w:spacing w:line="360" w:lineRule="auto"/>
        <w:ind w:firstLine="2552"/>
        <w:jc w:val="both"/>
      </w:pPr>
      <w:r w:rsidRPr="00E304A1">
        <w:rPr>
          <w:rFonts w:cs="Arial"/>
          <w:b/>
        </w:rPr>
        <w:t>19</w:t>
      </w:r>
      <w:r w:rsidRPr="00E304A1">
        <w:rPr>
          <w:rFonts w:cs="Arial"/>
        </w:rPr>
        <w:t>)</w:t>
      </w:r>
      <w:r>
        <w:rPr>
          <w:rFonts w:cs="Arial"/>
          <w:i/>
        </w:rPr>
        <w:t xml:space="preserve"> </w:t>
      </w:r>
      <w:r w:rsidRPr="00E34042">
        <w:rPr>
          <w:rFonts w:cs="Arial"/>
        </w:rPr>
        <w:t>que luego de la contestación realizada al respecto por la Gerencia de Portland y  por el Área de Abastecimiento, en el informe final de los Servicios Jurídicos elaborado el 28/9/17,  se concluye que  (numeral 5) “</w:t>
      </w:r>
      <w:r w:rsidR="00811CA8">
        <w:rPr>
          <w:rFonts w:cs="Arial"/>
        </w:rPr>
        <w:t>…</w:t>
      </w:r>
      <w:r w:rsidRPr="00E34042">
        <w:rPr>
          <w:rFonts w:cs="Arial"/>
          <w:i/>
        </w:rPr>
        <w:t xml:space="preserve">En la transacción que se proyecta, el monto por equipos adicionales a pagarse es por un total de </w:t>
      </w:r>
      <w:r w:rsidR="001C31CE">
        <w:rPr>
          <w:rFonts w:cs="Arial"/>
          <w:i/>
        </w:rPr>
        <w:t xml:space="preserve">€ </w:t>
      </w:r>
      <w:r w:rsidRPr="00E34042">
        <w:rPr>
          <w:rFonts w:cs="Arial"/>
          <w:i/>
        </w:rPr>
        <w:t xml:space="preserve">141.805 de acuerdo </w:t>
      </w:r>
      <w:r w:rsidR="001C31CE">
        <w:rPr>
          <w:rFonts w:cs="Arial"/>
          <w:i/>
        </w:rPr>
        <w:t>con</w:t>
      </w:r>
      <w:r w:rsidRPr="00E34042">
        <w:rPr>
          <w:rFonts w:cs="Arial"/>
          <w:i/>
        </w:rPr>
        <w:t xml:space="preserve"> lo informado a fs. 61, </w:t>
      </w:r>
      <w:proofErr w:type="gramStart"/>
      <w:r w:rsidRPr="00E34042">
        <w:rPr>
          <w:rFonts w:cs="Arial"/>
          <w:i/>
        </w:rPr>
        <w:t>por</w:t>
      </w:r>
      <w:proofErr w:type="gramEnd"/>
      <w:r w:rsidRPr="00E34042">
        <w:rPr>
          <w:rFonts w:cs="Arial"/>
          <w:i/>
        </w:rPr>
        <w:t xml:space="preserve"> lo que surgiría una diferencia de equipos equivalente a aproximadamente </w:t>
      </w:r>
      <w:r w:rsidR="001C31CE">
        <w:rPr>
          <w:rFonts w:cs="Arial"/>
          <w:i/>
        </w:rPr>
        <w:t xml:space="preserve">        € </w:t>
      </w:r>
      <w:r w:rsidRPr="00E34042">
        <w:rPr>
          <w:rFonts w:cs="Arial"/>
          <w:i/>
        </w:rPr>
        <w:t>90.000 respecto a</w:t>
      </w:r>
      <w:r w:rsidR="00F514C2">
        <w:rPr>
          <w:rFonts w:cs="Arial"/>
          <w:i/>
        </w:rPr>
        <w:t xml:space="preserve"> </w:t>
      </w:r>
      <w:r w:rsidRPr="00E34042">
        <w:rPr>
          <w:rFonts w:cs="Arial"/>
          <w:i/>
        </w:rPr>
        <w:t>l</w:t>
      </w:r>
      <w:r w:rsidR="00F514C2">
        <w:rPr>
          <w:rFonts w:cs="Arial"/>
          <w:i/>
        </w:rPr>
        <w:t>a</w:t>
      </w:r>
      <w:r w:rsidRPr="00E34042">
        <w:rPr>
          <w:rFonts w:cs="Arial"/>
          <w:i/>
        </w:rPr>
        <w:t xml:space="preserve"> cual no surgiría de las presentes actuaciones información sobre su ingreso a la Planta.”.</w:t>
      </w:r>
    </w:p>
    <w:p w:rsidR="00E12F86" w:rsidRPr="001C31CE" w:rsidRDefault="00E304A1" w:rsidP="00E12F86">
      <w:pPr>
        <w:spacing w:line="360" w:lineRule="auto"/>
        <w:ind w:firstLine="2552"/>
        <w:jc w:val="both"/>
        <w:rPr>
          <w:rFonts w:cs="Arial"/>
        </w:rPr>
      </w:pPr>
      <w:r w:rsidRPr="00E304A1">
        <w:rPr>
          <w:b/>
        </w:rPr>
        <w:t>20)</w:t>
      </w:r>
      <w:r>
        <w:t xml:space="preserve"> que </w:t>
      </w:r>
      <w:r w:rsidRPr="00E34042">
        <w:rPr>
          <w:rFonts w:cs="Arial"/>
        </w:rPr>
        <w:t>en contestación a la observación que viene</w:t>
      </w:r>
      <w:r w:rsidR="001C31CE">
        <w:rPr>
          <w:rFonts w:cs="Arial"/>
        </w:rPr>
        <w:t xml:space="preserve"> de</w:t>
      </w:r>
      <w:r w:rsidRPr="00E34042">
        <w:rPr>
          <w:rFonts w:cs="Arial"/>
        </w:rPr>
        <w:t xml:space="preserve"> referirse, el Gerente de Operaciones Portland, por informe del 3/10/17, señala que: “</w:t>
      </w:r>
      <w:r w:rsidRPr="00E34042">
        <w:rPr>
          <w:rFonts w:cs="Arial"/>
          <w:i/>
        </w:rPr>
        <w:t xml:space="preserve">1) El valor reclamado por FL SMIDTH y aceptado por ANCAP, de acuerdo </w:t>
      </w:r>
      <w:r w:rsidR="001C31CE">
        <w:rPr>
          <w:rFonts w:cs="Arial"/>
          <w:i/>
        </w:rPr>
        <w:t>con lo</w:t>
      </w:r>
      <w:r w:rsidRPr="00E34042">
        <w:rPr>
          <w:rFonts w:cs="Arial"/>
          <w:i/>
        </w:rPr>
        <w:t xml:space="preserve"> indicado en fs. 187, coincid</w:t>
      </w:r>
      <w:r w:rsidR="00F514C2">
        <w:rPr>
          <w:rFonts w:cs="Arial"/>
          <w:i/>
        </w:rPr>
        <w:t>e</w:t>
      </w:r>
      <w:r w:rsidRPr="00E34042">
        <w:rPr>
          <w:rFonts w:cs="Arial"/>
          <w:i/>
        </w:rPr>
        <w:t xml:space="preserve"> con el monto asignado en el acuerdo transacción por </w:t>
      </w:r>
      <w:r w:rsidR="001C31CE">
        <w:rPr>
          <w:rFonts w:cs="Arial"/>
          <w:i/>
        </w:rPr>
        <w:t xml:space="preserve">€ </w:t>
      </w:r>
      <w:r w:rsidRPr="00E34042">
        <w:rPr>
          <w:rFonts w:cs="Arial"/>
          <w:i/>
        </w:rPr>
        <w:t xml:space="preserve">141.805. 2) La descripción y cantidad de los equipos  de acuerdo </w:t>
      </w:r>
      <w:r w:rsidR="001C31CE">
        <w:rPr>
          <w:rFonts w:cs="Arial"/>
          <w:i/>
        </w:rPr>
        <w:t>con</w:t>
      </w:r>
      <w:r w:rsidRPr="00E34042">
        <w:rPr>
          <w:rFonts w:cs="Arial"/>
          <w:i/>
        </w:rPr>
        <w:t xml:space="preserve"> la cotización</w:t>
      </w:r>
      <w:r w:rsidR="00811CA8">
        <w:rPr>
          <w:rFonts w:cs="Arial"/>
          <w:i/>
        </w:rPr>
        <w:t xml:space="preserve"> c</w:t>
      </w:r>
      <w:r w:rsidRPr="00E34042">
        <w:rPr>
          <w:rFonts w:cs="Arial"/>
          <w:i/>
        </w:rPr>
        <w:t>oincide exactamente con las cantidades y descripciones de los mismos según facturas en fs. 209 a 212. 3) La diferencia se debe al valor en los documentos con los cuales se realizó la importación, que tenían un valor s</w:t>
      </w:r>
      <w:r w:rsidR="001C31CE">
        <w:rPr>
          <w:rFonts w:cs="Arial"/>
          <w:i/>
        </w:rPr>
        <w:t>ó</w:t>
      </w:r>
      <w:r w:rsidRPr="00E34042">
        <w:rPr>
          <w:rFonts w:cs="Arial"/>
          <w:i/>
        </w:rPr>
        <w:t>lo a los efectos de Aduana. Por otro lado, el acuerdo transaccional se acordó firmarlo antes del 31 octubre de 2017, fecha a partir de la cual ANCAP debería pagar intereses por un monto en USD 142.773, según fs. 176 a 186”</w:t>
      </w:r>
      <w:r w:rsidR="001C31CE">
        <w:rPr>
          <w:rFonts w:cs="Arial"/>
        </w:rPr>
        <w:t>;</w:t>
      </w:r>
    </w:p>
    <w:p w:rsidR="00E12F86" w:rsidRDefault="00E304A1" w:rsidP="00E12F86">
      <w:pPr>
        <w:spacing w:line="360" w:lineRule="auto"/>
        <w:ind w:firstLine="2552"/>
        <w:jc w:val="both"/>
        <w:rPr>
          <w:rFonts w:cs="Arial"/>
        </w:rPr>
      </w:pPr>
      <w:r w:rsidRPr="00E304A1">
        <w:rPr>
          <w:b/>
        </w:rPr>
        <w:t>21</w:t>
      </w:r>
      <w:r w:rsidR="003766A9" w:rsidRPr="00E304A1">
        <w:rPr>
          <w:b/>
        </w:rPr>
        <w:t>)</w:t>
      </w:r>
      <w:r w:rsidR="003766A9">
        <w:t xml:space="preserve"> que c</w:t>
      </w:r>
      <w:r w:rsidR="003766A9">
        <w:rPr>
          <w:rFonts w:cs="Arial"/>
        </w:rPr>
        <w:t xml:space="preserve">onforme surge de obrados, remitidas las actuaciones para la intervención del gasto emergente de la referida transacción, </w:t>
      </w:r>
      <w:r w:rsidR="003766A9" w:rsidRPr="00E34042">
        <w:rPr>
          <w:rFonts w:cs="Arial"/>
        </w:rPr>
        <w:t xml:space="preserve"> </w:t>
      </w:r>
      <w:r w:rsidR="003766A9">
        <w:rPr>
          <w:rFonts w:cs="Arial"/>
        </w:rPr>
        <w:t xml:space="preserve">este Tribunal con fecha 26/10/17 acordó, para </w:t>
      </w:r>
      <w:r w:rsidR="003766A9" w:rsidRPr="00E34042">
        <w:rPr>
          <w:rFonts w:cs="Arial"/>
        </w:rPr>
        <w:t>mejor proveer,  dev</w:t>
      </w:r>
      <w:r w:rsidR="003766A9">
        <w:rPr>
          <w:rFonts w:cs="Arial"/>
        </w:rPr>
        <w:t>o</w:t>
      </w:r>
      <w:r w:rsidR="003766A9" w:rsidRPr="00E34042">
        <w:rPr>
          <w:rFonts w:cs="Arial"/>
        </w:rPr>
        <w:t>lv</w:t>
      </w:r>
      <w:r w:rsidR="003766A9">
        <w:rPr>
          <w:rFonts w:cs="Arial"/>
        </w:rPr>
        <w:t>er las mismas</w:t>
      </w:r>
      <w:r w:rsidR="003766A9" w:rsidRPr="00E34042">
        <w:rPr>
          <w:rFonts w:cs="Arial"/>
        </w:rPr>
        <w:t xml:space="preserve"> a los efectos que: </w:t>
      </w:r>
    </w:p>
    <w:p w:rsidR="00E12F86" w:rsidRDefault="003766A9" w:rsidP="00E12F86">
      <w:pPr>
        <w:spacing w:line="360" w:lineRule="auto"/>
        <w:jc w:val="both"/>
        <w:rPr>
          <w:rFonts w:cs="Arial"/>
        </w:rPr>
      </w:pPr>
      <w:r w:rsidRPr="00E34042">
        <w:rPr>
          <w:rFonts w:cs="Arial"/>
          <w:b/>
        </w:rPr>
        <w:t>1)</w:t>
      </w:r>
      <w:r w:rsidRPr="00E34042">
        <w:rPr>
          <w:rFonts w:cs="Arial"/>
        </w:rPr>
        <w:t xml:space="preserve"> se informe respecto al objeto y resultancias de la investigación administrativa referida en el numeral 2) del Capítulo 4) del informe de los Servicios Jurídicos elaborado el 24/7/17  y su eventual  incidencia desde el punto de vista jurídico en la realización de la transacción proyectada, </w:t>
      </w:r>
    </w:p>
    <w:p w:rsidR="00E12F86" w:rsidRDefault="003766A9" w:rsidP="00E12F86">
      <w:pPr>
        <w:spacing w:line="360" w:lineRule="auto"/>
        <w:jc w:val="both"/>
        <w:rPr>
          <w:rFonts w:cs="Arial"/>
        </w:rPr>
      </w:pPr>
      <w:r w:rsidRPr="00E34042">
        <w:rPr>
          <w:rFonts w:cs="Arial"/>
          <w:b/>
        </w:rPr>
        <w:t>2)</w:t>
      </w:r>
      <w:r w:rsidRPr="00E34042">
        <w:rPr>
          <w:rFonts w:cs="Arial"/>
        </w:rPr>
        <w:t xml:space="preserve"> se aclaren  las divergencias existentes entre el informe final de los  Servicios Jurídicos  del 28/9/17 y el de la Gerencia de Portland del 3/10/17,  sirviéndose especificar  en particular,  el alcance de lo señalado por la Gerencia en el sentido de que “</w:t>
      </w:r>
      <w:r w:rsidRPr="00E34042">
        <w:rPr>
          <w:rFonts w:cs="Arial"/>
          <w:i/>
        </w:rPr>
        <w:t>la diferencia se debe al valor en los documentos con los cuales se realizó la importación, que tenían un valor sólo a los efectos de Aduana</w:t>
      </w:r>
      <w:r w:rsidRPr="00E34042">
        <w:rPr>
          <w:rFonts w:cs="Arial"/>
        </w:rPr>
        <w:t xml:space="preserve">”, </w:t>
      </w:r>
    </w:p>
    <w:p w:rsidR="003766A9" w:rsidRPr="00E12F86" w:rsidRDefault="003766A9" w:rsidP="00E12F86">
      <w:pPr>
        <w:spacing w:line="360" w:lineRule="auto"/>
        <w:jc w:val="both"/>
      </w:pPr>
      <w:r w:rsidRPr="00E34042">
        <w:rPr>
          <w:rFonts w:cs="Arial"/>
          <w:b/>
        </w:rPr>
        <w:t>3)</w:t>
      </w:r>
      <w:r w:rsidRPr="00E34042">
        <w:rPr>
          <w:rFonts w:cs="Arial"/>
        </w:rPr>
        <w:t xml:space="preserve"> informe si ya existe un acuerdo entre las partes que las vincule </w:t>
      </w:r>
      <w:r w:rsidR="00A42675">
        <w:rPr>
          <w:rFonts w:cs="Arial"/>
        </w:rPr>
        <w:t>jurídicamente</w:t>
      </w:r>
      <w:r w:rsidRPr="00E34042">
        <w:rPr>
          <w:rFonts w:cs="Arial"/>
        </w:rPr>
        <w:t>, del cual surja la obligación  de celebrar la transacción referida en un plazo determinado, remitiendo en su caso copia del mismo</w:t>
      </w:r>
      <w:r w:rsidR="001C31CE">
        <w:rPr>
          <w:rFonts w:cs="Arial"/>
        </w:rPr>
        <w:t>;</w:t>
      </w:r>
    </w:p>
    <w:p w:rsidR="00E12F86" w:rsidRDefault="00E304A1" w:rsidP="00E12F86">
      <w:pPr>
        <w:pStyle w:val="Prrafodelista"/>
        <w:spacing w:line="360" w:lineRule="auto"/>
        <w:ind w:left="-120" w:firstLine="2672"/>
        <w:jc w:val="both"/>
        <w:rPr>
          <w:rFonts w:ascii="Arial" w:hAnsi="Arial" w:cs="Arial"/>
        </w:rPr>
      </w:pPr>
      <w:r>
        <w:rPr>
          <w:rFonts w:ascii="Arial" w:hAnsi="Arial" w:cs="Arial"/>
          <w:b/>
        </w:rPr>
        <w:t>22</w:t>
      </w:r>
      <w:r w:rsidR="003766A9" w:rsidRPr="003766A9">
        <w:rPr>
          <w:rFonts w:ascii="Arial" w:hAnsi="Arial" w:cs="Arial"/>
          <w:b/>
        </w:rPr>
        <w:t>)</w:t>
      </w:r>
      <w:r w:rsidR="003766A9">
        <w:rPr>
          <w:b/>
        </w:rPr>
        <w:t xml:space="preserve"> </w:t>
      </w:r>
      <w:r w:rsidR="003766A9" w:rsidRPr="003766A9">
        <w:rPr>
          <w:rFonts w:ascii="Arial" w:hAnsi="Arial" w:cs="Arial"/>
        </w:rPr>
        <w:t>que en</w:t>
      </w:r>
      <w:r w:rsidR="003766A9">
        <w:rPr>
          <w:b/>
        </w:rPr>
        <w:t xml:space="preserve"> </w:t>
      </w:r>
      <w:r w:rsidR="003766A9" w:rsidRPr="00D4790D">
        <w:rPr>
          <w:rFonts w:ascii="Arial" w:hAnsi="Arial" w:cs="Arial"/>
        </w:rPr>
        <w:t xml:space="preserve">contestación a lo solicitado por este Tribunal, </w:t>
      </w:r>
      <w:r w:rsidR="003766A9">
        <w:rPr>
          <w:rFonts w:ascii="Arial" w:hAnsi="Arial" w:cs="Arial"/>
        </w:rPr>
        <w:t xml:space="preserve">ANCAP </w:t>
      </w:r>
      <w:r w:rsidR="00F514DD" w:rsidRPr="00D4790D">
        <w:rPr>
          <w:rFonts w:ascii="Arial" w:hAnsi="Arial" w:cs="Arial"/>
        </w:rPr>
        <w:t>remit</w:t>
      </w:r>
      <w:r w:rsidR="00F514DD">
        <w:rPr>
          <w:rFonts w:ascii="Arial" w:hAnsi="Arial" w:cs="Arial"/>
        </w:rPr>
        <w:t>ió</w:t>
      </w:r>
      <w:r w:rsidR="003766A9">
        <w:rPr>
          <w:rFonts w:ascii="Arial" w:hAnsi="Arial" w:cs="Arial"/>
        </w:rPr>
        <w:t xml:space="preserve"> </w:t>
      </w:r>
      <w:r w:rsidR="003766A9" w:rsidRPr="00D4790D">
        <w:rPr>
          <w:rFonts w:ascii="Arial" w:hAnsi="Arial" w:cs="Arial"/>
        </w:rPr>
        <w:t xml:space="preserve">las actuaciones, </w:t>
      </w:r>
      <w:r w:rsidR="003B4067" w:rsidRPr="00D4790D">
        <w:rPr>
          <w:rFonts w:ascii="Arial" w:hAnsi="Arial" w:cs="Arial"/>
        </w:rPr>
        <w:t>informando</w:t>
      </w:r>
      <w:r w:rsidR="003766A9" w:rsidRPr="00D4790D">
        <w:rPr>
          <w:rFonts w:ascii="Arial" w:hAnsi="Arial" w:cs="Arial"/>
        </w:rPr>
        <w:t xml:space="preserve"> que: </w:t>
      </w:r>
    </w:p>
    <w:p w:rsidR="00E12F86" w:rsidRDefault="003766A9" w:rsidP="00E12F86">
      <w:pPr>
        <w:pStyle w:val="Prrafodelista"/>
        <w:spacing w:line="360" w:lineRule="auto"/>
        <w:ind w:left="-120"/>
        <w:jc w:val="both"/>
        <w:rPr>
          <w:rFonts w:ascii="Arial" w:hAnsi="Arial" w:cs="Arial"/>
        </w:rPr>
      </w:pPr>
      <w:r w:rsidRPr="001C421D">
        <w:rPr>
          <w:rFonts w:ascii="Arial" w:hAnsi="Arial" w:cs="Arial"/>
          <w:b/>
        </w:rPr>
        <w:t>a)</w:t>
      </w:r>
      <w:r w:rsidRPr="00D4790D">
        <w:rPr>
          <w:rFonts w:ascii="Arial" w:hAnsi="Arial" w:cs="Arial"/>
        </w:rPr>
        <w:t xml:space="preserve"> </w:t>
      </w:r>
      <w:r>
        <w:rPr>
          <w:rFonts w:ascii="Arial" w:hAnsi="Arial" w:cs="Arial"/>
        </w:rPr>
        <w:t>“…</w:t>
      </w:r>
      <w:r w:rsidRPr="00952A6A">
        <w:rPr>
          <w:rFonts w:ascii="Arial" w:hAnsi="Arial" w:cs="Arial"/>
          <w:i/>
        </w:rPr>
        <w:t xml:space="preserve">la investigación referida en el numeral  2) del Capítulo 4) del informe de los Servicios Jurídicos  del 24/7/17 fue decretada por el Directorio mediante Resolución Nº 325/5/2016 de fecha 19/5/16 y su objeto es determinar la existencia o </w:t>
      </w:r>
      <w:proofErr w:type="spellStart"/>
      <w:r w:rsidRPr="00952A6A">
        <w:rPr>
          <w:rFonts w:ascii="Arial" w:hAnsi="Arial" w:cs="Arial"/>
          <w:i/>
        </w:rPr>
        <w:t>n</w:t>
      </w:r>
      <w:r w:rsidR="001C31CE">
        <w:rPr>
          <w:rFonts w:ascii="Arial" w:hAnsi="Arial" w:cs="Arial"/>
          <w:i/>
        </w:rPr>
        <w:t>ó</w:t>
      </w:r>
      <w:proofErr w:type="spellEnd"/>
      <w:r w:rsidRPr="00952A6A">
        <w:rPr>
          <w:rFonts w:ascii="Arial" w:hAnsi="Arial" w:cs="Arial"/>
          <w:i/>
        </w:rPr>
        <w:t xml:space="preserve"> de responsabilidades en el marco del procedimiento y ejecución de la contratación directa por excepción Nº 2700058500.  A la fecha, dicha investigación se encuentra en trámite de instrucción. Con relación a la eventual incidencia desde el punto de vista jurídico en la realización de la transacción proyectada,  se señala que  una parte del monto transado corresponde al pago de servicios de supervisión, que derivarían de una ampliación de la contratación directa </w:t>
      </w:r>
      <w:r w:rsidR="001C31CE">
        <w:rPr>
          <w:rFonts w:ascii="Arial" w:hAnsi="Arial" w:cs="Arial"/>
          <w:i/>
        </w:rPr>
        <w:t>N</w:t>
      </w:r>
      <w:r w:rsidRPr="00952A6A">
        <w:rPr>
          <w:rFonts w:ascii="Arial" w:hAnsi="Arial" w:cs="Arial"/>
          <w:i/>
        </w:rPr>
        <w:t>º 2700058500</w:t>
      </w:r>
      <w:r>
        <w:rPr>
          <w:rFonts w:ascii="Arial" w:hAnsi="Arial" w:cs="Arial"/>
          <w:i/>
        </w:rPr>
        <w:t>…”</w:t>
      </w:r>
      <w:r>
        <w:rPr>
          <w:rFonts w:ascii="Arial" w:hAnsi="Arial" w:cs="Arial"/>
        </w:rPr>
        <w:t>,</w:t>
      </w:r>
      <w:r w:rsidRPr="00D4790D">
        <w:rPr>
          <w:rFonts w:ascii="Arial" w:hAnsi="Arial" w:cs="Arial"/>
        </w:rPr>
        <w:t xml:space="preserve"> </w:t>
      </w:r>
    </w:p>
    <w:p w:rsidR="00E12F86" w:rsidRDefault="003766A9" w:rsidP="00E12F86">
      <w:pPr>
        <w:pStyle w:val="Prrafodelista"/>
        <w:spacing w:line="360" w:lineRule="auto"/>
        <w:ind w:left="-120"/>
        <w:jc w:val="both"/>
        <w:rPr>
          <w:rFonts w:ascii="Arial" w:hAnsi="Arial" w:cs="Arial"/>
        </w:rPr>
      </w:pPr>
      <w:r w:rsidRPr="001C421D">
        <w:rPr>
          <w:rFonts w:ascii="Arial" w:hAnsi="Arial" w:cs="Arial"/>
          <w:b/>
        </w:rPr>
        <w:t>b)</w:t>
      </w:r>
      <w:r w:rsidRPr="00D4790D">
        <w:rPr>
          <w:rFonts w:ascii="Arial" w:hAnsi="Arial" w:cs="Arial"/>
        </w:rPr>
        <w:t xml:space="preserve"> </w:t>
      </w:r>
      <w:r>
        <w:rPr>
          <w:rFonts w:ascii="Arial" w:hAnsi="Arial" w:cs="Arial"/>
        </w:rPr>
        <w:t>“…</w:t>
      </w:r>
      <w:r w:rsidRPr="00952A6A">
        <w:rPr>
          <w:rFonts w:ascii="Arial" w:hAnsi="Arial" w:cs="Arial"/>
          <w:i/>
        </w:rPr>
        <w:t xml:space="preserve">los documentos en los que se refleja la diferencia son, por un lado las facturas obrantes de fs. 209 a fs. 212 y por otro lado, los documentos aduaneros obrantes de fs. 197 a 208 del expediente Nº 239106/7. En ese sentido, la Gerencia de Abastecimiento informa que el área de Importaciones y Exportaciones  procedió al despacho y pago de los gastos asociados en Aduana de las mercaderías correspondientes a las facturas </w:t>
      </w:r>
      <w:proofErr w:type="spellStart"/>
      <w:r w:rsidRPr="00952A6A">
        <w:rPr>
          <w:rFonts w:ascii="Arial" w:hAnsi="Arial" w:cs="Arial"/>
          <w:i/>
        </w:rPr>
        <w:t>Nros</w:t>
      </w:r>
      <w:proofErr w:type="spellEnd"/>
      <w:r w:rsidRPr="00952A6A">
        <w:rPr>
          <w:rFonts w:ascii="Arial" w:hAnsi="Arial" w:cs="Arial"/>
          <w:i/>
        </w:rPr>
        <w:t xml:space="preserve">. 803.157 y 803.171 de la firma FLS, por la importación de equipos solicitados por Portland-Minas, no habiendo generado dicho trámite ninguna infracción aduanera. Con respecto a las mercaderías que vinieron consignadas a VIMAR </w:t>
      </w:r>
      <w:proofErr w:type="spellStart"/>
      <w:r w:rsidRPr="00952A6A">
        <w:rPr>
          <w:rFonts w:ascii="Arial" w:hAnsi="Arial" w:cs="Arial"/>
          <w:i/>
        </w:rPr>
        <w:t>Cement</w:t>
      </w:r>
      <w:proofErr w:type="spellEnd"/>
      <w:r w:rsidRPr="00952A6A">
        <w:rPr>
          <w:rFonts w:ascii="Arial" w:hAnsi="Arial" w:cs="Arial"/>
          <w:i/>
        </w:rPr>
        <w:t xml:space="preserve"> S.A., según facturas 802.639 y 803.009, dicha firma procedió al despacho ya que los entregó en la </w:t>
      </w:r>
      <w:r w:rsidR="00935BF5">
        <w:rPr>
          <w:rFonts w:ascii="Arial" w:hAnsi="Arial" w:cs="Arial"/>
          <w:i/>
        </w:rPr>
        <w:t>P</w:t>
      </w:r>
      <w:r w:rsidRPr="00952A6A">
        <w:rPr>
          <w:rFonts w:ascii="Arial" w:hAnsi="Arial" w:cs="Arial"/>
          <w:i/>
        </w:rPr>
        <w:t xml:space="preserve">lanta Minas, lo cual no generó irregularidad alguna a nivel de Aduana por la </w:t>
      </w:r>
      <w:r w:rsidR="00935BF5">
        <w:rPr>
          <w:rFonts w:ascii="Arial" w:hAnsi="Arial" w:cs="Arial"/>
          <w:i/>
        </w:rPr>
        <w:t xml:space="preserve">cual pudiera reclamársele algo </w:t>
      </w:r>
      <w:r w:rsidRPr="00952A6A">
        <w:rPr>
          <w:rFonts w:ascii="Arial" w:hAnsi="Arial" w:cs="Arial"/>
          <w:i/>
        </w:rPr>
        <w:t>a ANCAP</w:t>
      </w:r>
      <w:r>
        <w:rPr>
          <w:rFonts w:ascii="Arial" w:hAnsi="Arial" w:cs="Arial"/>
        </w:rPr>
        <w:t>…”</w:t>
      </w:r>
      <w:r w:rsidR="00935BF5">
        <w:rPr>
          <w:rFonts w:ascii="Arial" w:hAnsi="Arial" w:cs="Arial"/>
        </w:rPr>
        <w:t>;</w:t>
      </w:r>
      <w:r w:rsidRPr="00D4790D">
        <w:rPr>
          <w:rFonts w:ascii="Arial" w:hAnsi="Arial" w:cs="Arial"/>
        </w:rPr>
        <w:t xml:space="preserve"> y </w:t>
      </w:r>
    </w:p>
    <w:p w:rsidR="00E12F86" w:rsidRDefault="003766A9" w:rsidP="00E12F86">
      <w:pPr>
        <w:pStyle w:val="Prrafodelista"/>
        <w:spacing w:line="360" w:lineRule="auto"/>
        <w:ind w:left="-120"/>
        <w:jc w:val="both"/>
        <w:rPr>
          <w:rFonts w:ascii="Arial" w:hAnsi="Arial" w:cs="Arial"/>
        </w:rPr>
      </w:pPr>
      <w:r w:rsidRPr="001C421D">
        <w:rPr>
          <w:rFonts w:ascii="Arial" w:hAnsi="Arial" w:cs="Arial"/>
          <w:b/>
        </w:rPr>
        <w:t>c)</w:t>
      </w:r>
      <w:r w:rsidRPr="00D4790D">
        <w:rPr>
          <w:rFonts w:ascii="Arial" w:hAnsi="Arial" w:cs="Arial"/>
        </w:rPr>
        <w:t xml:space="preserve"> </w:t>
      </w:r>
      <w:r>
        <w:rPr>
          <w:rFonts w:ascii="Arial" w:hAnsi="Arial" w:cs="Arial"/>
        </w:rPr>
        <w:t>“…</w:t>
      </w:r>
      <w:r w:rsidRPr="00952A6A">
        <w:rPr>
          <w:rFonts w:ascii="Arial" w:hAnsi="Arial" w:cs="Arial"/>
          <w:i/>
        </w:rPr>
        <w:t xml:space="preserve">el compromiso surge del mismo acuerdo transacción cuya suscripción fue autorizada por Resolución del Directorio Nº 1116/10/2017. En tal sentido, a fs. 177 del expediente Nº 239106/7, correspondiente a la página 2 del ANEXO 2 del Acuerdo Transaccional autorizado en el correo electrónico del día 31 de agosto de 2017, el Señor </w:t>
      </w:r>
      <w:proofErr w:type="spellStart"/>
      <w:r w:rsidRPr="00952A6A">
        <w:rPr>
          <w:rFonts w:ascii="Arial" w:hAnsi="Arial" w:cs="Arial"/>
          <w:i/>
        </w:rPr>
        <w:t>Soren</w:t>
      </w:r>
      <w:proofErr w:type="spellEnd"/>
      <w:r w:rsidRPr="00952A6A">
        <w:rPr>
          <w:rFonts w:ascii="Arial" w:hAnsi="Arial" w:cs="Arial"/>
          <w:i/>
        </w:rPr>
        <w:t xml:space="preserve"> Schmidt, Project Manager por parte de FLS </w:t>
      </w:r>
      <w:proofErr w:type="spellStart"/>
      <w:r w:rsidRPr="00952A6A">
        <w:rPr>
          <w:rFonts w:ascii="Arial" w:hAnsi="Arial" w:cs="Arial"/>
          <w:i/>
        </w:rPr>
        <w:t>Smidth</w:t>
      </w:r>
      <w:proofErr w:type="spellEnd"/>
      <w:r w:rsidRPr="00952A6A">
        <w:rPr>
          <w:rFonts w:ascii="Arial" w:hAnsi="Arial" w:cs="Arial"/>
          <w:i/>
        </w:rPr>
        <w:t>, señala: “</w:t>
      </w:r>
      <w:proofErr w:type="spellStart"/>
      <w:r w:rsidRPr="00952A6A">
        <w:rPr>
          <w:rFonts w:ascii="Arial" w:hAnsi="Arial" w:cs="Arial"/>
          <w:i/>
        </w:rPr>
        <w:t>We</w:t>
      </w:r>
      <w:proofErr w:type="spellEnd"/>
      <w:r w:rsidRPr="00952A6A">
        <w:rPr>
          <w:rFonts w:ascii="Arial" w:hAnsi="Arial" w:cs="Arial"/>
          <w:i/>
        </w:rPr>
        <w:t xml:space="preserve"> </w:t>
      </w:r>
      <w:proofErr w:type="spellStart"/>
      <w:r w:rsidRPr="00952A6A">
        <w:rPr>
          <w:rFonts w:ascii="Arial" w:hAnsi="Arial" w:cs="Arial"/>
          <w:i/>
        </w:rPr>
        <w:t>accept</w:t>
      </w:r>
      <w:proofErr w:type="spellEnd"/>
      <w:r w:rsidRPr="00952A6A">
        <w:rPr>
          <w:rFonts w:ascii="Arial" w:hAnsi="Arial" w:cs="Arial"/>
          <w:i/>
        </w:rPr>
        <w:t xml:space="preserve"> </w:t>
      </w:r>
      <w:proofErr w:type="spellStart"/>
      <w:r w:rsidRPr="00952A6A">
        <w:rPr>
          <w:rFonts w:ascii="Arial" w:hAnsi="Arial" w:cs="Arial"/>
          <w:i/>
        </w:rPr>
        <w:t>your</w:t>
      </w:r>
      <w:proofErr w:type="spellEnd"/>
      <w:r w:rsidRPr="00952A6A">
        <w:rPr>
          <w:rFonts w:ascii="Arial" w:hAnsi="Arial" w:cs="Arial"/>
          <w:i/>
        </w:rPr>
        <w:t xml:space="preserve"> </w:t>
      </w:r>
      <w:proofErr w:type="spellStart"/>
      <w:r w:rsidRPr="00952A6A">
        <w:rPr>
          <w:rFonts w:ascii="Arial" w:hAnsi="Arial" w:cs="Arial"/>
          <w:i/>
        </w:rPr>
        <w:t>proposal</w:t>
      </w:r>
      <w:proofErr w:type="spellEnd"/>
      <w:r w:rsidRPr="00952A6A">
        <w:rPr>
          <w:rFonts w:ascii="Arial" w:hAnsi="Arial" w:cs="Arial"/>
          <w:i/>
        </w:rPr>
        <w:t xml:space="preserve">, </w:t>
      </w:r>
      <w:proofErr w:type="spellStart"/>
      <w:r w:rsidRPr="00952A6A">
        <w:rPr>
          <w:rFonts w:ascii="Arial" w:hAnsi="Arial" w:cs="Arial"/>
          <w:i/>
        </w:rPr>
        <w:t>considering</w:t>
      </w:r>
      <w:proofErr w:type="spellEnd"/>
      <w:r w:rsidRPr="00952A6A">
        <w:rPr>
          <w:rFonts w:ascii="Arial" w:hAnsi="Arial" w:cs="Arial"/>
          <w:i/>
        </w:rPr>
        <w:t xml:space="preserve"> </w:t>
      </w:r>
      <w:proofErr w:type="spellStart"/>
      <w:r w:rsidRPr="00952A6A">
        <w:rPr>
          <w:rFonts w:ascii="Arial" w:hAnsi="Arial" w:cs="Arial"/>
          <w:i/>
        </w:rPr>
        <w:t>that</w:t>
      </w:r>
      <w:proofErr w:type="spellEnd"/>
      <w:r w:rsidRPr="00D4790D">
        <w:rPr>
          <w:rFonts w:ascii="Arial" w:hAnsi="Arial" w:cs="Arial"/>
        </w:rPr>
        <w:t xml:space="preserve"> </w:t>
      </w:r>
      <w:r w:rsidRPr="00952A6A">
        <w:rPr>
          <w:rFonts w:ascii="Arial" w:hAnsi="Arial" w:cs="Arial"/>
          <w:i/>
        </w:rPr>
        <w:t xml:space="preserve">ANCAP </w:t>
      </w:r>
      <w:proofErr w:type="spellStart"/>
      <w:r w:rsidRPr="00952A6A">
        <w:rPr>
          <w:rFonts w:ascii="Arial" w:hAnsi="Arial" w:cs="Arial"/>
          <w:i/>
        </w:rPr>
        <w:t>will</w:t>
      </w:r>
      <w:proofErr w:type="spellEnd"/>
      <w:r w:rsidRPr="00952A6A">
        <w:rPr>
          <w:rFonts w:ascii="Arial" w:hAnsi="Arial" w:cs="Arial"/>
          <w:i/>
        </w:rPr>
        <w:t xml:space="preserve"> do </w:t>
      </w:r>
      <w:proofErr w:type="spellStart"/>
      <w:r w:rsidRPr="00952A6A">
        <w:rPr>
          <w:rFonts w:ascii="Arial" w:hAnsi="Arial" w:cs="Arial"/>
          <w:i/>
        </w:rPr>
        <w:t>the</w:t>
      </w:r>
      <w:proofErr w:type="spellEnd"/>
      <w:r w:rsidRPr="00952A6A">
        <w:rPr>
          <w:rFonts w:ascii="Arial" w:hAnsi="Arial" w:cs="Arial"/>
          <w:i/>
        </w:rPr>
        <w:t xml:space="preserve"> </w:t>
      </w:r>
      <w:proofErr w:type="spellStart"/>
      <w:r w:rsidRPr="00952A6A">
        <w:rPr>
          <w:rFonts w:ascii="Arial" w:hAnsi="Arial" w:cs="Arial"/>
          <w:i/>
        </w:rPr>
        <w:t>payment</w:t>
      </w:r>
      <w:proofErr w:type="spellEnd"/>
      <w:r w:rsidRPr="00952A6A">
        <w:rPr>
          <w:rFonts w:ascii="Arial" w:hAnsi="Arial" w:cs="Arial"/>
          <w:i/>
        </w:rPr>
        <w:t xml:space="preserve"> </w:t>
      </w:r>
      <w:proofErr w:type="spellStart"/>
      <w:r w:rsidRPr="00952A6A">
        <w:rPr>
          <w:rFonts w:ascii="Arial" w:hAnsi="Arial" w:cs="Arial"/>
          <w:i/>
        </w:rPr>
        <w:t>before</w:t>
      </w:r>
      <w:proofErr w:type="spellEnd"/>
      <w:r w:rsidRPr="00952A6A">
        <w:rPr>
          <w:rFonts w:ascii="Arial" w:hAnsi="Arial" w:cs="Arial"/>
          <w:i/>
        </w:rPr>
        <w:t xml:space="preserve"> 31/OCT.2017. </w:t>
      </w:r>
      <w:r w:rsidRPr="00952A6A">
        <w:rPr>
          <w:rFonts w:ascii="Arial" w:hAnsi="Arial" w:cs="Arial"/>
          <w:i/>
          <w:lang w:val="en-US"/>
        </w:rPr>
        <w:t xml:space="preserve">Kindly include the </w:t>
      </w:r>
      <w:proofErr w:type="spellStart"/>
      <w:r w:rsidRPr="00952A6A">
        <w:rPr>
          <w:rFonts w:ascii="Arial" w:hAnsi="Arial" w:cs="Arial"/>
          <w:i/>
          <w:lang w:val="en-US"/>
        </w:rPr>
        <w:t>coments</w:t>
      </w:r>
      <w:proofErr w:type="spellEnd"/>
      <w:r w:rsidRPr="00952A6A">
        <w:rPr>
          <w:rFonts w:ascii="Arial" w:hAnsi="Arial" w:cs="Arial"/>
          <w:i/>
          <w:lang w:val="en-US"/>
        </w:rPr>
        <w:t xml:space="preserve"> into the final agreement for signing the same.</w:t>
      </w:r>
      <w:proofErr w:type="gramStart"/>
      <w:r w:rsidRPr="00952A6A">
        <w:rPr>
          <w:rFonts w:ascii="Arial" w:hAnsi="Arial" w:cs="Arial"/>
          <w:i/>
          <w:lang w:val="en-US"/>
        </w:rPr>
        <w:t>”.</w:t>
      </w:r>
      <w:proofErr w:type="gramEnd"/>
      <w:r w:rsidRPr="00952A6A">
        <w:rPr>
          <w:rFonts w:ascii="Arial" w:hAnsi="Arial" w:cs="Arial"/>
          <w:i/>
          <w:lang w:val="en-US"/>
        </w:rPr>
        <w:t xml:space="preserve"> </w:t>
      </w:r>
      <w:r w:rsidRPr="00952A6A">
        <w:rPr>
          <w:rFonts w:ascii="Arial" w:hAnsi="Arial" w:cs="Arial"/>
          <w:i/>
        </w:rPr>
        <w:t xml:space="preserve">Esta aceptación de FLS, condicionada al pago anterior al 31 de </w:t>
      </w:r>
      <w:r w:rsidR="00935BF5">
        <w:rPr>
          <w:rFonts w:ascii="Arial" w:hAnsi="Arial" w:cs="Arial"/>
          <w:i/>
        </w:rPr>
        <w:t>o</w:t>
      </w:r>
      <w:r w:rsidRPr="00952A6A">
        <w:rPr>
          <w:rFonts w:ascii="Arial" w:hAnsi="Arial" w:cs="Arial"/>
          <w:i/>
        </w:rPr>
        <w:t>ctubre de 2017,</w:t>
      </w:r>
      <w:r>
        <w:rPr>
          <w:rFonts w:ascii="Arial" w:hAnsi="Arial" w:cs="Arial"/>
          <w:i/>
        </w:rPr>
        <w:t xml:space="preserve"> es en relación al numeral a) del correo electrónico enviado por el mismo </w:t>
      </w:r>
      <w:proofErr w:type="spellStart"/>
      <w:r w:rsidRPr="00952A6A">
        <w:rPr>
          <w:rFonts w:ascii="Arial" w:hAnsi="Arial" w:cs="Arial"/>
          <w:i/>
        </w:rPr>
        <w:t>Soren</w:t>
      </w:r>
      <w:proofErr w:type="spellEnd"/>
      <w:r w:rsidRPr="00952A6A">
        <w:rPr>
          <w:rFonts w:ascii="Arial" w:hAnsi="Arial" w:cs="Arial"/>
          <w:i/>
        </w:rPr>
        <w:t xml:space="preserve"> Schmidt</w:t>
      </w:r>
      <w:r>
        <w:rPr>
          <w:rFonts w:ascii="Arial" w:hAnsi="Arial" w:cs="Arial"/>
          <w:i/>
        </w:rPr>
        <w:t xml:space="preserve"> el d</w:t>
      </w:r>
      <w:r w:rsidR="00935BF5">
        <w:rPr>
          <w:rFonts w:ascii="Arial" w:hAnsi="Arial" w:cs="Arial"/>
          <w:i/>
        </w:rPr>
        <w:t>í</w:t>
      </w:r>
      <w:r>
        <w:rPr>
          <w:rFonts w:ascii="Arial" w:hAnsi="Arial" w:cs="Arial"/>
          <w:i/>
        </w:rPr>
        <w:t xml:space="preserve">a 24 de agosto de 2017, y a la respuesta enviada por ANCAP el 31 de agosto de 2017, </w:t>
      </w:r>
      <w:r w:rsidRPr="00952A6A">
        <w:rPr>
          <w:rFonts w:ascii="Arial" w:hAnsi="Arial" w:cs="Arial"/>
          <w:i/>
        </w:rPr>
        <w:t xml:space="preserve"> ambas comunicaciones obran a fs. 178 del expediente </w:t>
      </w:r>
      <w:r w:rsidR="00935BF5">
        <w:rPr>
          <w:rFonts w:ascii="Arial" w:hAnsi="Arial" w:cs="Arial"/>
          <w:i/>
        </w:rPr>
        <w:t>N</w:t>
      </w:r>
      <w:r w:rsidRPr="00952A6A">
        <w:rPr>
          <w:rFonts w:ascii="Arial" w:hAnsi="Arial" w:cs="Arial"/>
          <w:i/>
        </w:rPr>
        <w:t>º 239106/7, correspondiente a la página 3 del Anexo 2 del acuerdo transaccional propuesto y autorizado</w:t>
      </w:r>
      <w:r>
        <w:rPr>
          <w:rFonts w:ascii="Arial" w:hAnsi="Arial" w:cs="Arial"/>
        </w:rPr>
        <w:t>…”;</w:t>
      </w:r>
    </w:p>
    <w:p w:rsidR="00E12F86" w:rsidRDefault="00E304A1" w:rsidP="00E12F86">
      <w:pPr>
        <w:pStyle w:val="Prrafodelista"/>
        <w:spacing w:line="360" w:lineRule="auto"/>
        <w:ind w:left="-120" w:firstLine="2672"/>
        <w:jc w:val="both"/>
        <w:rPr>
          <w:rFonts w:ascii="Arial" w:hAnsi="Arial" w:cs="Arial"/>
        </w:rPr>
      </w:pPr>
      <w:r>
        <w:rPr>
          <w:rFonts w:ascii="Arial" w:hAnsi="Arial" w:cs="Arial"/>
          <w:b/>
        </w:rPr>
        <w:t>23</w:t>
      </w:r>
      <w:r w:rsidR="0018439E">
        <w:rPr>
          <w:rFonts w:ascii="Arial" w:hAnsi="Arial" w:cs="Arial"/>
          <w:b/>
        </w:rPr>
        <w:t xml:space="preserve">) </w:t>
      </w:r>
      <w:r w:rsidR="0018439E" w:rsidRPr="00832CBB">
        <w:rPr>
          <w:rFonts w:ascii="Arial" w:hAnsi="Arial" w:cs="Arial"/>
        </w:rPr>
        <w:t>que al respecto, este Tribunal tras advertir</w:t>
      </w:r>
      <w:r w:rsidR="0018439E">
        <w:rPr>
          <w:rFonts w:ascii="Arial" w:hAnsi="Arial" w:cs="Arial"/>
          <w:b/>
        </w:rPr>
        <w:t xml:space="preserve"> </w:t>
      </w:r>
      <w:r w:rsidR="0018439E">
        <w:rPr>
          <w:rFonts w:ascii="Arial" w:hAnsi="Arial" w:cs="Arial"/>
        </w:rPr>
        <w:t xml:space="preserve">que </w:t>
      </w:r>
      <w:r w:rsidR="00F514DD">
        <w:rPr>
          <w:rFonts w:ascii="Arial" w:hAnsi="Arial" w:cs="Arial"/>
        </w:rPr>
        <w:t>ANCAP</w:t>
      </w:r>
      <w:r w:rsidR="0018439E">
        <w:rPr>
          <w:rFonts w:ascii="Arial" w:hAnsi="Arial" w:cs="Arial"/>
        </w:rPr>
        <w:t xml:space="preserve"> seguía sin </w:t>
      </w:r>
      <w:r w:rsidR="0018439E" w:rsidRPr="00952A6A">
        <w:rPr>
          <w:rFonts w:ascii="Arial" w:hAnsi="Arial" w:cs="Arial"/>
        </w:rPr>
        <w:t>aclara</w:t>
      </w:r>
      <w:r w:rsidR="0018439E">
        <w:rPr>
          <w:rFonts w:ascii="Arial" w:hAnsi="Arial" w:cs="Arial"/>
        </w:rPr>
        <w:t>r</w:t>
      </w:r>
      <w:r w:rsidR="0018439E" w:rsidRPr="00952A6A">
        <w:rPr>
          <w:rFonts w:ascii="Arial" w:hAnsi="Arial" w:cs="Arial"/>
        </w:rPr>
        <w:t xml:space="preserve"> la divergencia existente entre el informe final de sus  Servicios Jurídicos  elaborado el  28/9/17 y el de la Gerencia de Portland del 3/10/17,   y en particular,  el alcance de lo señalado por la Gerencia en el sentido de que “</w:t>
      </w:r>
      <w:r w:rsidR="0018439E" w:rsidRPr="00952A6A">
        <w:rPr>
          <w:rFonts w:ascii="Arial" w:hAnsi="Arial" w:cs="Arial"/>
          <w:i/>
        </w:rPr>
        <w:t>la diferencia se debe al valor en los documentos con los cuales se realizó la importación, que tenían un valor sólo a los efectos de Aduana.”</w:t>
      </w:r>
      <w:r w:rsidR="0018439E">
        <w:rPr>
          <w:rFonts w:ascii="Arial" w:hAnsi="Arial" w:cs="Arial"/>
          <w:i/>
        </w:rPr>
        <w:t xml:space="preserve">, </w:t>
      </w:r>
      <w:r w:rsidR="0018439E" w:rsidRPr="00385BE7">
        <w:rPr>
          <w:rFonts w:ascii="Arial" w:hAnsi="Arial" w:cs="Arial"/>
        </w:rPr>
        <w:t>por Oficio Nº</w:t>
      </w:r>
      <w:r w:rsidR="00F514DD" w:rsidRPr="00385BE7">
        <w:rPr>
          <w:rFonts w:ascii="Arial" w:hAnsi="Arial" w:cs="Arial"/>
        </w:rPr>
        <w:t xml:space="preserve"> 9826</w:t>
      </w:r>
      <w:r w:rsidR="0018439E" w:rsidRPr="00385BE7">
        <w:rPr>
          <w:rFonts w:ascii="Arial" w:hAnsi="Arial" w:cs="Arial"/>
        </w:rPr>
        <w:t xml:space="preserve"> devolvió nuevamente las actuaciones a</w:t>
      </w:r>
      <w:r w:rsidR="00385BE7">
        <w:rPr>
          <w:rFonts w:ascii="Arial" w:hAnsi="Arial" w:cs="Arial"/>
        </w:rPr>
        <w:t xml:space="preserve"> </w:t>
      </w:r>
      <w:r w:rsidR="0018439E" w:rsidRPr="00385BE7">
        <w:rPr>
          <w:rFonts w:ascii="Arial" w:hAnsi="Arial" w:cs="Arial"/>
        </w:rPr>
        <w:t>fin que, para mejor proveer</w:t>
      </w:r>
      <w:r w:rsidR="0018439E">
        <w:rPr>
          <w:rFonts w:ascii="Arial" w:hAnsi="Arial" w:cs="Arial"/>
        </w:rPr>
        <w:t xml:space="preserve">, ANCAP </w:t>
      </w:r>
      <w:r w:rsidR="00385BE7">
        <w:rPr>
          <w:rFonts w:ascii="Arial" w:hAnsi="Arial" w:cs="Arial"/>
        </w:rPr>
        <w:t xml:space="preserve">realice la </w:t>
      </w:r>
      <w:r w:rsidR="0018439E">
        <w:rPr>
          <w:rFonts w:ascii="Arial" w:hAnsi="Arial" w:cs="Arial"/>
        </w:rPr>
        <w:t>aclar</w:t>
      </w:r>
      <w:r w:rsidR="00385BE7">
        <w:rPr>
          <w:rFonts w:ascii="Arial" w:hAnsi="Arial" w:cs="Arial"/>
        </w:rPr>
        <w:t xml:space="preserve">ación </w:t>
      </w:r>
      <w:r w:rsidR="00E12F86">
        <w:rPr>
          <w:rFonts w:ascii="Arial" w:hAnsi="Arial" w:cs="Arial"/>
        </w:rPr>
        <w:t>mencionada;</w:t>
      </w:r>
    </w:p>
    <w:p w:rsidR="00E12F86" w:rsidRDefault="00E304A1" w:rsidP="00E12F86">
      <w:pPr>
        <w:pStyle w:val="Prrafodelista"/>
        <w:spacing w:line="360" w:lineRule="auto"/>
        <w:ind w:left="-120" w:firstLine="2672"/>
        <w:jc w:val="both"/>
        <w:rPr>
          <w:rFonts w:ascii="Arial" w:hAnsi="Arial" w:cs="Arial"/>
        </w:rPr>
      </w:pPr>
      <w:r w:rsidRPr="00E304A1">
        <w:rPr>
          <w:rFonts w:ascii="Arial" w:hAnsi="Arial" w:cs="Arial"/>
          <w:b/>
        </w:rPr>
        <w:t>24</w:t>
      </w:r>
      <w:r w:rsidR="00C12DC5" w:rsidRPr="00E304A1">
        <w:rPr>
          <w:rFonts w:ascii="Arial" w:hAnsi="Arial" w:cs="Arial"/>
          <w:b/>
        </w:rPr>
        <w:t>)</w:t>
      </w:r>
      <w:r w:rsidR="00C12DC5">
        <w:rPr>
          <w:rFonts w:ascii="Arial" w:hAnsi="Arial" w:cs="Arial"/>
        </w:rPr>
        <w:t xml:space="preserve"> que en </w:t>
      </w:r>
      <w:r w:rsidR="00A42675">
        <w:rPr>
          <w:rFonts w:ascii="Arial" w:hAnsi="Arial" w:cs="Arial"/>
        </w:rPr>
        <w:t>respuesta</w:t>
      </w:r>
      <w:r w:rsidR="00C12DC5">
        <w:rPr>
          <w:rFonts w:ascii="Arial" w:hAnsi="Arial" w:cs="Arial"/>
        </w:rPr>
        <w:t xml:space="preserve"> a lo solicitado, con fecha 7/2/18, el Gerente Operaciones Portland </w:t>
      </w:r>
      <w:r w:rsidR="00385BE7">
        <w:rPr>
          <w:rFonts w:ascii="Arial" w:hAnsi="Arial" w:cs="Arial"/>
        </w:rPr>
        <w:t xml:space="preserve">vuelve a </w:t>
      </w:r>
      <w:r w:rsidR="00C12DC5">
        <w:rPr>
          <w:rFonts w:ascii="Arial" w:hAnsi="Arial" w:cs="Arial"/>
        </w:rPr>
        <w:t>reiter</w:t>
      </w:r>
      <w:r w:rsidR="00385BE7">
        <w:rPr>
          <w:rFonts w:ascii="Arial" w:hAnsi="Arial" w:cs="Arial"/>
        </w:rPr>
        <w:t>ar</w:t>
      </w:r>
      <w:r w:rsidR="00C12DC5">
        <w:rPr>
          <w:rFonts w:ascii="Arial" w:hAnsi="Arial" w:cs="Arial"/>
        </w:rPr>
        <w:t xml:space="preserve"> que efectivamente</w:t>
      </w:r>
      <w:r w:rsidR="00935BF5">
        <w:rPr>
          <w:rFonts w:ascii="Arial" w:hAnsi="Arial" w:cs="Arial"/>
        </w:rPr>
        <w:t>:</w:t>
      </w:r>
      <w:r w:rsidR="00C12DC5">
        <w:rPr>
          <w:rFonts w:ascii="Arial" w:hAnsi="Arial" w:cs="Arial"/>
        </w:rPr>
        <w:t xml:space="preserve">  </w:t>
      </w:r>
    </w:p>
    <w:p w:rsidR="00E12F86" w:rsidRDefault="00C12DC5" w:rsidP="00E12F86">
      <w:pPr>
        <w:pStyle w:val="Prrafodelista"/>
        <w:spacing w:line="360" w:lineRule="auto"/>
        <w:ind w:left="-120"/>
        <w:jc w:val="both"/>
        <w:rPr>
          <w:rFonts w:ascii="Arial" w:hAnsi="Arial" w:cs="Arial"/>
        </w:rPr>
      </w:pPr>
      <w:r w:rsidRPr="00385BE7">
        <w:rPr>
          <w:rFonts w:ascii="Arial" w:hAnsi="Arial" w:cs="Arial"/>
          <w:b/>
        </w:rPr>
        <w:t>a)</w:t>
      </w:r>
      <w:r w:rsidR="00832CBB">
        <w:rPr>
          <w:rFonts w:ascii="Arial" w:hAnsi="Arial" w:cs="Arial"/>
        </w:rPr>
        <w:t xml:space="preserve"> </w:t>
      </w:r>
      <w:r>
        <w:rPr>
          <w:rFonts w:ascii="Arial" w:hAnsi="Arial" w:cs="Arial"/>
        </w:rPr>
        <w:t>“</w:t>
      </w:r>
      <w:r w:rsidRPr="00385BE7">
        <w:rPr>
          <w:rFonts w:ascii="Arial" w:hAnsi="Arial" w:cs="Arial"/>
          <w:i/>
        </w:rPr>
        <w:t>la diferencia se debe al valor en los documentos con los cuales se  realizó la importación, que tenían un valor solo a efectos de Adu</w:t>
      </w:r>
      <w:r w:rsidR="00935BF5">
        <w:rPr>
          <w:rFonts w:ascii="Arial" w:hAnsi="Arial" w:cs="Arial"/>
          <w:i/>
        </w:rPr>
        <w:t>a</w:t>
      </w:r>
      <w:r w:rsidRPr="00385BE7">
        <w:rPr>
          <w:rFonts w:ascii="Arial" w:hAnsi="Arial" w:cs="Arial"/>
          <w:i/>
        </w:rPr>
        <w:t>na</w:t>
      </w:r>
      <w:r>
        <w:rPr>
          <w:rFonts w:ascii="Arial" w:hAnsi="Arial" w:cs="Arial"/>
        </w:rPr>
        <w:t xml:space="preserve">”, </w:t>
      </w:r>
    </w:p>
    <w:p w:rsidR="00E12F86" w:rsidRDefault="00C12DC5" w:rsidP="00E12F86">
      <w:pPr>
        <w:pStyle w:val="Prrafodelista"/>
        <w:spacing w:line="360" w:lineRule="auto"/>
        <w:ind w:left="-120"/>
        <w:jc w:val="both"/>
        <w:rPr>
          <w:rFonts w:ascii="Arial" w:hAnsi="Arial" w:cs="Arial"/>
        </w:rPr>
      </w:pPr>
      <w:r w:rsidRPr="00385BE7">
        <w:rPr>
          <w:rFonts w:ascii="Arial" w:hAnsi="Arial" w:cs="Arial"/>
          <w:b/>
        </w:rPr>
        <w:t>b)</w:t>
      </w:r>
      <w:r>
        <w:rPr>
          <w:rFonts w:ascii="Arial" w:hAnsi="Arial" w:cs="Arial"/>
        </w:rPr>
        <w:t xml:space="preserve">  “</w:t>
      </w:r>
      <w:r w:rsidRPr="00385BE7">
        <w:rPr>
          <w:rFonts w:ascii="Arial" w:hAnsi="Arial" w:cs="Arial"/>
          <w:i/>
        </w:rPr>
        <w:t>el val</w:t>
      </w:r>
      <w:r w:rsidR="005C65CD" w:rsidRPr="00385BE7">
        <w:rPr>
          <w:rFonts w:ascii="Arial" w:hAnsi="Arial" w:cs="Arial"/>
          <w:i/>
        </w:rPr>
        <w:t>o</w:t>
      </w:r>
      <w:r w:rsidRPr="00385BE7">
        <w:rPr>
          <w:rFonts w:ascii="Arial" w:hAnsi="Arial" w:cs="Arial"/>
          <w:i/>
        </w:rPr>
        <w:t>r rec</w:t>
      </w:r>
      <w:r w:rsidR="005C65CD" w:rsidRPr="00385BE7">
        <w:rPr>
          <w:rFonts w:ascii="Arial" w:hAnsi="Arial" w:cs="Arial"/>
          <w:i/>
        </w:rPr>
        <w:t>l</w:t>
      </w:r>
      <w:r w:rsidRPr="00385BE7">
        <w:rPr>
          <w:rFonts w:ascii="Arial" w:hAnsi="Arial" w:cs="Arial"/>
          <w:i/>
        </w:rPr>
        <w:t xml:space="preserve">amado por </w:t>
      </w:r>
      <w:proofErr w:type="spellStart"/>
      <w:r w:rsidRPr="00385BE7">
        <w:rPr>
          <w:rFonts w:ascii="Arial" w:hAnsi="Arial" w:cs="Arial"/>
          <w:i/>
        </w:rPr>
        <w:t>FLSmidth</w:t>
      </w:r>
      <w:proofErr w:type="spellEnd"/>
      <w:r w:rsidRPr="00385BE7">
        <w:rPr>
          <w:rFonts w:ascii="Arial" w:hAnsi="Arial" w:cs="Arial"/>
          <w:i/>
        </w:rPr>
        <w:t xml:space="preserve"> y aceptado por A</w:t>
      </w:r>
      <w:r w:rsidR="005C65CD" w:rsidRPr="00385BE7">
        <w:rPr>
          <w:rFonts w:ascii="Arial" w:hAnsi="Arial" w:cs="Arial"/>
          <w:i/>
        </w:rPr>
        <w:t>N</w:t>
      </w:r>
      <w:r w:rsidRPr="00385BE7">
        <w:rPr>
          <w:rFonts w:ascii="Arial" w:hAnsi="Arial" w:cs="Arial"/>
          <w:i/>
        </w:rPr>
        <w:t xml:space="preserve">CAP, de acuerdo </w:t>
      </w:r>
      <w:r w:rsidR="006F63A6">
        <w:rPr>
          <w:rFonts w:ascii="Arial" w:hAnsi="Arial" w:cs="Arial"/>
          <w:i/>
        </w:rPr>
        <w:t>con lo</w:t>
      </w:r>
      <w:r w:rsidRPr="00385BE7">
        <w:rPr>
          <w:rFonts w:ascii="Arial" w:hAnsi="Arial" w:cs="Arial"/>
          <w:i/>
        </w:rPr>
        <w:t xml:space="preserve"> indicado en fs. 187, coincid</w:t>
      </w:r>
      <w:r w:rsidR="005C65CD" w:rsidRPr="00385BE7">
        <w:rPr>
          <w:rFonts w:ascii="Arial" w:hAnsi="Arial" w:cs="Arial"/>
          <w:i/>
        </w:rPr>
        <w:t>e</w:t>
      </w:r>
      <w:r w:rsidRPr="00385BE7">
        <w:rPr>
          <w:rFonts w:ascii="Arial" w:hAnsi="Arial" w:cs="Arial"/>
          <w:i/>
        </w:rPr>
        <w:t xml:space="preserve"> con el monto a</w:t>
      </w:r>
      <w:r w:rsidR="005C65CD" w:rsidRPr="00385BE7">
        <w:rPr>
          <w:rFonts w:ascii="Arial" w:hAnsi="Arial" w:cs="Arial"/>
          <w:i/>
        </w:rPr>
        <w:t>s</w:t>
      </w:r>
      <w:r w:rsidRPr="00385BE7">
        <w:rPr>
          <w:rFonts w:ascii="Arial" w:hAnsi="Arial" w:cs="Arial"/>
          <w:i/>
        </w:rPr>
        <w:t>ignado en acu</w:t>
      </w:r>
      <w:r w:rsidR="005C65CD" w:rsidRPr="00385BE7">
        <w:rPr>
          <w:rFonts w:ascii="Arial" w:hAnsi="Arial" w:cs="Arial"/>
          <w:i/>
        </w:rPr>
        <w:t>er</w:t>
      </w:r>
      <w:r w:rsidRPr="00385BE7">
        <w:rPr>
          <w:rFonts w:ascii="Arial" w:hAnsi="Arial" w:cs="Arial"/>
          <w:i/>
        </w:rPr>
        <w:t xml:space="preserve">do transacción por </w:t>
      </w:r>
      <w:r w:rsidR="006F63A6">
        <w:rPr>
          <w:rFonts w:ascii="Arial" w:hAnsi="Arial" w:cs="Arial"/>
          <w:i/>
        </w:rPr>
        <w:t xml:space="preserve">€ </w:t>
      </w:r>
      <w:r w:rsidRPr="00385BE7">
        <w:rPr>
          <w:rFonts w:ascii="Arial" w:hAnsi="Arial" w:cs="Arial"/>
          <w:i/>
        </w:rPr>
        <w:t>141.805</w:t>
      </w:r>
      <w:r>
        <w:rPr>
          <w:rFonts w:ascii="Arial" w:hAnsi="Arial" w:cs="Arial"/>
        </w:rPr>
        <w:t xml:space="preserve">”, </w:t>
      </w:r>
      <w:r w:rsidRPr="00385BE7">
        <w:rPr>
          <w:rFonts w:ascii="Arial" w:hAnsi="Arial" w:cs="Arial"/>
          <w:b/>
        </w:rPr>
        <w:t>c)</w:t>
      </w:r>
      <w:r>
        <w:rPr>
          <w:rFonts w:ascii="Arial" w:hAnsi="Arial" w:cs="Arial"/>
        </w:rPr>
        <w:t xml:space="preserve"> de lo anterior, se advi</w:t>
      </w:r>
      <w:r w:rsidR="005C65CD">
        <w:rPr>
          <w:rFonts w:ascii="Arial" w:hAnsi="Arial" w:cs="Arial"/>
        </w:rPr>
        <w:t>e</w:t>
      </w:r>
      <w:r>
        <w:rPr>
          <w:rFonts w:ascii="Arial" w:hAnsi="Arial" w:cs="Arial"/>
        </w:rPr>
        <w:t>rte</w:t>
      </w:r>
      <w:r w:rsidR="005C65CD">
        <w:rPr>
          <w:rFonts w:ascii="Arial" w:hAnsi="Arial" w:cs="Arial"/>
        </w:rPr>
        <w:t xml:space="preserve"> </w:t>
      </w:r>
      <w:r w:rsidR="00811CA8">
        <w:rPr>
          <w:rFonts w:ascii="Arial" w:hAnsi="Arial" w:cs="Arial"/>
        </w:rPr>
        <w:t xml:space="preserve">que </w:t>
      </w:r>
      <w:r>
        <w:rPr>
          <w:rFonts w:ascii="Arial" w:hAnsi="Arial" w:cs="Arial"/>
        </w:rPr>
        <w:t>la diferencia en el valor de lo</w:t>
      </w:r>
      <w:r w:rsidR="005C65CD">
        <w:rPr>
          <w:rFonts w:ascii="Arial" w:hAnsi="Arial" w:cs="Arial"/>
        </w:rPr>
        <w:t>s</w:t>
      </w:r>
      <w:r>
        <w:rPr>
          <w:rFonts w:ascii="Arial" w:hAnsi="Arial" w:cs="Arial"/>
        </w:rPr>
        <w:t xml:space="preserve"> equipos equivalente a apr</w:t>
      </w:r>
      <w:r w:rsidR="005C65CD">
        <w:rPr>
          <w:rFonts w:ascii="Arial" w:hAnsi="Arial" w:cs="Arial"/>
        </w:rPr>
        <w:t>o</w:t>
      </w:r>
      <w:r>
        <w:rPr>
          <w:rFonts w:ascii="Arial" w:hAnsi="Arial" w:cs="Arial"/>
        </w:rPr>
        <w:t xml:space="preserve">ximadamente </w:t>
      </w:r>
      <w:r w:rsidR="006F63A6">
        <w:rPr>
          <w:rFonts w:ascii="Arial" w:hAnsi="Arial" w:cs="Arial"/>
        </w:rPr>
        <w:t xml:space="preserve">€ </w:t>
      </w:r>
      <w:r>
        <w:rPr>
          <w:rFonts w:ascii="Arial" w:hAnsi="Arial" w:cs="Arial"/>
        </w:rPr>
        <w:t xml:space="preserve">90.000, se </w:t>
      </w:r>
      <w:r w:rsidR="005709E2">
        <w:rPr>
          <w:rFonts w:ascii="Arial" w:hAnsi="Arial" w:cs="Arial"/>
        </w:rPr>
        <w:t xml:space="preserve">ha </w:t>
      </w:r>
      <w:r>
        <w:rPr>
          <w:rFonts w:ascii="Arial" w:hAnsi="Arial" w:cs="Arial"/>
        </w:rPr>
        <w:t>contempl</w:t>
      </w:r>
      <w:r w:rsidR="005C65CD">
        <w:rPr>
          <w:rFonts w:ascii="Arial" w:hAnsi="Arial" w:cs="Arial"/>
        </w:rPr>
        <w:t>ado y está</w:t>
      </w:r>
      <w:r>
        <w:rPr>
          <w:rFonts w:ascii="Arial" w:hAnsi="Arial" w:cs="Arial"/>
        </w:rPr>
        <w:t xml:space="preserve"> incluida en el marco de las con</w:t>
      </w:r>
      <w:r w:rsidR="005C65CD">
        <w:rPr>
          <w:rFonts w:ascii="Arial" w:hAnsi="Arial" w:cs="Arial"/>
        </w:rPr>
        <w:t>c</w:t>
      </w:r>
      <w:r>
        <w:rPr>
          <w:rFonts w:ascii="Arial" w:hAnsi="Arial" w:cs="Arial"/>
        </w:rPr>
        <w:t>esiones recíprocas del acu</w:t>
      </w:r>
      <w:r w:rsidR="005C65CD">
        <w:rPr>
          <w:rFonts w:ascii="Arial" w:hAnsi="Arial" w:cs="Arial"/>
        </w:rPr>
        <w:t>e</w:t>
      </w:r>
      <w:r>
        <w:rPr>
          <w:rFonts w:ascii="Arial" w:hAnsi="Arial" w:cs="Arial"/>
        </w:rPr>
        <w:t>rdo transaccional</w:t>
      </w:r>
      <w:r w:rsidR="00385BE7">
        <w:rPr>
          <w:rFonts w:ascii="Arial" w:hAnsi="Arial" w:cs="Arial"/>
        </w:rPr>
        <w:t>. Asimismo, se destaca que el resultado global del acuerdo transaccional</w:t>
      </w:r>
      <w:r w:rsidR="00811CA8">
        <w:rPr>
          <w:rFonts w:ascii="Arial" w:hAnsi="Arial" w:cs="Arial"/>
        </w:rPr>
        <w:t xml:space="preserve"> es positivo en aproximadament</w:t>
      </w:r>
      <w:r w:rsidR="00A42675">
        <w:rPr>
          <w:rFonts w:ascii="Arial" w:hAnsi="Arial" w:cs="Arial"/>
        </w:rPr>
        <w:t>e U$S 1:</w:t>
      </w:r>
      <w:r w:rsidR="00811CA8">
        <w:rPr>
          <w:rFonts w:ascii="Arial" w:hAnsi="Arial" w:cs="Arial"/>
        </w:rPr>
        <w:t>900.000</w:t>
      </w:r>
      <w:r w:rsidR="00750F23">
        <w:rPr>
          <w:rFonts w:ascii="Arial" w:hAnsi="Arial" w:cs="Arial"/>
        </w:rPr>
        <w:t>;</w:t>
      </w:r>
    </w:p>
    <w:p w:rsidR="008A2F31" w:rsidRPr="00E12F86" w:rsidRDefault="008A2F31" w:rsidP="00E12F86">
      <w:pPr>
        <w:pStyle w:val="Prrafodelista"/>
        <w:spacing w:line="360" w:lineRule="auto"/>
        <w:ind w:left="-120" w:firstLine="828"/>
        <w:jc w:val="both"/>
        <w:rPr>
          <w:rFonts w:ascii="Arial" w:hAnsi="Arial" w:cs="Arial"/>
        </w:rPr>
      </w:pPr>
      <w:r w:rsidRPr="00E12F86">
        <w:rPr>
          <w:rFonts w:ascii="Arial" w:hAnsi="Arial" w:cs="Arial"/>
          <w:b/>
          <w:spacing w:val="-3"/>
        </w:rPr>
        <w:t>C</w:t>
      </w:r>
      <w:r w:rsidRPr="00E12F86">
        <w:rPr>
          <w:rFonts w:ascii="Arial" w:hAnsi="Arial" w:cs="Arial"/>
          <w:b/>
          <w:spacing w:val="-3"/>
          <w:lang w:val="es-ES_tradnl"/>
        </w:rPr>
        <w:t>ONSIDERANDO:</w:t>
      </w:r>
      <w:r w:rsidRPr="00E12F86">
        <w:rPr>
          <w:rFonts w:ascii="Arial" w:hAnsi="Arial" w:cs="Arial"/>
          <w:spacing w:val="-3"/>
          <w:lang w:val="es-ES_tradnl"/>
        </w:rPr>
        <w:t xml:space="preserve"> </w:t>
      </w:r>
      <w:r w:rsidRPr="00E12F86">
        <w:rPr>
          <w:rFonts w:ascii="Arial" w:hAnsi="Arial" w:cs="Arial"/>
          <w:b/>
          <w:spacing w:val="-3"/>
          <w:lang w:val="es-ES_tradnl"/>
        </w:rPr>
        <w:t>1)</w:t>
      </w:r>
      <w:r w:rsidRPr="00E12F86">
        <w:rPr>
          <w:rFonts w:ascii="Arial" w:hAnsi="Arial" w:cs="Arial"/>
          <w:bCs/>
          <w:spacing w:val="-3"/>
          <w:lang w:val="es-ES_tradnl"/>
        </w:rPr>
        <w:t xml:space="preserve"> que por Resolución, de</w:t>
      </w:r>
      <w:r w:rsidRPr="00E12F86">
        <w:rPr>
          <w:rFonts w:ascii="Arial" w:hAnsi="Arial" w:cs="Arial"/>
          <w:spacing w:val="-3"/>
          <w:lang w:val="es-ES_tradnl"/>
        </w:rPr>
        <w:t xml:space="preserve"> </w:t>
      </w:r>
      <w:r w:rsidRPr="00E12F86">
        <w:rPr>
          <w:rFonts w:ascii="Arial" w:hAnsi="Arial" w:cs="Arial"/>
          <w:bCs/>
          <w:spacing w:val="-3"/>
          <w:lang w:val="es-ES_tradnl"/>
        </w:rPr>
        <w:t>fecha 18 de junio de 2008 ,en la redacción dada por el artículo 2 de la Resolución del 23.12.2009,</w:t>
      </w:r>
      <w:r w:rsidRPr="00E12F86">
        <w:rPr>
          <w:rFonts w:ascii="Arial" w:hAnsi="Arial" w:cs="Arial"/>
        </w:rPr>
        <w:t xml:space="preserve"> ambas del Tribunal de Cuentas, </w:t>
      </w:r>
      <w:r w:rsidRPr="00E12F86">
        <w:rPr>
          <w:rFonts w:ascii="Arial" w:hAnsi="Arial" w:cs="Arial"/>
          <w:bCs/>
          <w:spacing w:val="-3"/>
          <w:lang w:val="es-ES_tradnl"/>
        </w:rPr>
        <w:t>se dispuso que se deben remitir al mismo, para su intervención, todos los gast</w:t>
      </w:r>
      <w:r w:rsidR="008F4F43">
        <w:rPr>
          <w:rFonts w:ascii="Arial" w:hAnsi="Arial" w:cs="Arial"/>
          <w:bCs/>
          <w:spacing w:val="-3"/>
          <w:lang w:val="es-ES_tradnl"/>
        </w:rPr>
        <w:t xml:space="preserve">os emergentes de transacciones </w:t>
      </w:r>
      <w:r w:rsidRPr="00E12F86">
        <w:rPr>
          <w:rFonts w:ascii="Arial" w:hAnsi="Arial" w:cs="Arial"/>
          <w:bCs/>
          <w:spacing w:val="-3"/>
          <w:lang w:val="es-ES_tradnl"/>
        </w:rPr>
        <w:t>extrajudiciales y laudos  arbitrales, cualquiera sea su monto;</w:t>
      </w:r>
    </w:p>
    <w:p w:rsidR="00E12F86" w:rsidRDefault="00E12F86" w:rsidP="00E12F86">
      <w:pPr>
        <w:tabs>
          <w:tab w:val="left" w:pos="0"/>
        </w:tabs>
        <w:suppressAutoHyphens/>
        <w:spacing w:line="360" w:lineRule="auto"/>
        <w:ind w:firstLine="2835"/>
        <w:jc w:val="both"/>
        <w:rPr>
          <w:bCs/>
          <w:spacing w:val="-3"/>
          <w:lang w:val="es-ES_tradnl"/>
        </w:rPr>
      </w:pPr>
      <w:r>
        <w:rPr>
          <w:b/>
          <w:spacing w:val="-3"/>
        </w:rPr>
        <w:t xml:space="preserve"> </w:t>
      </w:r>
      <w:r w:rsidR="008A2F31" w:rsidRPr="00E304A1">
        <w:rPr>
          <w:b/>
          <w:spacing w:val="-3"/>
          <w:lang w:val="es-ES_tradnl"/>
        </w:rPr>
        <w:t>2)</w:t>
      </w:r>
      <w:r w:rsidR="008A2F31" w:rsidRPr="00C13B23">
        <w:rPr>
          <w:bCs/>
          <w:spacing w:val="-3"/>
          <w:lang w:val="es-ES_tradnl"/>
        </w:rPr>
        <w:t xml:space="preserve"> </w:t>
      </w:r>
      <w:r w:rsidR="008A2F31">
        <w:rPr>
          <w:bCs/>
          <w:spacing w:val="-3"/>
          <w:lang w:val="es-ES_tradnl"/>
        </w:rPr>
        <w:t xml:space="preserve">que </w:t>
      </w:r>
      <w:r w:rsidR="008A2F31" w:rsidRPr="00C13B23">
        <w:rPr>
          <w:bCs/>
          <w:spacing w:val="-3"/>
        </w:rPr>
        <w:t xml:space="preserve">los aspectos que refieren a oportunidad o conveniencia de la </w:t>
      </w:r>
      <w:r w:rsidR="005C65CD">
        <w:rPr>
          <w:bCs/>
          <w:spacing w:val="-3"/>
        </w:rPr>
        <w:t>transacción</w:t>
      </w:r>
      <w:r w:rsidR="008A2F31" w:rsidRPr="00C13B23">
        <w:rPr>
          <w:bCs/>
          <w:spacing w:val="-3"/>
        </w:rPr>
        <w:t xml:space="preserve"> </w:t>
      </w:r>
      <w:r w:rsidR="005C65CD">
        <w:rPr>
          <w:bCs/>
          <w:spacing w:val="-3"/>
        </w:rPr>
        <w:t xml:space="preserve">remitida </w:t>
      </w:r>
      <w:r w:rsidR="008A2F31" w:rsidRPr="00C13B23">
        <w:rPr>
          <w:bCs/>
          <w:spacing w:val="-3"/>
        </w:rPr>
        <w:t>constituyen una cuestión de mérito cuya apreciación no encuadra en el ámbito de competencia de este Tribunal</w:t>
      </w:r>
      <w:r w:rsidR="005C65CD">
        <w:rPr>
          <w:bCs/>
          <w:spacing w:val="-3"/>
        </w:rPr>
        <w:t xml:space="preserve">, </w:t>
      </w:r>
      <w:r w:rsidR="00426DD0">
        <w:rPr>
          <w:bCs/>
          <w:spacing w:val="-3"/>
        </w:rPr>
        <w:t>refiriendo</w:t>
      </w:r>
      <w:r w:rsidR="005C65CD">
        <w:rPr>
          <w:bCs/>
          <w:spacing w:val="-3"/>
        </w:rPr>
        <w:t xml:space="preserve">  el  presente </w:t>
      </w:r>
      <w:r w:rsidR="00426DD0">
        <w:rPr>
          <w:bCs/>
          <w:spacing w:val="-3"/>
        </w:rPr>
        <w:t xml:space="preserve">pronunciamiento </w:t>
      </w:r>
      <w:r w:rsidR="005709E2">
        <w:rPr>
          <w:bCs/>
          <w:spacing w:val="-3"/>
        </w:rPr>
        <w:t>de</w:t>
      </w:r>
      <w:r w:rsidR="005C65CD">
        <w:rPr>
          <w:bCs/>
          <w:spacing w:val="-3"/>
        </w:rPr>
        <w:t xml:space="preserve"> legalidad del gasto emergente de la misma </w:t>
      </w:r>
      <w:r w:rsidR="00426DD0">
        <w:rPr>
          <w:bCs/>
          <w:spacing w:val="-3"/>
        </w:rPr>
        <w:t xml:space="preserve"> y  no a </w:t>
      </w:r>
      <w:r w:rsidR="005C65CD">
        <w:rPr>
          <w:bCs/>
          <w:spacing w:val="-3"/>
        </w:rPr>
        <w:t>la regularidad jur</w:t>
      </w:r>
      <w:r w:rsidR="00426DD0">
        <w:rPr>
          <w:bCs/>
          <w:spacing w:val="-3"/>
        </w:rPr>
        <w:t>í</w:t>
      </w:r>
      <w:r w:rsidR="005C65CD">
        <w:rPr>
          <w:bCs/>
          <w:spacing w:val="-3"/>
        </w:rPr>
        <w:t xml:space="preserve">dica  </w:t>
      </w:r>
      <w:r w:rsidR="00426DD0">
        <w:rPr>
          <w:bCs/>
          <w:spacing w:val="-3"/>
        </w:rPr>
        <w:t>de</w:t>
      </w:r>
      <w:r w:rsidR="005C65CD">
        <w:rPr>
          <w:bCs/>
          <w:spacing w:val="-3"/>
        </w:rPr>
        <w:t xml:space="preserve"> la situac</w:t>
      </w:r>
      <w:r w:rsidR="00426DD0">
        <w:rPr>
          <w:bCs/>
          <w:spacing w:val="-3"/>
        </w:rPr>
        <w:t>ió</w:t>
      </w:r>
      <w:r w:rsidR="005C65CD">
        <w:rPr>
          <w:bCs/>
          <w:spacing w:val="-3"/>
        </w:rPr>
        <w:t xml:space="preserve">n </w:t>
      </w:r>
      <w:r w:rsidR="00426DD0">
        <w:rPr>
          <w:bCs/>
          <w:spacing w:val="-3"/>
        </w:rPr>
        <w:t>que la motiva</w:t>
      </w:r>
      <w:r w:rsidR="008A2F31" w:rsidRPr="00C13B23">
        <w:rPr>
          <w:bCs/>
          <w:spacing w:val="-3"/>
        </w:rPr>
        <w:t>;</w:t>
      </w:r>
      <w:r w:rsidR="008A2F31" w:rsidRPr="00C13B23">
        <w:rPr>
          <w:bCs/>
          <w:spacing w:val="-3"/>
          <w:lang w:val="es-ES_tradnl"/>
        </w:rPr>
        <w:t xml:space="preserve">  </w:t>
      </w:r>
    </w:p>
    <w:p w:rsidR="00E12F86" w:rsidRDefault="00E12F86" w:rsidP="00E12F86">
      <w:pPr>
        <w:tabs>
          <w:tab w:val="left" w:pos="0"/>
        </w:tabs>
        <w:suppressAutoHyphens/>
        <w:spacing w:line="360" w:lineRule="auto"/>
        <w:ind w:firstLine="2835"/>
        <w:jc w:val="both"/>
        <w:rPr>
          <w:bCs/>
          <w:spacing w:val="-3"/>
          <w:lang w:val="es-ES_tradnl"/>
        </w:rPr>
      </w:pPr>
      <w:r>
        <w:rPr>
          <w:bCs/>
          <w:spacing w:val="-3"/>
          <w:lang w:val="es-ES_tradnl"/>
        </w:rPr>
        <w:t xml:space="preserve"> </w:t>
      </w:r>
      <w:r w:rsidR="00426DD0" w:rsidRPr="00E304A1">
        <w:rPr>
          <w:b/>
          <w:bCs/>
          <w:spacing w:val="-3"/>
          <w:lang w:val="es-ES_tradnl"/>
        </w:rPr>
        <w:t>3)</w:t>
      </w:r>
      <w:r w:rsidR="00426DD0">
        <w:rPr>
          <w:bCs/>
          <w:spacing w:val="-3"/>
          <w:lang w:val="es-ES_tradnl"/>
        </w:rPr>
        <w:t xml:space="preserve"> que sin perjuicio de ello</w:t>
      </w:r>
      <w:r w:rsidR="00992A6F">
        <w:rPr>
          <w:bCs/>
          <w:spacing w:val="-3"/>
          <w:lang w:val="es-ES_tradnl"/>
        </w:rPr>
        <w:t xml:space="preserve"> y más allá de legalidad del gasto que deriva de la transacción en cuestión</w:t>
      </w:r>
      <w:r w:rsidR="00426DD0">
        <w:rPr>
          <w:bCs/>
          <w:spacing w:val="-3"/>
          <w:lang w:val="es-ES_tradnl"/>
        </w:rPr>
        <w:t>, se advierte que en el trámite de estas actuaciones</w:t>
      </w:r>
      <w:r w:rsidR="00992A6F">
        <w:rPr>
          <w:bCs/>
          <w:spacing w:val="-3"/>
          <w:lang w:val="es-ES_tradnl"/>
        </w:rPr>
        <w:t>,</w:t>
      </w:r>
      <w:r w:rsidR="008F4F43">
        <w:rPr>
          <w:bCs/>
          <w:spacing w:val="-3"/>
          <w:lang w:val="es-ES_tradnl"/>
        </w:rPr>
        <w:t xml:space="preserve"> </w:t>
      </w:r>
      <w:r w:rsidR="00426DD0">
        <w:rPr>
          <w:bCs/>
          <w:spacing w:val="-3"/>
          <w:lang w:val="es-ES_tradnl"/>
        </w:rPr>
        <w:t>los propios Servicios del Organismo ha</w:t>
      </w:r>
      <w:r w:rsidR="00832CBB">
        <w:rPr>
          <w:bCs/>
          <w:spacing w:val="-3"/>
          <w:lang w:val="es-ES_tradnl"/>
        </w:rPr>
        <w:t>n desatacado</w:t>
      </w:r>
      <w:r w:rsidR="00426DD0">
        <w:rPr>
          <w:bCs/>
          <w:spacing w:val="-3"/>
          <w:lang w:val="es-ES_tradnl"/>
        </w:rPr>
        <w:t xml:space="preserve"> una divergencia </w:t>
      </w:r>
      <w:r w:rsidR="00832CBB">
        <w:rPr>
          <w:bCs/>
          <w:spacing w:val="-3"/>
          <w:lang w:val="es-ES_tradnl"/>
        </w:rPr>
        <w:t>existente entre el valor real  de</w:t>
      </w:r>
      <w:r w:rsidR="00385BE7">
        <w:rPr>
          <w:bCs/>
          <w:spacing w:val="-3"/>
          <w:lang w:val="es-ES_tradnl"/>
        </w:rPr>
        <w:t xml:space="preserve"> </w:t>
      </w:r>
      <w:r w:rsidR="00832CBB">
        <w:rPr>
          <w:bCs/>
          <w:spacing w:val="-3"/>
          <w:lang w:val="es-ES_tradnl"/>
        </w:rPr>
        <w:t xml:space="preserve"> </w:t>
      </w:r>
      <w:r w:rsidR="006D213E">
        <w:rPr>
          <w:bCs/>
          <w:spacing w:val="-3"/>
          <w:lang w:val="es-ES_tradnl"/>
        </w:rPr>
        <w:t>mercadería</w:t>
      </w:r>
      <w:r w:rsidR="00385BE7">
        <w:rPr>
          <w:bCs/>
          <w:spacing w:val="-3"/>
          <w:lang w:val="es-ES_tradnl"/>
        </w:rPr>
        <w:t>s</w:t>
      </w:r>
      <w:r w:rsidR="00832CBB">
        <w:rPr>
          <w:bCs/>
          <w:spacing w:val="-3"/>
          <w:lang w:val="es-ES_tradnl"/>
        </w:rPr>
        <w:t xml:space="preserve"> cuyo pago forma parte de la transacción remitida y el valor consignado en la documentación re</w:t>
      </w:r>
      <w:r w:rsidR="00750F23">
        <w:rPr>
          <w:bCs/>
          <w:spacing w:val="-3"/>
          <w:lang w:val="es-ES_tradnl"/>
        </w:rPr>
        <w:t>f</w:t>
      </w:r>
      <w:r w:rsidR="00832CBB">
        <w:rPr>
          <w:bCs/>
          <w:spacing w:val="-3"/>
          <w:lang w:val="es-ES_tradnl"/>
        </w:rPr>
        <w:t>er</w:t>
      </w:r>
      <w:r w:rsidR="00750F23">
        <w:rPr>
          <w:bCs/>
          <w:spacing w:val="-3"/>
          <w:lang w:val="es-ES_tradnl"/>
        </w:rPr>
        <w:t>e</w:t>
      </w:r>
      <w:r w:rsidR="00832CBB">
        <w:rPr>
          <w:bCs/>
          <w:spacing w:val="-3"/>
          <w:lang w:val="es-ES_tradnl"/>
        </w:rPr>
        <w:t>nte a la importación</w:t>
      </w:r>
      <w:r w:rsidR="00C354D7">
        <w:rPr>
          <w:bCs/>
          <w:spacing w:val="-3"/>
          <w:lang w:val="es-ES_tradnl"/>
        </w:rPr>
        <w:t xml:space="preserve"> de l</w:t>
      </w:r>
      <w:r w:rsidR="006D213E">
        <w:rPr>
          <w:bCs/>
          <w:spacing w:val="-3"/>
          <w:lang w:val="es-ES_tradnl"/>
        </w:rPr>
        <w:t>as</w:t>
      </w:r>
      <w:r w:rsidR="00C354D7">
        <w:rPr>
          <w:bCs/>
          <w:spacing w:val="-3"/>
          <w:lang w:val="es-ES_tradnl"/>
        </w:rPr>
        <w:t xml:space="preserve"> mism</w:t>
      </w:r>
      <w:r w:rsidR="006D213E">
        <w:rPr>
          <w:bCs/>
          <w:spacing w:val="-3"/>
          <w:lang w:val="es-ES_tradnl"/>
        </w:rPr>
        <w:t>as</w:t>
      </w:r>
      <w:r w:rsidR="00C354D7">
        <w:rPr>
          <w:bCs/>
          <w:spacing w:val="-3"/>
          <w:lang w:val="es-ES_tradnl"/>
        </w:rPr>
        <w:t xml:space="preserve">, siendo una discordancia cuya aclaración fue solicitada </w:t>
      </w:r>
      <w:r w:rsidR="003B4067">
        <w:rPr>
          <w:bCs/>
          <w:spacing w:val="-3"/>
          <w:lang w:val="es-ES_tradnl"/>
        </w:rPr>
        <w:t>-</w:t>
      </w:r>
      <w:r w:rsidR="005709E2">
        <w:rPr>
          <w:bCs/>
          <w:spacing w:val="-3"/>
          <w:lang w:val="es-ES_tradnl"/>
        </w:rPr>
        <w:t xml:space="preserve">sin </w:t>
      </w:r>
      <w:r w:rsidR="00992A6F">
        <w:rPr>
          <w:bCs/>
          <w:spacing w:val="-3"/>
          <w:lang w:val="es-ES_tradnl"/>
        </w:rPr>
        <w:t>obtenerse respuesta</w:t>
      </w:r>
      <w:r w:rsidR="003B4067">
        <w:rPr>
          <w:bCs/>
          <w:spacing w:val="-3"/>
          <w:lang w:val="es-ES_tradnl"/>
        </w:rPr>
        <w:t>-</w:t>
      </w:r>
      <w:r w:rsidR="00C354D7">
        <w:rPr>
          <w:bCs/>
          <w:spacing w:val="-3"/>
          <w:lang w:val="es-ES_tradnl"/>
        </w:rPr>
        <w:t xml:space="preserve"> al Organismo en dos oportunidades</w:t>
      </w:r>
      <w:r w:rsidR="005709E2">
        <w:rPr>
          <w:bCs/>
          <w:spacing w:val="-3"/>
          <w:lang w:val="es-ES_tradnl"/>
        </w:rPr>
        <w:t xml:space="preserve"> por este Tribunal</w:t>
      </w:r>
      <w:r w:rsidR="006D213E">
        <w:rPr>
          <w:bCs/>
          <w:spacing w:val="-3"/>
          <w:lang w:val="es-ES_tradnl"/>
        </w:rPr>
        <w:t>, razón por la cual deberá comunicarse tal situación a la Dirección Nacional de Aduanas a los efectos que correspondan</w:t>
      </w:r>
      <w:r w:rsidR="00C354D7">
        <w:rPr>
          <w:bCs/>
          <w:spacing w:val="-3"/>
          <w:lang w:val="es-ES_tradnl"/>
        </w:rPr>
        <w:t>;</w:t>
      </w:r>
    </w:p>
    <w:p w:rsidR="00426DD0" w:rsidRPr="00E12F86" w:rsidRDefault="00E12F86" w:rsidP="00E12F86">
      <w:pPr>
        <w:tabs>
          <w:tab w:val="left" w:pos="0"/>
        </w:tabs>
        <w:suppressAutoHyphens/>
        <w:spacing w:line="360" w:lineRule="auto"/>
        <w:ind w:firstLine="2835"/>
        <w:jc w:val="both"/>
        <w:rPr>
          <w:bCs/>
          <w:spacing w:val="-3"/>
          <w:lang w:val="es-ES_tradnl"/>
        </w:rPr>
      </w:pPr>
      <w:r>
        <w:rPr>
          <w:bCs/>
          <w:spacing w:val="-3"/>
          <w:lang w:val="es-ES_tradnl"/>
        </w:rPr>
        <w:t xml:space="preserve"> </w:t>
      </w:r>
      <w:r w:rsidR="00C354D7" w:rsidRPr="003B4067">
        <w:rPr>
          <w:b/>
          <w:bCs/>
          <w:spacing w:val="-3"/>
          <w:lang w:val="es-ES_tradnl"/>
        </w:rPr>
        <w:t>4)</w:t>
      </w:r>
      <w:r w:rsidR="00C354D7">
        <w:rPr>
          <w:bCs/>
          <w:spacing w:val="-3"/>
          <w:lang w:val="es-ES_tradnl"/>
        </w:rPr>
        <w:t xml:space="preserve"> </w:t>
      </w:r>
      <w:r w:rsidR="00C354D7" w:rsidRPr="005709E2">
        <w:rPr>
          <w:bCs/>
          <w:spacing w:val="-3"/>
          <w:lang w:val="es-ES_tradnl"/>
        </w:rPr>
        <w:t>que por su parte, en cuanto refiere a la investigación administrativa en curso</w:t>
      </w:r>
      <w:r w:rsidR="00385BE7">
        <w:rPr>
          <w:bCs/>
          <w:spacing w:val="-3"/>
          <w:lang w:val="es-ES_tradnl"/>
        </w:rPr>
        <w:t>,</w:t>
      </w:r>
      <w:r w:rsidR="00C354D7" w:rsidRPr="005709E2">
        <w:rPr>
          <w:bCs/>
          <w:spacing w:val="-3"/>
          <w:lang w:val="es-ES_tradnl"/>
        </w:rPr>
        <w:t xml:space="preserve"> cuyo </w:t>
      </w:r>
      <w:r w:rsidR="00C354D7" w:rsidRPr="005709E2">
        <w:rPr>
          <w:rFonts w:cs="Arial"/>
        </w:rPr>
        <w:t xml:space="preserve">objeto se informa </w:t>
      </w:r>
      <w:r w:rsidR="00992A6F">
        <w:rPr>
          <w:rFonts w:cs="Arial"/>
        </w:rPr>
        <w:t xml:space="preserve"> por el Organismo </w:t>
      </w:r>
      <w:r w:rsidR="00385BE7">
        <w:rPr>
          <w:rFonts w:cs="Arial"/>
        </w:rPr>
        <w:t>qu</w:t>
      </w:r>
      <w:r w:rsidR="00C354D7" w:rsidRPr="005709E2">
        <w:rPr>
          <w:rFonts w:cs="Arial"/>
        </w:rPr>
        <w:t>e</w:t>
      </w:r>
      <w:r w:rsidR="005709E2" w:rsidRPr="005709E2">
        <w:rPr>
          <w:rFonts w:cs="Arial"/>
        </w:rPr>
        <w:t xml:space="preserve"> consiste en</w:t>
      </w:r>
      <w:r w:rsidR="00C354D7" w:rsidRPr="005709E2">
        <w:rPr>
          <w:rFonts w:cs="Arial"/>
        </w:rPr>
        <w:t xml:space="preserve"> determinar la existencia o </w:t>
      </w:r>
      <w:proofErr w:type="spellStart"/>
      <w:r w:rsidR="00C354D7" w:rsidRPr="005709E2">
        <w:rPr>
          <w:rFonts w:cs="Arial"/>
        </w:rPr>
        <w:t>n</w:t>
      </w:r>
      <w:r w:rsidR="008F4F43">
        <w:rPr>
          <w:rFonts w:cs="Arial"/>
        </w:rPr>
        <w:t>ó</w:t>
      </w:r>
      <w:proofErr w:type="spellEnd"/>
      <w:r w:rsidR="00C354D7" w:rsidRPr="005709E2">
        <w:rPr>
          <w:rFonts w:cs="Arial"/>
        </w:rPr>
        <w:t xml:space="preserve"> de responsabilidades en el marco del procedimiento y ejecución de la contratación directa por excepción </w:t>
      </w:r>
      <w:r w:rsidR="008F4F43">
        <w:rPr>
          <w:rFonts w:cs="Arial"/>
        </w:rPr>
        <w:t xml:space="preserve">           </w:t>
      </w:r>
      <w:r w:rsidR="00C354D7" w:rsidRPr="005709E2">
        <w:rPr>
          <w:rFonts w:cs="Arial"/>
        </w:rPr>
        <w:t>Nº 2700058500</w:t>
      </w:r>
      <w:r w:rsidR="00750F23">
        <w:rPr>
          <w:rFonts w:cs="Arial"/>
        </w:rPr>
        <w:t xml:space="preserve"> </w:t>
      </w:r>
      <w:r w:rsidR="008F4F43">
        <w:rPr>
          <w:rFonts w:cs="Arial"/>
        </w:rPr>
        <w:t>-</w:t>
      </w:r>
      <w:r w:rsidR="00750F23">
        <w:rPr>
          <w:rFonts w:cs="Arial"/>
        </w:rPr>
        <w:t>servicio pendiente de pago que se proyecta abonar a través de la transacción remitida-</w:t>
      </w:r>
      <w:r w:rsidR="00C354D7" w:rsidRPr="005709E2">
        <w:rPr>
          <w:rFonts w:cs="Arial"/>
        </w:rPr>
        <w:t>, oportunamente deberá informarse</w:t>
      </w:r>
      <w:r w:rsidR="00992A6F">
        <w:rPr>
          <w:rFonts w:cs="Arial"/>
        </w:rPr>
        <w:t xml:space="preserve"> por el Organismo </w:t>
      </w:r>
      <w:r w:rsidR="00C354D7" w:rsidRPr="005709E2">
        <w:rPr>
          <w:rFonts w:cs="Arial"/>
        </w:rPr>
        <w:t xml:space="preserve"> a  este Tribunal </w:t>
      </w:r>
      <w:r w:rsidR="006D213E">
        <w:rPr>
          <w:rFonts w:cs="Arial"/>
        </w:rPr>
        <w:t xml:space="preserve"> sobre </w:t>
      </w:r>
      <w:r w:rsidR="00C354D7" w:rsidRPr="005709E2">
        <w:rPr>
          <w:rFonts w:cs="Arial"/>
        </w:rPr>
        <w:t>las resultancias de la misma;</w:t>
      </w:r>
      <w:r w:rsidR="00C354D7" w:rsidRPr="00C354D7">
        <w:rPr>
          <w:bCs/>
          <w:i/>
          <w:spacing w:val="-3"/>
          <w:lang w:val="es-ES_tradnl"/>
        </w:rPr>
        <w:t xml:space="preserve"> </w:t>
      </w:r>
      <w:r w:rsidR="00832CBB" w:rsidRPr="00C354D7">
        <w:rPr>
          <w:bCs/>
          <w:i/>
          <w:spacing w:val="-3"/>
          <w:lang w:val="es-ES_tradnl"/>
        </w:rPr>
        <w:t xml:space="preserve">   </w:t>
      </w:r>
      <w:r w:rsidR="00426DD0" w:rsidRPr="00C354D7">
        <w:rPr>
          <w:bCs/>
          <w:i/>
          <w:spacing w:val="-3"/>
          <w:lang w:val="es-ES_tradnl"/>
        </w:rPr>
        <w:t xml:space="preserve"> </w:t>
      </w:r>
    </w:p>
    <w:p w:rsidR="008A2F31" w:rsidRPr="00C13B23" w:rsidRDefault="008A2F31" w:rsidP="00E12F86">
      <w:pPr>
        <w:autoSpaceDE w:val="0"/>
        <w:autoSpaceDN w:val="0"/>
        <w:adjustRightInd w:val="0"/>
        <w:spacing w:line="360" w:lineRule="auto"/>
        <w:ind w:firstLine="851"/>
        <w:jc w:val="both"/>
        <w:rPr>
          <w:rFonts w:ascii="LiberationSans-Regular" w:hAnsi="LiberationSans-Regular"/>
        </w:rPr>
      </w:pPr>
      <w:r w:rsidRPr="003B4067">
        <w:rPr>
          <w:b/>
          <w:spacing w:val="-3"/>
          <w:lang w:val="es-ES_tradnl"/>
        </w:rPr>
        <w:t>ATENTO:</w:t>
      </w:r>
      <w:r w:rsidRPr="00C13B23">
        <w:rPr>
          <w:spacing w:val="-3"/>
          <w:lang w:val="es-ES_tradnl"/>
        </w:rPr>
        <w:t xml:space="preserve"> </w:t>
      </w:r>
      <w:r w:rsidRPr="00C13B23">
        <w:rPr>
          <w:rFonts w:ascii="LiberationSans-Regular" w:hAnsi="LiberationSans-Regular"/>
        </w:rPr>
        <w:t xml:space="preserve">a lo precedentemente expuesto, a lo dispuesto por el </w:t>
      </w:r>
      <w:r w:rsidR="00E12F86">
        <w:rPr>
          <w:rFonts w:ascii="LiberationSans-Regular" w:hAnsi="LiberationSans-Regular"/>
        </w:rPr>
        <w:t>Artículo</w:t>
      </w:r>
      <w:r w:rsidRPr="00C13B23">
        <w:rPr>
          <w:rFonts w:ascii="LiberationSans-Regular" w:hAnsi="LiberationSans-Regular"/>
        </w:rPr>
        <w:t xml:space="preserve"> 211 </w:t>
      </w:r>
      <w:r w:rsidR="00E12F86">
        <w:rPr>
          <w:rFonts w:ascii="LiberationSans-Regular" w:hAnsi="LiberationSans-Regular"/>
        </w:rPr>
        <w:t>L</w:t>
      </w:r>
      <w:r w:rsidRPr="00C13B23">
        <w:rPr>
          <w:rFonts w:ascii="LiberationSans-Regular" w:hAnsi="LiberationSans-Regular"/>
        </w:rPr>
        <w:t>it</w:t>
      </w:r>
      <w:r w:rsidR="00CB220B">
        <w:rPr>
          <w:rFonts w:ascii="LiberationSans-Regular" w:hAnsi="LiberationSans-Regular"/>
        </w:rPr>
        <w:t>erales</w:t>
      </w:r>
      <w:r w:rsidRPr="00C13B23">
        <w:rPr>
          <w:rFonts w:ascii="LiberationSans-Regular" w:hAnsi="LiberationSans-Regular"/>
        </w:rPr>
        <w:t xml:space="preserve"> B)</w:t>
      </w:r>
      <w:r w:rsidR="00CB220B">
        <w:rPr>
          <w:rFonts w:ascii="LiberationSans-Regular" w:hAnsi="LiberationSans-Regular"/>
        </w:rPr>
        <w:t xml:space="preserve"> y E)</w:t>
      </w:r>
      <w:r w:rsidRPr="00C13B23">
        <w:rPr>
          <w:rFonts w:ascii="LiberationSans-Regular" w:hAnsi="LiberationSans-Regular"/>
        </w:rPr>
        <w:t xml:space="preserve"> de la Constitución de la República;</w:t>
      </w:r>
    </w:p>
    <w:p w:rsidR="008A2F31" w:rsidRPr="00E12F86" w:rsidRDefault="008A2F31" w:rsidP="008F4F43">
      <w:pPr>
        <w:pStyle w:val="Ttulo1"/>
        <w:autoSpaceDE w:val="0"/>
        <w:autoSpaceDN w:val="0"/>
        <w:adjustRightInd w:val="0"/>
        <w:spacing w:after="0"/>
        <w:rPr>
          <w:rFonts w:ascii="Arial" w:hAnsi="Arial"/>
          <w:bCs/>
          <w:lang w:val="es-ES"/>
        </w:rPr>
      </w:pPr>
      <w:r w:rsidRPr="00E12F86">
        <w:rPr>
          <w:rFonts w:ascii="Arial" w:hAnsi="Arial"/>
          <w:bCs/>
          <w:lang w:val="es-ES"/>
        </w:rPr>
        <w:t>EL TRIBUNAL ACUERDA</w:t>
      </w:r>
    </w:p>
    <w:p w:rsidR="008A2F31" w:rsidRDefault="008A2F31" w:rsidP="008F4F43">
      <w:pPr>
        <w:pStyle w:val="Prrafodelista"/>
        <w:numPr>
          <w:ilvl w:val="0"/>
          <w:numId w:val="1"/>
        </w:numPr>
        <w:tabs>
          <w:tab w:val="left" w:pos="284"/>
        </w:tabs>
        <w:suppressAutoHyphens/>
        <w:spacing w:line="360" w:lineRule="auto"/>
        <w:ind w:left="0" w:firstLine="0"/>
        <w:jc w:val="both"/>
        <w:rPr>
          <w:rFonts w:ascii="Arial" w:hAnsi="Arial" w:cs="Arial"/>
          <w:spacing w:val="-3"/>
          <w:lang w:val="es-ES_tradnl"/>
        </w:rPr>
      </w:pPr>
      <w:r w:rsidRPr="00046B53">
        <w:rPr>
          <w:rFonts w:ascii="Arial" w:hAnsi="Arial" w:cs="Arial"/>
          <w:spacing w:val="-3"/>
          <w:lang w:val="es-ES_tradnl"/>
        </w:rPr>
        <w:t xml:space="preserve">Cometer al Contador Delegado la intervención del gasto  derivado de la </w:t>
      </w:r>
      <w:bookmarkStart w:id="0" w:name="_GoBack"/>
      <w:bookmarkEnd w:id="0"/>
      <w:r w:rsidRPr="00046B53">
        <w:rPr>
          <w:rFonts w:ascii="Arial" w:hAnsi="Arial" w:cs="Arial"/>
          <w:spacing w:val="-3"/>
          <w:lang w:val="es-ES_tradnl"/>
        </w:rPr>
        <w:t>transacción remitid</w:t>
      </w:r>
      <w:r w:rsidR="00CB220B" w:rsidRPr="00046B53">
        <w:rPr>
          <w:rFonts w:ascii="Arial" w:hAnsi="Arial" w:cs="Arial"/>
          <w:spacing w:val="-3"/>
          <w:lang w:val="es-ES_tradnl"/>
        </w:rPr>
        <w:t>a</w:t>
      </w:r>
      <w:r w:rsidRPr="00046B53">
        <w:rPr>
          <w:rFonts w:ascii="Arial" w:hAnsi="Arial" w:cs="Arial"/>
        </w:rPr>
        <w:t>,</w:t>
      </w:r>
      <w:r w:rsidRPr="00046B53">
        <w:rPr>
          <w:rFonts w:ascii="Arial" w:hAnsi="Arial" w:cs="Arial"/>
          <w:spacing w:val="-3"/>
          <w:lang w:val="es-ES_tradnl"/>
        </w:rPr>
        <w:t xml:space="preserve"> previo control de su imputación con cargo a </w:t>
      </w:r>
      <w:r w:rsidR="008F4F43">
        <w:rPr>
          <w:rFonts w:ascii="Arial" w:hAnsi="Arial" w:cs="Arial"/>
          <w:spacing w:val="-3"/>
          <w:lang w:val="es-ES_tradnl"/>
        </w:rPr>
        <w:t>G</w:t>
      </w:r>
      <w:r w:rsidRPr="00046B53">
        <w:rPr>
          <w:rFonts w:ascii="Arial" w:hAnsi="Arial" w:cs="Arial"/>
          <w:spacing w:val="-3"/>
          <w:lang w:val="es-ES_tradnl"/>
        </w:rPr>
        <w:t>rupo adecuado con disponibilidad suficiente;</w:t>
      </w:r>
    </w:p>
    <w:p w:rsidR="00992A6F" w:rsidRPr="00992A6F" w:rsidRDefault="00992A6F" w:rsidP="00E12F86">
      <w:pPr>
        <w:pStyle w:val="Prrafodelista"/>
        <w:numPr>
          <w:ilvl w:val="0"/>
          <w:numId w:val="1"/>
        </w:numPr>
        <w:tabs>
          <w:tab w:val="left" w:pos="-720"/>
          <w:tab w:val="left" w:pos="284"/>
        </w:tabs>
        <w:suppressAutoHyphens/>
        <w:spacing w:line="360" w:lineRule="auto"/>
        <w:ind w:left="0" w:firstLine="0"/>
        <w:jc w:val="both"/>
        <w:rPr>
          <w:rFonts w:ascii="Arial" w:hAnsi="Arial" w:cs="Arial"/>
          <w:spacing w:val="-3"/>
          <w:lang w:val="es-ES_tradnl"/>
        </w:rPr>
      </w:pPr>
      <w:r w:rsidRPr="00992A6F">
        <w:rPr>
          <w:rFonts w:ascii="Arial" w:hAnsi="Arial" w:cs="Arial"/>
          <w:spacing w:val="-3"/>
          <w:lang w:val="es-ES_tradnl"/>
        </w:rPr>
        <w:t>Téngase presente lo señalado en el Considerando 4) de la presente</w:t>
      </w:r>
      <w:r>
        <w:rPr>
          <w:rFonts w:ascii="Arial" w:hAnsi="Arial" w:cs="Arial"/>
          <w:spacing w:val="-3"/>
          <w:lang w:val="es-ES_tradnl"/>
        </w:rPr>
        <w:t>;</w:t>
      </w:r>
    </w:p>
    <w:p w:rsidR="00CB220B" w:rsidRDefault="00E57427" w:rsidP="00E12F86">
      <w:pPr>
        <w:tabs>
          <w:tab w:val="left" w:pos="-720"/>
          <w:tab w:val="left" w:pos="284"/>
        </w:tabs>
        <w:suppressAutoHyphens/>
        <w:spacing w:line="360" w:lineRule="auto"/>
        <w:jc w:val="both"/>
        <w:rPr>
          <w:rFonts w:cs="Arial"/>
          <w:spacing w:val="-3"/>
          <w:lang w:val="es-ES_tradnl"/>
        </w:rPr>
      </w:pPr>
      <w:r w:rsidRPr="00E57427">
        <w:rPr>
          <w:rFonts w:cs="Arial"/>
          <w:b/>
          <w:bCs/>
          <w:spacing w:val="-3"/>
          <w:lang w:val="es-ES_tradnl"/>
        </w:rPr>
        <w:t>3</w:t>
      </w:r>
      <w:r w:rsidR="008A2F31" w:rsidRPr="00E57427">
        <w:rPr>
          <w:rFonts w:cs="Arial"/>
          <w:b/>
          <w:bCs/>
          <w:spacing w:val="-3"/>
          <w:lang w:val="es-ES_tradnl"/>
        </w:rPr>
        <w:t>)</w:t>
      </w:r>
      <w:r w:rsidR="00B05A0A" w:rsidRPr="00046B53">
        <w:rPr>
          <w:rFonts w:cs="Arial"/>
          <w:bCs/>
          <w:spacing w:val="-3"/>
          <w:lang w:val="es-ES_tradnl"/>
        </w:rPr>
        <w:t xml:space="preserve"> Comunicar a la Dirección Nacional de Aduanas del Ministerio de </w:t>
      </w:r>
      <w:r w:rsidR="009E7798" w:rsidRPr="00046B53">
        <w:rPr>
          <w:rFonts w:cs="Arial"/>
          <w:bCs/>
          <w:spacing w:val="-3"/>
          <w:lang w:val="es-ES_tradnl"/>
        </w:rPr>
        <w:t>E</w:t>
      </w:r>
      <w:r w:rsidR="00B05A0A" w:rsidRPr="00046B53">
        <w:rPr>
          <w:rFonts w:cs="Arial"/>
          <w:bCs/>
          <w:spacing w:val="-3"/>
          <w:lang w:val="es-ES_tradnl"/>
        </w:rPr>
        <w:t>conomía y Finanzas la si</w:t>
      </w:r>
      <w:r w:rsidR="004D6EF3" w:rsidRPr="00046B53">
        <w:rPr>
          <w:rFonts w:cs="Arial"/>
          <w:bCs/>
          <w:spacing w:val="-3"/>
          <w:lang w:val="es-ES_tradnl"/>
        </w:rPr>
        <w:t xml:space="preserve">tuación </w:t>
      </w:r>
      <w:r w:rsidR="00992A6F">
        <w:rPr>
          <w:rFonts w:cs="Arial"/>
          <w:bCs/>
          <w:spacing w:val="-3"/>
          <w:lang w:val="es-ES_tradnl"/>
        </w:rPr>
        <w:t>referida</w:t>
      </w:r>
      <w:r w:rsidR="004D6EF3" w:rsidRPr="00046B53">
        <w:rPr>
          <w:rFonts w:cs="Arial"/>
          <w:bCs/>
          <w:spacing w:val="-3"/>
          <w:lang w:val="es-ES_tradnl"/>
        </w:rPr>
        <w:t xml:space="preserve"> en el Considerando 3) de la presente</w:t>
      </w:r>
      <w:r w:rsidR="00992A6F">
        <w:rPr>
          <w:rFonts w:cs="Arial"/>
          <w:bCs/>
          <w:spacing w:val="-3"/>
          <w:lang w:val="es-ES_tradnl"/>
        </w:rPr>
        <w:t xml:space="preserve"> a los efectos que correspondan</w:t>
      </w:r>
      <w:r w:rsidR="004D6EF3" w:rsidRPr="00046B53">
        <w:rPr>
          <w:rFonts w:cs="Arial"/>
          <w:bCs/>
          <w:spacing w:val="-3"/>
          <w:lang w:val="es-ES_tradnl"/>
        </w:rPr>
        <w:t>;</w:t>
      </w:r>
      <w:r w:rsidR="003B4067" w:rsidRPr="00046B53">
        <w:rPr>
          <w:rFonts w:cs="Arial"/>
          <w:bCs/>
          <w:spacing w:val="-3"/>
          <w:lang w:val="es-ES_tradnl"/>
        </w:rPr>
        <w:t xml:space="preserve"> </w:t>
      </w:r>
      <w:r w:rsidR="00CB220B" w:rsidRPr="00046B53">
        <w:rPr>
          <w:rFonts w:cs="Arial"/>
          <w:bCs/>
          <w:spacing w:val="-3"/>
          <w:lang w:val="es-ES_tradnl"/>
        </w:rPr>
        <w:t xml:space="preserve"> </w:t>
      </w:r>
      <w:r w:rsidR="008A2F31" w:rsidRPr="00046B53">
        <w:rPr>
          <w:rFonts w:cs="Arial"/>
          <w:spacing w:val="-3"/>
          <w:lang w:val="es-ES_tradnl"/>
        </w:rPr>
        <w:t xml:space="preserve"> </w:t>
      </w:r>
    </w:p>
    <w:p w:rsidR="00E57427" w:rsidRPr="00046B53" w:rsidRDefault="00E57427" w:rsidP="00E12F86">
      <w:pPr>
        <w:tabs>
          <w:tab w:val="left" w:pos="-720"/>
          <w:tab w:val="left" w:pos="0"/>
        </w:tabs>
        <w:suppressAutoHyphens/>
        <w:spacing w:line="360" w:lineRule="auto"/>
        <w:jc w:val="both"/>
        <w:rPr>
          <w:rFonts w:cs="Arial"/>
          <w:spacing w:val="-3"/>
          <w:lang w:val="es-ES_tradnl"/>
        </w:rPr>
      </w:pPr>
      <w:r>
        <w:rPr>
          <w:rFonts w:cs="Arial"/>
          <w:b/>
          <w:spacing w:val="-3"/>
          <w:lang w:val="es-ES_tradnl"/>
        </w:rPr>
        <w:t>4</w:t>
      </w:r>
      <w:r w:rsidRPr="00046B53">
        <w:rPr>
          <w:rFonts w:cs="Arial"/>
          <w:b/>
          <w:spacing w:val="-3"/>
          <w:lang w:val="es-ES_tradnl"/>
        </w:rPr>
        <w:t>)</w:t>
      </w:r>
      <w:r w:rsidRPr="00046B53">
        <w:rPr>
          <w:rFonts w:cs="Arial"/>
          <w:spacing w:val="-3"/>
          <w:lang w:val="es-ES_tradnl"/>
        </w:rPr>
        <w:t xml:space="preserve"> Comunicar al Contador Delegado</w:t>
      </w:r>
      <w:r w:rsidR="008F4F43" w:rsidRPr="00046B53">
        <w:rPr>
          <w:rFonts w:cs="Arial"/>
          <w:spacing w:val="-3"/>
          <w:lang w:val="es-ES_tradnl"/>
        </w:rPr>
        <w:t>;</w:t>
      </w:r>
      <w:r>
        <w:rPr>
          <w:rFonts w:cs="Arial"/>
          <w:spacing w:val="-3"/>
          <w:lang w:val="es-ES_tradnl"/>
        </w:rPr>
        <w:t xml:space="preserve"> y</w:t>
      </w:r>
    </w:p>
    <w:p w:rsidR="008A2F31" w:rsidRDefault="00E57427" w:rsidP="00E12F86">
      <w:pPr>
        <w:tabs>
          <w:tab w:val="left" w:pos="-720"/>
          <w:tab w:val="left" w:pos="0"/>
        </w:tabs>
        <w:suppressAutoHyphens/>
        <w:spacing w:line="360" w:lineRule="auto"/>
        <w:jc w:val="both"/>
        <w:rPr>
          <w:rFonts w:cs="Arial"/>
          <w:spacing w:val="-3"/>
          <w:lang w:val="es-ES_tradnl"/>
        </w:rPr>
      </w:pPr>
      <w:r w:rsidRPr="00E57427">
        <w:rPr>
          <w:rFonts w:cs="Arial"/>
          <w:b/>
          <w:spacing w:val="-3"/>
          <w:lang w:val="es-ES_tradnl"/>
        </w:rPr>
        <w:t>5</w:t>
      </w:r>
      <w:r w:rsidR="003B4067" w:rsidRPr="00E57427">
        <w:rPr>
          <w:rFonts w:cs="Arial"/>
          <w:b/>
          <w:spacing w:val="-3"/>
          <w:lang w:val="es-ES_tradnl"/>
        </w:rPr>
        <w:t>)</w:t>
      </w:r>
      <w:r w:rsidR="008A2F31" w:rsidRPr="00046B53">
        <w:rPr>
          <w:rFonts w:cs="Arial"/>
          <w:spacing w:val="-3"/>
          <w:lang w:val="es-ES_tradnl"/>
        </w:rPr>
        <w:t xml:space="preserve"> Devolver las actuaciones.</w:t>
      </w:r>
    </w:p>
    <w:p w:rsidR="00E12F86" w:rsidRDefault="00E12F86" w:rsidP="00E12F86">
      <w:pPr>
        <w:tabs>
          <w:tab w:val="left" w:pos="-720"/>
          <w:tab w:val="left" w:pos="0"/>
        </w:tabs>
        <w:suppressAutoHyphens/>
        <w:spacing w:line="360" w:lineRule="auto"/>
        <w:rPr>
          <w:rFonts w:cs="Arial"/>
          <w:spacing w:val="-3"/>
          <w:lang w:val="es-ES_tradnl"/>
        </w:rPr>
      </w:pPr>
    </w:p>
    <w:p w:rsidR="00E12F86" w:rsidRDefault="00E12F86" w:rsidP="00E12F86">
      <w:pPr>
        <w:tabs>
          <w:tab w:val="left" w:pos="-720"/>
          <w:tab w:val="left" w:pos="0"/>
        </w:tabs>
        <w:suppressAutoHyphens/>
        <w:spacing w:line="360" w:lineRule="auto"/>
        <w:rPr>
          <w:rFonts w:cs="Arial"/>
          <w:spacing w:val="-3"/>
          <w:lang w:val="es-ES_tradnl"/>
        </w:rPr>
      </w:pPr>
    </w:p>
    <w:p w:rsidR="00E12F86" w:rsidRPr="00046B53" w:rsidRDefault="00E12F86" w:rsidP="00E12F86">
      <w:pPr>
        <w:tabs>
          <w:tab w:val="left" w:pos="-720"/>
          <w:tab w:val="left" w:pos="0"/>
        </w:tabs>
        <w:suppressAutoHyphens/>
        <w:spacing w:line="360" w:lineRule="auto"/>
        <w:rPr>
          <w:rFonts w:cs="Arial"/>
          <w:spacing w:val="-3"/>
          <w:lang w:val="es-ES_tradnl"/>
        </w:rPr>
      </w:pPr>
      <w:proofErr w:type="spellStart"/>
      <w:proofErr w:type="gramStart"/>
      <w:r>
        <w:rPr>
          <w:rFonts w:cs="Arial"/>
          <w:spacing w:val="-3"/>
          <w:lang w:val="es-ES_tradnl"/>
        </w:rPr>
        <w:t>aa</w:t>
      </w:r>
      <w:proofErr w:type="spellEnd"/>
      <w:proofErr w:type="gramEnd"/>
    </w:p>
    <w:p w:rsidR="008A2F31" w:rsidRPr="00046B53" w:rsidRDefault="003B4067" w:rsidP="008A2F31">
      <w:pPr>
        <w:tabs>
          <w:tab w:val="left" w:pos="-720"/>
        </w:tabs>
        <w:suppressAutoHyphens/>
        <w:spacing w:line="360" w:lineRule="auto"/>
        <w:jc w:val="both"/>
        <w:rPr>
          <w:rFonts w:cs="Arial"/>
          <w:spacing w:val="-3"/>
          <w:highlight w:val="yellow"/>
          <w:lang w:val="es-ES_tradnl"/>
        </w:rPr>
      </w:pPr>
      <w:r w:rsidRPr="00046B53">
        <w:rPr>
          <w:rFonts w:cs="Arial"/>
          <w:spacing w:val="-3"/>
          <w:highlight w:val="yellow"/>
          <w:lang w:val="es-ES_tradnl"/>
        </w:rPr>
        <w:t xml:space="preserve"> </w:t>
      </w:r>
    </w:p>
    <w:p w:rsidR="008A2F31" w:rsidRPr="00046B53" w:rsidRDefault="008A2F31" w:rsidP="008A2F31">
      <w:pPr>
        <w:tabs>
          <w:tab w:val="left" w:pos="-720"/>
        </w:tabs>
        <w:suppressAutoHyphens/>
        <w:spacing w:line="360" w:lineRule="auto"/>
        <w:jc w:val="both"/>
        <w:rPr>
          <w:rFonts w:cs="Arial"/>
          <w:spacing w:val="-3"/>
          <w:highlight w:val="yellow"/>
          <w:lang w:val="es-ES_tradnl"/>
        </w:rPr>
      </w:pPr>
    </w:p>
    <w:sectPr w:rsidR="008A2F31" w:rsidRPr="00046B53" w:rsidSect="00576E79">
      <w:pgSz w:w="11906" w:h="16838" w:code="9"/>
      <w:pgMar w:top="3402" w:right="1701" w:bottom="992"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LiberationSans-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8B5458"/>
    <w:multiLevelType w:val="hybridMultilevel"/>
    <w:tmpl w:val="F6D0202A"/>
    <w:lvl w:ilvl="0" w:tplc="37E6F08E">
      <w:start w:val="1"/>
      <w:numFmt w:val="decimal"/>
      <w:lvlText w:val="%1)"/>
      <w:lvlJc w:val="left"/>
      <w:pPr>
        <w:ind w:left="1140" w:hanging="360"/>
      </w:pPr>
      <w:rPr>
        <w:rFonts w:hint="default"/>
        <w:b/>
      </w:rPr>
    </w:lvl>
    <w:lvl w:ilvl="1" w:tplc="380A0019" w:tentative="1">
      <w:start w:val="1"/>
      <w:numFmt w:val="lowerLetter"/>
      <w:lvlText w:val="%2."/>
      <w:lvlJc w:val="left"/>
      <w:pPr>
        <w:ind w:left="1860" w:hanging="360"/>
      </w:pPr>
    </w:lvl>
    <w:lvl w:ilvl="2" w:tplc="380A001B" w:tentative="1">
      <w:start w:val="1"/>
      <w:numFmt w:val="lowerRoman"/>
      <w:lvlText w:val="%3."/>
      <w:lvlJc w:val="right"/>
      <w:pPr>
        <w:ind w:left="2580" w:hanging="180"/>
      </w:pPr>
    </w:lvl>
    <w:lvl w:ilvl="3" w:tplc="380A000F" w:tentative="1">
      <w:start w:val="1"/>
      <w:numFmt w:val="decimal"/>
      <w:lvlText w:val="%4."/>
      <w:lvlJc w:val="left"/>
      <w:pPr>
        <w:ind w:left="3300" w:hanging="360"/>
      </w:pPr>
    </w:lvl>
    <w:lvl w:ilvl="4" w:tplc="380A0019" w:tentative="1">
      <w:start w:val="1"/>
      <w:numFmt w:val="lowerLetter"/>
      <w:lvlText w:val="%5."/>
      <w:lvlJc w:val="left"/>
      <w:pPr>
        <w:ind w:left="4020" w:hanging="360"/>
      </w:pPr>
    </w:lvl>
    <w:lvl w:ilvl="5" w:tplc="380A001B" w:tentative="1">
      <w:start w:val="1"/>
      <w:numFmt w:val="lowerRoman"/>
      <w:lvlText w:val="%6."/>
      <w:lvlJc w:val="right"/>
      <w:pPr>
        <w:ind w:left="4740" w:hanging="180"/>
      </w:pPr>
    </w:lvl>
    <w:lvl w:ilvl="6" w:tplc="380A000F" w:tentative="1">
      <w:start w:val="1"/>
      <w:numFmt w:val="decimal"/>
      <w:lvlText w:val="%7."/>
      <w:lvlJc w:val="left"/>
      <w:pPr>
        <w:ind w:left="5460" w:hanging="360"/>
      </w:pPr>
    </w:lvl>
    <w:lvl w:ilvl="7" w:tplc="380A0019" w:tentative="1">
      <w:start w:val="1"/>
      <w:numFmt w:val="lowerLetter"/>
      <w:lvlText w:val="%8."/>
      <w:lvlJc w:val="left"/>
      <w:pPr>
        <w:ind w:left="6180" w:hanging="360"/>
      </w:pPr>
    </w:lvl>
    <w:lvl w:ilvl="8" w:tplc="380A001B" w:tentative="1">
      <w:start w:val="1"/>
      <w:numFmt w:val="lowerRoman"/>
      <w:lvlText w:val="%9."/>
      <w:lvlJc w:val="right"/>
      <w:pPr>
        <w:ind w:left="6900" w:hanging="180"/>
      </w:pPr>
    </w:lvl>
  </w:abstractNum>
  <w:abstractNum w:abstractNumId="1">
    <w:nsid w:val="7AD62CE2"/>
    <w:multiLevelType w:val="hybridMultilevel"/>
    <w:tmpl w:val="F6D0202A"/>
    <w:lvl w:ilvl="0" w:tplc="37E6F08E">
      <w:start w:val="1"/>
      <w:numFmt w:val="decimal"/>
      <w:lvlText w:val="%1)"/>
      <w:lvlJc w:val="left"/>
      <w:pPr>
        <w:ind w:left="1140" w:hanging="360"/>
      </w:pPr>
      <w:rPr>
        <w:rFonts w:hint="default"/>
        <w:b/>
      </w:rPr>
    </w:lvl>
    <w:lvl w:ilvl="1" w:tplc="380A0019" w:tentative="1">
      <w:start w:val="1"/>
      <w:numFmt w:val="lowerLetter"/>
      <w:lvlText w:val="%2."/>
      <w:lvlJc w:val="left"/>
      <w:pPr>
        <w:ind w:left="1860" w:hanging="360"/>
      </w:pPr>
    </w:lvl>
    <w:lvl w:ilvl="2" w:tplc="380A001B" w:tentative="1">
      <w:start w:val="1"/>
      <w:numFmt w:val="lowerRoman"/>
      <w:lvlText w:val="%3."/>
      <w:lvlJc w:val="right"/>
      <w:pPr>
        <w:ind w:left="2580" w:hanging="180"/>
      </w:pPr>
    </w:lvl>
    <w:lvl w:ilvl="3" w:tplc="380A000F" w:tentative="1">
      <w:start w:val="1"/>
      <w:numFmt w:val="decimal"/>
      <w:lvlText w:val="%4."/>
      <w:lvlJc w:val="left"/>
      <w:pPr>
        <w:ind w:left="3300" w:hanging="360"/>
      </w:pPr>
    </w:lvl>
    <w:lvl w:ilvl="4" w:tplc="380A0019" w:tentative="1">
      <w:start w:val="1"/>
      <w:numFmt w:val="lowerLetter"/>
      <w:lvlText w:val="%5."/>
      <w:lvlJc w:val="left"/>
      <w:pPr>
        <w:ind w:left="4020" w:hanging="360"/>
      </w:pPr>
    </w:lvl>
    <w:lvl w:ilvl="5" w:tplc="380A001B" w:tentative="1">
      <w:start w:val="1"/>
      <w:numFmt w:val="lowerRoman"/>
      <w:lvlText w:val="%6."/>
      <w:lvlJc w:val="right"/>
      <w:pPr>
        <w:ind w:left="4740" w:hanging="180"/>
      </w:pPr>
    </w:lvl>
    <w:lvl w:ilvl="6" w:tplc="380A000F" w:tentative="1">
      <w:start w:val="1"/>
      <w:numFmt w:val="decimal"/>
      <w:lvlText w:val="%7."/>
      <w:lvlJc w:val="left"/>
      <w:pPr>
        <w:ind w:left="5460" w:hanging="360"/>
      </w:pPr>
    </w:lvl>
    <w:lvl w:ilvl="7" w:tplc="380A0019" w:tentative="1">
      <w:start w:val="1"/>
      <w:numFmt w:val="lowerLetter"/>
      <w:lvlText w:val="%8."/>
      <w:lvlJc w:val="left"/>
      <w:pPr>
        <w:ind w:left="6180" w:hanging="360"/>
      </w:pPr>
    </w:lvl>
    <w:lvl w:ilvl="8" w:tplc="380A001B" w:tentative="1">
      <w:start w:val="1"/>
      <w:numFmt w:val="lowerRoman"/>
      <w:lvlText w:val="%9."/>
      <w:lvlJc w:val="right"/>
      <w:pPr>
        <w:ind w:left="69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31"/>
    <w:rsid w:val="00046B53"/>
    <w:rsid w:val="00060287"/>
    <w:rsid w:val="00080BD2"/>
    <w:rsid w:val="000B6568"/>
    <w:rsid w:val="00113C34"/>
    <w:rsid w:val="001806D6"/>
    <w:rsid w:val="0018439E"/>
    <w:rsid w:val="001B48F0"/>
    <w:rsid w:val="001C31CE"/>
    <w:rsid w:val="001C7637"/>
    <w:rsid w:val="00240EE8"/>
    <w:rsid w:val="003766A9"/>
    <w:rsid w:val="00385BE7"/>
    <w:rsid w:val="003A2AF3"/>
    <w:rsid w:val="003B4067"/>
    <w:rsid w:val="00426DD0"/>
    <w:rsid w:val="00457A6D"/>
    <w:rsid w:val="0048054E"/>
    <w:rsid w:val="00496339"/>
    <w:rsid w:val="004C1F78"/>
    <w:rsid w:val="004D6EF3"/>
    <w:rsid w:val="005709E2"/>
    <w:rsid w:val="00576E79"/>
    <w:rsid w:val="005C65CD"/>
    <w:rsid w:val="006426C4"/>
    <w:rsid w:val="006D213E"/>
    <w:rsid w:val="006F63A6"/>
    <w:rsid w:val="00750F23"/>
    <w:rsid w:val="00811CA8"/>
    <w:rsid w:val="00832CBB"/>
    <w:rsid w:val="008A2F31"/>
    <w:rsid w:val="008F4F43"/>
    <w:rsid w:val="00935BF5"/>
    <w:rsid w:val="00992A6F"/>
    <w:rsid w:val="009E7798"/>
    <w:rsid w:val="00A42675"/>
    <w:rsid w:val="00B05A0A"/>
    <w:rsid w:val="00BA698C"/>
    <w:rsid w:val="00C12DC5"/>
    <w:rsid w:val="00C354D7"/>
    <w:rsid w:val="00CB220B"/>
    <w:rsid w:val="00D74052"/>
    <w:rsid w:val="00DC001E"/>
    <w:rsid w:val="00DC5833"/>
    <w:rsid w:val="00DF6B8A"/>
    <w:rsid w:val="00E12F86"/>
    <w:rsid w:val="00E304A1"/>
    <w:rsid w:val="00E57427"/>
    <w:rsid w:val="00E61AC4"/>
    <w:rsid w:val="00EB5B4E"/>
    <w:rsid w:val="00F514C2"/>
    <w:rsid w:val="00F514DD"/>
    <w:rsid w:val="00F664D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F31"/>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8A2F31"/>
    <w:pPr>
      <w:keepNext/>
      <w:spacing w:after="-1" w:line="360" w:lineRule="auto"/>
      <w:jc w:val="center"/>
      <w:outlineLvl w:val="0"/>
    </w:pPr>
    <w:rPr>
      <w:rFonts w:ascii="Times New Roman" w:hAnsi="Times New Roman"/>
      <w:b/>
      <w:lang w:val="es-ES_tradnl" w:eastAsia="es-ES_tradnl"/>
    </w:rPr>
  </w:style>
  <w:style w:type="paragraph" w:styleId="Ttulo2">
    <w:name w:val="heading 2"/>
    <w:basedOn w:val="Normal"/>
    <w:next w:val="Normal"/>
    <w:link w:val="Ttulo2Car"/>
    <w:qFormat/>
    <w:rsid w:val="008A2F31"/>
    <w:pPr>
      <w:keepNext/>
      <w:suppressAutoHyphens/>
      <w:spacing w:line="360" w:lineRule="auto"/>
      <w:jc w:val="both"/>
      <w:outlineLvl w:val="1"/>
    </w:pPr>
    <w:rPr>
      <w:b/>
      <w:spacing w:val="-3"/>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A2F31"/>
    <w:rPr>
      <w:rFonts w:ascii="Times New Roman" w:eastAsia="Times New Roman" w:hAnsi="Times New Roman" w:cs="Times New Roman"/>
      <w:b/>
      <w:sz w:val="24"/>
      <w:szCs w:val="24"/>
      <w:lang w:val="es-ES_tradnl" w:eastAsia="es-ES_tradnl"/>
    </w:rPr>
  </w:style>
  <w:style w:type="character" w:customStyle="1" w:styleId="Ttulo2Car">
    <w:name w:val="Título 2 Car"/>
    <w:basedOn w:val="Fuentedeprrafopredeter"/>
    <w:link w:val="Ttulo2"/>
    <w:rsid w:val="008A2F31"/>
    <w:rPr>
      <w:rFonts w:ascii="Arial" w:eastAsia="Times New Roman" w:hAnsi="Arial" w:cs="Times New Roman"/>
      <w:b/>
      <w:spacing w:val="-3"/>
      <w:sz w:val="24"/>
      <w:szCs w:val="24"/>
      <w:lang w:val="es-ES_tradnl" w:eastAsia="es-ES"/>
    </w:rPr>
  </w:style>
  <w:style w:type="paragraph" w:styleId="Sangradetextonormal">
    <w:name w:val="Body Text Indent"/>
    <w:basedOn w:val="Normal"/>
    <w:link w:val="SangradetextonormalCar"/>
    <w:semiHidden/>
    <w:rsid w:val="003766A9"/>
    <w:pPr>
      <w:spacing w:line="360" w:lineRule="auto"/>
      <w:ind w:left="-360" w:firstLine="240"/>
      <w:jc w:val="both"/>
    </w:pPr>
  </w:style>
  <w:style w:type="character" w:customStyle="1" w:styleId="SangradetextonormalCar">
    <w:name w:val="Sangría de texto normal Car"/>
    <w:basedOn w:val="Fuentedeprrafopredeter"/>
    <w:link w:val="Sangradetextonormal"/>
    <w:semiHidden/>
    <w:rsid w:val="003766A9"/>
    <w:rPr>
      <w:rFonts w:ascii="Arial" w:eastAsia="Times New Roman" w:hAnsi="Arial" w:cs="Times New Roman"/>
      <w:sz w:val="24"/>
      <w:szCs w:val="24"/>
      <w:lang w:val="es-ES" w:eastAsia="es-ES"/>
    </w:rPr>
  </w:style>
  <w:style w:type="paragraph" w:styleId="Prrafodelista">
    <w:name w:val="List Paragraph"/>
    <w:basedOn w:val="Normal"/>
    <w:uiPriority w:val="34"/>
    <w:qFormat/>
    <w:rsid w:val="003766A9"/>
    <w:pPr>
      <w:ind w:left="720"/>
      <w:contextualSpacing/>
    </w:pPr>
    <w:rPr>
      <w:rFonts w:ascii="Times New Roman" w:hAnsi="Times New Roman"/>
    </w:rPr>
  </w:style>
  <w:style w:type="paragraph" w:styleId="Textodeglobo">
    <w:name w:val="Balloon Text"/>
    <w:basedOn w:val="Normal"/>
    <w:link w:val="TextodegloboCar"/>
    <w:uiPriority w:val="99"/>
    <w:semiHidden/>
    <w:unhideWhenUsed/>
    <w:rsid w:val="00BA698C"/>
    <w:rPr>
      <w:rFonts w:ascii="Tahoma" w:hAnsi="Tahoma" w:cs="Tahoma"/>
      <w:sz w:val="16"/>
      <w:szCs w:val="16"/>
    </w:rPr>
  </w:style>
  <w:style w:type="character" w:customStyle="1" w:styleId="TextodegloboCar">
    <w:name w:val="Texto de globo Car"/>
    <w:basedOn w:val="Fuentedeprrafopredeter"/>
    <w:link w:val="Textodeglobo"/>
    <w:uiPriority w:val="99"/>
    <w:semiHidden/>
    <w:rsid w:val="00BA698C"/>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F31"/>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8A2F31"/>
    <w:pPr>
      <w:keepNext/>
      <w:spacing w:after="-1" w:line="360" w:lineRule="auto"/>
      <w:jc w:val="center"/>
      <w:outlineLvl w:val="0"/>
    </w:pPr>
    <w:rPr>
      <w:rFonts w:ascii="Times New Roman" w:hAnsi="Times New Roman"/>
      <w:b/>
      <w:lang w:val="es-ES_tradnl" w:eastAsia="es-ES_tradnl"/>
    </w:rPr>
  </w:style>
  <w:style w:type="paragraph" w:styleId="Ttulo2">
    <w:name w:val="heading 2"/>
    <w:basedOn w:val="Normal"/>
    <w:next w:val="Normal"/>
    <w:link w:val="Ttulo2Car"/>
    <w:qFormat/>
    <w:rsid w:val="008A2F31"/>
    <w:pPr>
      <w:keepNext/>
      <w:suppressAutoHyphens/>
      <w:spacing w:line="360" w:lineRule="auto"/>
      <w:jc w:val="both"/>
      <w:outlineLvl w:val="1"/>
    </w:pPr>
    <w:rPr>
      <w:b/>
      <w:spacing w:val="-3"/>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A2F31"/>
    <w:rPr>
      <w:rFonts w:ascii="Times New Roman" w:eastAsia="Times New Roman" w:hAnsi="Times New Roman" w:cs="Times New Roman"/>
      <w:b/>
      <w:sz w:val="24"/>
      <w:szCs w:val="24"/>
      <w:lang w:val="es-ES_tradnl" w:eastAsia="es-ES_tradnl"/>
    </w:rPr>
  </w:style>
  <w:style w:type="character" w:customStyle="1" w:styleId="Ttulo2Car">
    <w:name w:val="Título 2 Car"/>
    <w:basedOn w:val="Fuentedeprrafopredeter"/>
    <w:link w:val="Ttulo2"/>
    <w:rsid w:val="008A2F31"/>
    <w:rPr>
      <w:rFonts w:ascii="Arial" w:eastAsia="Times New Roman" w:hAnsi="Arial" w:cs="Times New Roman"/>
      <w:b/>
      <w:spacing w:val="-3"/>
      <w:sz w:val="24"/>
      <w:szCs w:val="24"/>
      <w:lang w:val="es-ES_tradnl" w:eastAsia="es-ES"/>
    </w:rPr>
  </w:style>
  <w:style w:type="paragraph" w:styleId="Sangradetextonormal">
    <w:name w:val="Body Text Indent"/>
    <w:basedOn w:val="Normal"/>
    <w:link w:val="SangradetextonormalCar"/>
    <w:semiHidden/>
    <w:rsid w:val="003766A9"/>
    <w:pPr>
      <w:spacing w:line="360" w:lineRule="auto"/>
      <w:ind w:left="-360" w:firstLine="240"/>
      <w:jc w:val="both"/>
    </w:pPr>
  </w:style>
  <w:style w:type="character" w:customStyle="1" w:styleId="SangradetextonormalCar">
    <w:name w:val="Sangría de texto normal Car"/>
    <w:basedOn w:val="Fuentedeprrafopredeter"/>
    <w:link w:val="Sangradetextonormal"/>
    <w:semiHidden/>
    <w:rsid w:val="003766A9"/>
    <w:rPr>
      <w:rFonts w:ascii="Arial" w:eastAsia="Times New Roman" w:hAnsi="Arial" w:cs="Times New Roman"/>
      <w:sz w:val="24"/>
      <w:szCs w:val="24"/>
      <w:lang w:val="es-ES" w:eastAsia="es-ES"/>
    </w:rPr>
  </w:style>
  <w:style w:type="paragraph" w:styleId="Prrafodelista">
    <w:name w:val="List Paragraph"/>
    <w:basedOn w:val="Normal"/>
    <w:uiPriority w:val="34"/>
    <w:qFormat/>
    <w:rsid w:val="003766A9"/>
    <w:pPr>
      <w:ind w:left="720"/>
      <w:contextualSpacing/>
    </w:pPr>
    <w:rPr>
      <w:rFonts w:ascii="Times New Roman" w:hAnsi="Times New Roman"/>
    </w:rPr>
  </w:style>
  <w:style w:type="paragraph" w:styleId="Textodeglobo">
    <w:name w:val="Balloon Text"/>
    <w:basedOn w:val="Normal"/>
    <w:link w:val="TextodegloboCar"/>
    <w:uiPriority w:val="99"/>
    <w:semiHidden/>
    <w:unhideWhenUsed/>
    <w:rsid w:val="00BA698C"/>
    <w:rPr>
      <w:rFonts w:ascii="Tahoma" w:hAnsi="Tahoma" w:cs="Tahoma"/>
      <w:sz w:val="16"/>
      <w:szCs w:val="16"/>
    </w:rPr>
  </w:style>
  <w:style w:type="character" w:customStyle="1" w:styleId="TextodegloboCar">
    <w:name w:val="Texto de globo Car"/>
    <w:basedOn w:val="Fuentedeprrafopredeter"/>
    <w:link w:val="Textodeglobo"/>
    <w:uiPriority w:val="99"/>
    <w:semiHidden/>
    <w:rsid w:val="00BA698C"/>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6B4BF-33BB-4190-972C-3F426247F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11</Pages>
  <Words>3082</Words>
  <Characters>16956</Characters>
  <Application>Microsoft Office Word</Application>
  <DocSecurity>0</DocSecurity>
  <Lines>141</Lines>
  <Paragraphs>39</Paragraphs>
  <ScaleCrop>false</ScaleCrop>
  <HeadingPairs>
    <vt:vector size="2" baseType="variant">
      <vt:variant>
        <vt:lpstr>Título</vt:lpstr>
      </vt:variant>
      <vt:variant>
        <vt:i4>1</vt:i4>
      </vt:variant>
    </vt:vector>
  </HeadingPairs>
  <TitlesOfParts>
    <vt:vector size="1" baseType="lpstr">
      <vt:lpstr/>
    </vt:vector>
  </TitlesOfParts>
  <Company>Lenovo</Company>
  <LinksUpToDate>false</LinksUpToDate>
  <CharactersWithSpaces>19999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Tribunal1</cp:lastModifiedBy>
  <cp:revision>11</cp:revision>
  <cp:lastPrinted>2018-03-20T19:19:00Z</cp:lastPrinted>
  <dcterms:created xsi:type="dcterms:W3CDTF">2018-03-20T15:55:00Z</dcterms:created>
  <dcterms:modified xsi:type="dcterms:W3CDTF">2018-03-20T19:19:00Z</dcterms:modified>
</cp:coreProperties>
</file>