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58D" w:rsidRPr="00786EEB" w:rsidRDefault="009C258D" w:rsidP="00786EEB">
      <w:pPr>
        <w:tabs>
          <w:tab w:val="center" w:pos="4253"/>
        </w:tabs>
        <w:suppressAutoHyphens/>
        <w:jc w:val="right"/>
        <w:rPr>
          <w:rFonts w:cs="Arial"/>
          <w:b/>
          <w:sz w:val="28"/>
          <w:szCs w:val="28"/>
          <w:lang w:val="es-ES_tradnl"/>
        </w:rPr>
      </w:pPr>
      <w:r>
        <w:rPr>
          <w:rFonts w:cs="Arial"/>
          <w:b/>
          <w:sz w:val="28"/>
          <w:szCs w:val="28"/>
          <w:lang w:val="es-ES_tradnl"/>
        </w:rPr>
        <w:t>RES. 954/18</w:t>
      </w:r>
    </w:p>
    <w:p w:rsidR="009C258D" w:rsidRDefault="009C258D" w:rsidP="00786EEB">
      <w:pPr>
        <w:tabs>
          <w:tab w:val="center" w:pos="4253"/>
        </w:tabs>
        <w:suppressAutoHyphens/>
        <w:jc w:val="right"/>
        <w:rPr>
          <w:rFonts w:cs="Arial"/>
          <w:b/>
          <w:lang w:val="es-ES_tradnl"/>
        </w:rPr>
      </w:pPr>
    </w:p>
    <w:p w:rsidR="009C258D" w:rsidRPr="00762B34" w:rsidRDefault="009C258D">
      <w:pPr>
        <w:tabs>
          <w:tab w:val="center" w:pos="4253"/>
        </w:tabs>
        <w:suppressAutoHyphens/>
        <w:jc w:val="center"/>
        <w:rPr>
          <w:rFonts w:cs="Arial"/>
          <w:b/>
          <w:lang w:val="es-ES_tradnl"/>
        </w:rPr>
      </w:pPr>
      <w:r w:rsidRPr="00762B34">
        <w:rPr>
          <w:rFonts w:cs="Arial"/>
          <w:b/>
          <w:lang w:val="es-ES_tradnl"/>
        </w:rPr>
        <w:t>RESOLUCION ADOPTADA POR EL</w:t>
      </w:r>
    </w:p>
    <w:p w:rsidR="009C258D" w:rsidRPr="00762B34" w:rsidRDefault="009C258D">
      <w:pPr>
        <w:tabs>
          <w:tab w:val="left" w:pos="-720"/>
        </w:tabs>
        <w:suppressAutoHyphens/>
        <w:jc w:val="center"/>
        <w:rPr>
          <w:rFonts w:cs="Arial"/>
          <w:b/>
          <w:lang w:val="es-ES_tradnl"/>
        </w:rPr>
      </w:pPr>
    </w:p>
    <w:p w:rsidR="009C258D" w:rsidRPr="00762B34" w:rsidRDefault="009C258D">
      <w:pPr>
        <w:tabs>
          <w:tab w:val="center" w:pos="4253"/>
        </w:tabs>
        <w:suppressAutoHyphens/>
        <w:jc w:val="center"/>
        <w:rPr>
          <w:rFonts w:cs="Arial"/>
          <w:b/>
          <w:lang w:val="es-ES_tradnl"/>
        </w:rPr>
      </w:pPr>
      <w:r w:rsidRPr="00762B34">
        <w:rPr>
          <w:rFonts w:cs="Arial"/>
          <w:b/>
          <w:lang w:val="es-ES_tradnl"/>
        </w:rPr>
        <w:t>TRIBUNAL DE CUENTAS</w:t>
      </w:r>
    </w:p>
    <w:p w:rsidR="009C258D" w:rsidRPr="00762B34" w:rsidRDefault="009C258D">
      <w:pPr>
        <w:tabs>
          <w:tab w:val="left" w:pos="-720"/>
        </w:tabs>
        <w:suppressAutoHyphens/>
        <w:jc w:val="center"/>
        <w:rPr>
          <w:rFonts w:cs="Arial"/>
          <w:b/>
          <w:lang w:val="es-ES_tradnl"/>
        </w:rPr>
      </w:pPr>
    </w:p>
    <w:p w:rsidR="009C258D" w:rsidRPr="00762B34" w:rsidRDefault="009C258D">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14 DE MARZO </w:t>
      </w:r>
      <w:r>
        <w:rPr>
          <w:rFonts w:ascii="Helvetica" w:hAnsi="Helvetica"/>
          <w:b/>
          <w:lang w:val="es-ES_tradnl"/>
        </w:rPr>
        <w:t>DE 2018</w:t>
      </w:r>
    </w:p>
    <w:p w:rsidR="009C258D" w:rsidRPr="00762B34" w:rsidRDefault="009C258D">
      <w:pPr>
        <w:tabs>
          <w:tab w:val="center" w:pos="4253"/>
        </w:tabs>
        <w:suppressAutoHyphens/>
        <w:jc w:val="center"/>
        <w:rPr>
          <w:rFonts w:cs="Arial"/>
          <w:b/>
          <w:lang w:val="es-ES_tradnl"/>
        </w:rPr>
      </w:pPr>
    </w:p>
    <w:p w:rsidR="009C258D" w:rsidRPr="00762B34" w:rsidRDefault="009C258D">
      <w:pPr>
        <w:tabs>
          <w:tab w:val="center" w:pos="4253"/>
        </w:tabs>
        <w:suppressAutoHyphens/>
        <w:jc w:val="center"/>
        <w:rPr>
          <w:rFonts w:cs="Arial"/>
          <w:b/>
          <w:lang w:val="en-US"/>
        </w:rPr>
      </w:pPr>
      <w:r w:rsidRPr="00762B34">
        <w:rPr>
          <w:rFonts w:cs="Arial"/>
          <w:b/>
          <w:lang w:val="en-US"/>
        </w:rPr>
        <w:t xml:space="preserve">(E. E. Nº </w:t>
      </w:r>
      <w:r>
        <w:rPr>
          <w:rFonts w:cs="Arial"/>
          <w:b/>
          <w:lang w:val="en-US"/>
        </w:rPr>
        <w:t>2018-17-1-0001566</w:t>
      </w:r>
      <w:r w:rsidRPr="00762B34">
        <w:rPr>
          <w:rFonts w:cs="Arial"/>
          <w:b/>
          <w:lang w:val="en-US"/>
        </w:rPr>
        <w:t xml:space="preserve">, </w:t>
      </w:r>
      <w:proofErr w:type="gramStart"/>
      <w:r w:rsidRPr="00762B34">
        <w:rPr>
          <w:rFonts w:cs="Arial"/>
          <w:b/>
          <w:lang w:val="en-US"/>
        </w:rPr>
        <w:t>Ent</w:t>
      </w:r>
      <w:proofErr w:type="gramEnd"/>
      <w:r w:rsidRPr="00762B34">
        <w:rPr>
          <w:rFonts w:cs="Arial"/>
          <w:b/>
          <w:lang w:val="en-US"/>
        </w:rPr>
        <w:t xml:space="preserve">. N° </w:t>
      </w:r>
      <w:r>
        <w:rPr>
          <w:rFonts w:cs="Arial"/>
          <w:b/>
          <w:lang w:val="en-US"/>
        </w:rPr>
        <w:t>1130/18</w:t>
      </w:r>
      <w:r w:rsidRPr="00762B34">
        <w:rPr>
          <w:rFonts w:cs="Arial"/>
          <w:b/>
          <w:lang w:val="en-US"/>
        </w:rPr>
        <w:t>)</w:t>
      </w:r>
    </w:p>
    <w:p w:rsidR="008A092C" w:rsidRDefault="008A092C" w:rsidP="008A092C">
      <w:pPr>
        <w:jc w:val="center"/>
        <w:rPr>
          <w:rFonts w:cs="Arial"/>
        </w:rPr>
      </w:pPr>
    </w:p>
    <w:p w:rsidR="009C258D" w:rsidRDefault="008A092C" w:rsidP="009C258D">
      <w:pPr>
        <w:pStyle w:val="Textoindependiente"/>
        <w:ind w:firstLine="851"/>
        <w:rPr>
          <w:rFonts w:ascii="Arial" w:hAnsi="Arial" w:cs="Arial"/>
        </w:rPr>
      </w:pPr>
      <w:r>
        <w:rPr>
          <w:rFonts w:ascii="Arial" w:hAnsi="Arial" w:cs="Arial"/>
          <w:b/>
          <w:bCs/>
        </w:rPr>
        <w:t>VISTO</w:t>
      </w:r>
      <w:r>
        <w:rPr>
          <w:rFonts w:ascii="Arial" w:hAnsi="Arial" w:cs="Arial"/>
        </w:rPr>
        <w:t>: las actuaciones remitidas por la Administración de los Servicios de Salud del Estado (ASSE), relativas al preacuerdo suscrito con el Sindicato Médico del Uruguay (SMU) y la Asociación Química</w:t>
      </w:r>
      <w:r w:rsidR="009C258D">
        <w:rPr>
          <w:rFonts w:ascii="Arial" w:hAnsi="Arial" w:cs="Arial"/>
        </w:rPr>
        <w:t xml:space="preserve"> y Farmacia del Uruguay (AQFU);</w:t>
      </w:r>
    </w:p>
    <w:p w:rsidR="009C258D" w:rsidRDefault="008A092C" w:rsidP="009C258D">
      <w:pPr>
        <w:pStyle w:val="Textoindependiente"/>
        <w:ind w:firstLine="851"/>
        <w:rPr>
          <w:rFonts w:ascii="Arial" w:hAnsi="Arial" w:cs="Arial"/>
        </w:rPr>
      </w:pPr>
      <w:r>
        <w:rPr>
          <w:rFonts w:ascii="Arial" w:hAnsi="Arial" w:cs="Arial"/>
          <w:b/>
          <w:bCs/>
        </w:rPr>
        <w:t xml:space="preserve">RESULTANDO: 1) </w:t>
      </w:r>
      <w:r>
        <w:rPr>
          <w:rFonts w:ascii="Arial" w:hAnsi="Arial" w:cs="Arial"/>
        </w:rPr>
        <w:t>que con fecha 25 de octubre de</w:t>
      </w:r>
      <w:r w:rsidR="009C258D">
        <w:rPr>
          <w:rFonts w:ascii="Arial" w:hAnsi="Arial" w:cs="Arial"/>
        </w:rPr>
        <w:t xml:space="preserve"> 2017, las partes suscribieron A</w:t>
      </w:r>
      <w:r>
        <w:rPr>
          <w:rFonts w:ascii="Arial" w:hAnsi="Arial" w:cs="Arial"/>
        </w:rPr>
        <w:t xml:space="preserve">cta de preacuerdo estableciendo: </w:t>
      </w:r>
      <w:r w:rsidRPr="00657542">
        <w:rPr>
          <w:rFonts w:ascii="Arial" w:hAnsi="Arial" w:cs="Arial"/>
          <w:b/>
        </w:rPr>
        <w:t>a.</w:t>
      </w:r>
      <w:r>
        <w:rPr>
          <w:rFonts w:ascii="Arial" w:hAnsi="Arial" w:cs="Arial"/>
        </w:rPr>
        <w:t xml:space="preserve">- A partir del 1 de enero de 2018, ASSE comenzará el proceso de actualización de categorías para los profesionales Químicos Farmacéuticos que se desempeñen en servicios de ASSE o departamentos de farmacia hospitalaria de ASSE, de acuerdo a lo que establece la normativa vigente para las Farmacias de 2da categoría. Así el denominado “Químico Farmacéutico – Asistente Técnico” pasará a categorizarse como “Químico Farmacéutico – Grado II (valor hora vigencia 3 de agosto de 2017: $ 542,24); </w:t>
      </w:r>
      <w:r w:rsidRPr="00657542">
        <w:rPr>
          <w:rFonts w:ascii="Arial" w:hAnsi="Arial" w:cs="Arial"/>
          <w:b/>
        </w:rPr>
        <w:t>b.-</w:t>
      </w:r>
      <w:r>
        <w:rPr>
          <w:rFonts w:ascii="Arial" w:hAnsi="Arial" w:cs="Arial"/>
        </w:rPr>
        <w:t xml:space="preserve"> instrumentar un ámbito de negociación a efectos de considerar: la actualización de las categoría</w:t>
      </w:r>
      <w:r w:rsidR="00C63545">
        <w:rPr>
          <w:rFonts w:ascii="Arial" w:hAnsi="Arial" w:cs="Arial"/>
        </w:rPr>
        <w:t>s</w:t>
      </w:r>
      <w:r>
        <w:rPr>
          <w:rFonts w:ascii="Arial" w:hAnsi="Arial" w:cs="Arial"/>
        </w:rPr>
        <w:t xml:space="preserve"> vigentes para químicos farmacéuticos y bioquímicos clínicos que se desempeñen en servicios de ASSE o departamentos de farmacias hospitalarias de ASSE (Químico Farmacéutico Grado III y V); la creación de las funciones de retén </w:t>
      </w:r>
      <w:r w:rsidR="00C63545">
        <w:rPr>
          <w:rFonts w:ascii="Arial" w:hAnsi="Arial" w:cs="Arial"/>
        </w:rPr>
        <w:t>para los Químicos Farmacéuticos</w:t>
      </w:r>
      <w:r>
        <w:rPr>
          <w:rFonts w:ascii="Arial" w:hAnsi="Arial" w:cs="Arial"/>
        </w:rPr>
        <w:t xml:space="preserve"> y acordar funciones de alta dedicación para los profesionales químicos farmacéuticos que se desempeñan en ASSE. Dicho ámbito comenzará a funcionar a partir de la firma de este acuerdo estableciéndose un plazo  de ciento veinte días para producir su informe; </w:t>
      </w:r>
      <w:proofErr w:type="spellStart"/>
      <w:r w:rsidR="009C258D">
        <w:rPr>
          <w:rFonts w:ascii="Arial" w:hAnsi="Arial" w:cs="Arial"/>
          <w:b/>
        </w:rPr>
        <w:t>c.</w:t>
      </w:r>
      <w:r>
        <w:rPr>
          <w:rFonts w:ascii="Arial" w:hAnsi="Arial" w:cs="Arial"/>
        </w:rPr>
        <w:t>instrumentar</w:t>
      </w:r>
      <w:proofErr w:type="spellEnd"/>
      <w:r>
        <w:rPr>
          <w:rFonts w:ascii="Arial" w:hAnsi="Arial" w:cs="Arial"/>
        </w:rPr>
        <w:t xml:space="preserve"> un segundo ámbito de negociación a efectos de considerar el </w:t>
      </w:r>
      <w:r>
        <w:rPr>
          <w:rFonts w:ascii="Arial" w:hAnsi="Arial" w:cs="Arial"/>
        </w:rPr>
        <w:lastRenderedPageBreak/>
        <w:t>cumplimiento de la normativa vigente en relación a la habilitación de las farmacias que funcionan en ASSE;</w:t>
      </w:r>
    </w:p>
    <w:p w:rsidR="009C258D" w:rsidRDefault="008A092C" w:rsidP="009C258D">
      <w:pPr>
        <w:pStyle w:val="Textoindependiente"/>
        <w:ind w:firstLine="2694"/>
        <w:rPr>
          <w:rFonts w:ascii="Arial" w:hAnsi="Arial" w:cs="Arial"/>
        </w:rPr>
      </w:pPr>
      <w:r>
        <w:rPr>
          <w:rFonts w:ascii="Arial" w:hAnsi="Arial" w:cs="Arial"/>
          <w:b/>
          <w:bCs/>
        </w:rPr>
        <w:t xml:space="preserve">2) </w:t>
      </w:r>
      <w:r>
        <w:rPr>
          <w:rFonts w:ascii="Arial" w:hAnsi="Arial" w:cs="Arial"/>
        </w:rPr>
        <w:t>que por Resolución Nº 6039/2017, de fecha 13 de diciembre de 2017, el Directorio de ASSE resolvió establecer que ASSE comenzará a partir del 1 de enero de 2018, el proceso de actualización de categorías para los profesionales Químicos Farmacéuticos que se desempeñen en</w:t>
      </w:r>
      <w:r w:rsidR="009C258D">
        <w:rPr>
          <w:rFonts w:ascii="Arial" w:hAnsi="Arial" w:cs="Arial"/>
        </w:rPr>
        <w:t xml:space="preserve"> servicios de ASSE, de acuerdo con</w:t>
      </w:r>
      <w:r>
        <w:rPr>
          <w:rFonts w:ascii="Arial" w:hAnsi="Arial" w:cs="Arial"/>
        </w:rPr>
        <w:t xml:space="preserve"> lo establecido por la normativa vigente para las Farmacias de 2° categoría. Quedando el denominado “Químico Farmacéutico – asistente” como “Químico Farmacéutico – asistente técnico” como “Químico Farmacéutico – Grado II”, con el valor hora establecido en el referido preacuerdo;</w:t>
      </w:r>
    </w:p>
    <w:p w:rsidR="009C258D" w:rsidRDefault="008A092C" w:rsidP="009C258D">
      <w:pPr>
        <w:pStyle w:val="Textoindependiente"/>
        <w:ind w:firstLine="2694"/>
        <w:rPr>
          <w:rFonts w:ascii="Arial" w:hAnsi="Arial" w:cs="Arial"/>
        </w:rPr>
      </w:pPr>
      <w:r w:rsidRPr="00B0544F">
        <w:rPr>
          <w:rFonts w:ascii="Arial" w:hAnsi="Arial" w:cs="Arial"/>
          <w:b/>
        </w:rPr>
        <w:t>3)</w:t>
      </w:r>
      <w:r>
        <w:rPr>
          <w:rFonts w:ascii="Arial" w:hAnsi="Arial" w:cs="Arial"/>
        </w:rPr>
        <w:t xml:space="preserve"> que</w:t>
      </w:r>
      <w:r w:rsidR="00C63545">
        <w:rPr>
          <w:rFonts w:ascii="Arial" w:hAnsi="Arial" w:cs="Arial"/>
        </w:rPr>
        <w:t>,</w:t>
      </w:r>
      <w:r>
        <w:rPr>
          <w:rFonts w:ascii="Arial" w:hAnsi="Arial" w:cs="Arial"/>
        </w:rPr>
        <w:t xml:space="preserve"> remitidos los obrados a este Tribunal, el mismo por Resolución adoptada el 7/2/18 dispuso no formular observaciones al preacuerdo mencionado suscrito con fecha 25 de octubre de 2017;</w:t>
      </w:r>
    </w:p>
    <w:p w:rsidR="008A092C" w:rsidRDefault="008A092C" w:rsidP="009C258D">
      <w:pPr>
        <w:pStyle w:val="Textoindependiente"/>
        <w:ind w:firstLine="2694"/>
        <w:rPr>
          <w:rFonts w:ascii="Arial" w:hAnsi="Arial" w:cs="Arial"/>
        </w:rPr>
      </w:pPr>
      <w:r w:rsidRPr="000C521D">
        <w:rPr>
          <w:rFonts w:ascii="Arial" w:hAnsi="Arial" w:cs="Arial"/>
          <w:b/>
        </w:rPr>
        <w:t>4)</w:t>
      </w:r>
      <w:r>
        <w:rPr>
          <w:rFonts w:ascii="Arial" w:hAnsi="Arial" w:cs="Arial"/>
        </w:rPr>
        <w:t xml:space="preserve"> que en esta oportunidad, se remite acuerdo complementario celebrado el 11 de enero de 2018 entre el SMU, AQFU, ASSE por el cual se acuerda  entre las partes que los cargos “Bioquímicos Clínicos” se encuentran comprendidos en el valor hora de $ 542,24 acordado el  25 de octubre de 2017 con vigencia a partir del 1 de enero de 2018, para el cargo de “Químico Farmacéutico - Asistente Técnico”;</w:t>
      </w:r>
    </w:p>
    <w:p w:rsidR="009C258D" w:rsidRDefault="008A092C" w:rsidP="009C258D">
      <w:pPr>
        <w:spacing w:line="360" w:lineRule="auto"/>
        <w:ind w:firstLine="851"/>
        <w:jc w:val="both"/>
      </w:pPr>
      <w:r>
        <w:rPr>
          <w:rFonts w:cs="Arial"/>
          <w:b/>
          <w:bCs/>
        </w:rPr>
        <w:t xml:space="preserve">CONSIDERANDO: </w:t>
      </w:r>
      <w:r>
        <w:rPr>
          <w:b/>
          <w:bCs/>
        </w:rPr>
        <w:t xml:space="preserve">1) </w:t>
      </w:r>
      <w:r w:rsidR="009C258D">
        <w:t>que el A</w:t>
      </w:r>
      <w:r>
        <w:t>rtículo 1 de la Ley Nº 18.161 de 29/7/2007 creó a la Administración de los Servicios de Salud del Estado</w:t>
      </w:r>
      <w:r w:rsidRPr="004955B5">
        <w:t xml:space="preserve"> como servicio descentralizado</w:t>
      </w:r>
      <w:r>
        <w:t xml:space="preserve"> con competencia en todo el territorio de la República, para desarrollar el cumplimiento de los derechos que en materia de salud tienen los habitantes de la Re</w:t>
      </w:r>
      <w:r w:rsidR="009C258D">
        <w:t>pública, de conformidad con el A</w:t>
      </w:r>
      <w:r>
        <w:t>rtículo 44 de l</w:t>
      </w:r>
      <w:r w:rsidR="009C258D">
        <w:t>a Constitución de la República;</w:t>
      </w:r>
    </w:p>
    <w:p w:rsidR="009C258D" w:rsidRDefault="008A092C" w:rsidP="009C258D">
      <w:pPr>
        <w:spacing w:line="360" w:lineRule="auto"/>
        <w:ind w:firstLine="3119"/>
        <w:jc w:val="both"/>
        <w:rPr>
          <w:rFonts w:cs="Arial"/>
          <w:lang w:val="es-MX"/>
        </w:rPr>
      </w:pPr>
      <w:r>
        <w:rPr>
          <w:b/>
          <w:bCs/>
        </w:rPr>
        <w:t>2</w:t>
      </w:r>
      <w:r>
        <w:rPr>
          <w:rFonts w:cs="Arial"/>
          <w:b/>
          <w:bCs/>
          <w:lang w:val="es-MX"/>
        </w:rPr>
        <w:t>)</w:t>
      </w:r>
      <w:r>
        <w:rPr>
          <w:rFonts w:cs="Arial"/>
          <w:lang w:val="es-MX"/>
        </w:rPr>
        <w:t xml:space="preserve"> que dentro de las competencias y cometidos que le asignó la Ley a ASSE, se encuentra el organizar y gestionar los servicios destinados al cuidado de la salud en su modalidad preventiva y el  tratamiento </w:t>
      </w:r>
      <w:r>
        <w:rPr>
          <w:rFonts w:cs="Arial"/>
          <w:lang w:val="es-MX"/>
        </w:rPr>
        <w:lastRenderedPageBreak/>
        <w:t>de los enfermos y, asimismo, ejercer la coordinación con los demás organismos del Estado que prestan servicios de salud, procurando al máximo la accesibilidad, calidad y eficiencia evitando superposiciones y/o duplicaciones;</w:t>
      </w:r>
    </w:p>
    <w:p w:rsidR="009C258D" w:rsidRDefault="008A092C" w:rsidP="009C258D">
      <w:pPr>
        <w:spacing w:line="360" w:lineRule="auto"/>
        <w:ind w:firstLine="3119"/>
        <w:jc w:val="both"/>
        <w:rPr>
          <w:rFonts w:cs="Arial"/>
          <w:i/>
          <w:iCs/>
        </w:rPr>
      </w:pPr>
      <w:r>
        <w:rPr>
          <w:rFonts w:cs="Arial"/>
          <w:b/>
          <w:bCs/>
        </w:rPr>
        <w:t xml:space="preserve">3) </w:t>
      </w:r>
      <w:r w:rsidR="009C258D">
        <w:rPr>
          <w:rFonts w:cs="Arial"/>
        </w:rPr>
        <w:t>que, a su vez, el A</w:t>
      </w:r>
      <w:r>
        <w:rPr>
          <w:rFonts w:cs="Arial"/>
        </w:rPr>
        <w:t>rtículo 5 de la Ley Nº 18.161 de 29/7/2007</w:t>
      </w:r>
      <w:r>
        <w:t xml:space="preserve">, </w:t>
      </w:r>
      <w:r w:rsidR="009C258D">
        <w:rPr>
          <w:rFonts w:cs="Arial"/>
        </w:rPr>
        <w:t>en la redacción dada por el A</w:t>
      </w:r>
      <w:r>
        <w:rPr>
          <w:rFonts w:cs="Arial"/>
        </w:rPr>
        <w:t xml:space="preserve">rtículo 454 de la Ley Nº 18.362 de 15/10/2008, dispone que el Directorio de ASSE tendrá los siguientes poderes jurídicos: J) </w:t>
      </w:r>
      <w:r>
        <w:rPr>
          <w:rFonts w:cs="Arial"/>
          <w:i/>
          <w:iCs/>
        </w:rPr>
        <w:t>“(...) crear, suprimir, transformar, redistribuir entre los nuevos servicios funcionarios, cargos, funciones contratadas, regímenes de alta gerencia, alta especialización y prioridad u otros sistemas, reasignando los créditos presupuestales correspondientes.”;</w:t>
      </w:r>
    </w:p>
    <w:p w:rsidR="009C258D" w:rsidRDefault="008A092C" w:rsidP="009C258D">
      <w:pPr>
        <w:spacing w:line="360" w:lineRule="auto"/>
        <w:ind w:firstLine="3119"/>
        <w:jc w:val="both"/>
        <w:rPr>
          <w:rFonts w:cs="Arial"/>
        </w:rPr>
      </w:pPr>
      <w:r>
        <w:rPr>
          <w:rFonts w:cs="Arial"/>
          <w:b/>
          <w:bCs/>
          <w:lang w:val="es-MX"/>
        </w:rPr>
        <w:t>4</w:t>
      </w:r>
      <w:r w:rsidRPr="0039408B">
        <w:rPr>
          <w:rFonts w:cs="Arial"/>
          <w:b/>
          <w:bCs/>
          <w:lang w:val="es-MX"/>
        </w:rPr>
        <w:t xml:space="preserve">) </w:t>
      </w:r>
      <w:r>
        <w:rPr>
          <w:rFonts w:cs="Arial"/>
          <w:lang w:val="es-MX"/>
        </w:rPr>
        <w:t xml:space="preserve">que también son aplicables a ASSE las disposiciones de </w:t>
      </w:r>
      <w:r w:rsidRPr="004955B5">
        <w:rPr>
          <w:rFonts w:cs="Arial"/>
        </w:rPr>
        <w:t>la Ley de Negociación Colectiva en el S</w:t>
      </w:r>
      <w:r>
        <w:rPr>
          <w:rFonts w:cs="Arial"/>
        </w:rPr>
        <w:t>ector P</w:t>
      </w:r>
      <w:r w:rsidR="009C258D">
        <w:rPr>
          <w:rFonts w:cs="Arial"/>
        </w:rPr>
        <w:t>úblico, Nº</w:t>
      </w:r>
      <w:r w:rsidRPr="004955B5">
        <w:rPr>
          <w:rFonts w:cs="Arial"/>
        </w:rPr>
        <w:t>18.508 de 26</w:t>
      </w:r>
      <w:r>
        <w:rPr>
          <w:rFonts w:cs="Arial"/>
        </w:rPr>
        <w:t xml:space="preserve"> de junio de  </w:t>
      </w:r>
      <w:r w:rsidRPr="004955B5">
        <w:rPr>
          <w:rFonts w:cs="Arial"/>
        </w:rPr>
        <w:t>2009</w:t>
      </w:r>
      <w:r>
        <w:rPr>
          <w:rFonts w:cs="Arial"/>
        </w:rPr>
        <w:t xml:space="preserve">, de acuerdo con  lo dispuesto por su </w:t>
      </w:r>
      <w:r w:rsidR="009C258D">
        <w:rPr>
          <w:rFonts w:cs="Arial"/>
        </w:rPr>
        <w:t xml:space="preserve"> A</w:t>
      </w:r>
      <w:r w:rsidRPr="004955B5">
        <w:rPr>
          <w:rFonts w:cs="Arial"/>
        </w:rPr>
        <w:t>r</w:t>
      </w:r>
      <w:r>
        <w:rPr>
          <w:rFonts w:cs="Arial"/>
        </w:rPr>
        <w:t>tículo 8</w:t>
      </w:r>
      <w:r w:rsidRPr="004955B5">
        <w:rPr>
          <w:rFonts w:cs="Arial"/>
        </w:rPr>
        <w:t>;</w:t>
      </w:r>
    </w:p>
    <w:p w:rsidR="008A092C" w:rsidRDefault="008A092C" w:rsidP="009C258D">
      <w:pPr>
        <w:spacing w:line="360" w:lineRule="auto"/>
        <w:ind w:firstLine="3119"/>
        <w:jc w:val="both"/>
        <w:rPr>
          <w:rFonts w:cs="Arial"/>
        </w:rPr>
      </w:pPr>
      <w:r w:rsidRPr="004955B5">
        <w:rPr>
          <w:rFonts w:cs="Arial"/>
          <w:b/>
        </w:rPr>
        <w:t>5)</w:t>
      </w:r>
      <w:r>
        <w:rPr>
          <w:rFonts w:cs="Arial"/>
        </w:rPr>
        <w:t xml:space="preserve"> que </w:t>
      </w:r>
      <w:r>
        <w:rPr>
          <w:rFonts w:cs="Arial"/>
          <w:lang w:val="es-MX"/>
        </w:rPr>
        <w:t>el acuerdo</w:t>
      </w:r>
      <w:r w:rsidRPr="0039408B">
        <w:rPr>
          <w:rFonts w:cs="Arial"/>
          <w:lang w:val="es-MX"/>
        </w:rPr>
        <w:t xml:space="preserve"> suscrito </w:t>
      </w:r>
      <w:r>
        <w:rPr>
          <w:rFonts w:cs="Arial"/>
          <w:lang w:val="es-MX"/>
        </w:rPr>
        <w:t>encuadra dentro de los cometidos asignados a ASSE por las normas citadas;</w:t>
      </w:r>
    </w:p>
    <w:p w:rsidR="008A092C" w:rsidRDefault="008A092C" w:rsidP="00820CBF">
      <w:pPr>
        <w:pStyle w:val="Ttulo2"/>
        <w:ind w:firstLine="851"/>
        <w:jc w:val="both"/>
      </w:pPr>
      <w:r>
        <w:t xml:space="preserve">ATENTO </w:t>
      </w:r>
      <w:r>
        <w:rPr>
          <w:b w:val="0"/>
          <w:bCs w:val="0"/>
        </w:rPr>
        <w:t>a lo expresado precedent</w:t>
      </w:r>
      <w:r w:rsidR="00820CBF">
        <w:rPr>
          <w:b w:val="0"/>
          <w:bCs w:val="0"/>
        </w:rPr>
        <w:t>emente y a lo dispuesto por el A</w:t>
      </w:r>
      <w:r>
        <w:rPr>
          <w:b w:val="0"/>
          <w:bCs w:val="0"/>
        </w:rPr>
        <w:t>rtículo 228 de la Constitución de la República;</w:t>
      </w:r>
    </w:p>
    <w:p w:rsidR="008A092C" w:rsidRDefault="00820CBF" w:rsidP="008A092C">
      <w:pPr>
        <w:spacing w:line="360" w:lineRule="auto"/>
        <w:ind w:firstLine="708"/>
        <w:jc w:val="center"/>
        <w:rPr>
          <w:b/>
          <w:bCs/>
        </w:rPr>
      </w:pPr>
      <w:r>
        <w:rPr>
          <w:b/>
          <w:bCs/>
        </w:rPr>
        <w:t>EL TRIBUNAL ACUERDA</w:t>
      </w:r>
    </w:p>
    <w:p w:rsidR="008A092C" w:rsidRDefault="008A092C" w:rsidP="00820CBF">
      <w:pPr>
        <w:numPr>
          <w:ilvl w:val="0"/>
          <w:numId w:val="1"/>
        </w:numPr>
        <w:tabs>
          <w:tab w:val="clear" w:pos="780"/>
        </w:tabs>
        <w:spacing w:line="360" w:lineRule="auto"/>
        <w:ind w:left="284" w:hanging="284"/>
        <w:jc w:val="both"/>
      </w:pPr>
      <w:r>
        <w:t xml:space="preserve">No formular observaciones al acuerdo complementario suscrito entre ASSE , el SMU y AQFU </w:t>
      </w:r>
      <w:r>
        <w:rPr>
          <w:rFonts w:cs="Arial"/>
        </w:rPr>
        <w:t>de fecha 11 enero de 2018;</w:t>
      </w:r>
    </w:p>
    <w:p w:rsidR="008A092C" w:rsidRDefault="008A092C" w:rsidP="00820CBF">
      <w:pPr>
        <w:numPr>
          <w:ilvl w:val="0"/>
          <w:numId w:val="1"/>
        </w:numPr>
        <w:tabs>
          <w:tab w:val="clear" w:pos="780"/>
        </w:tabs>
        <w:spacing w:line="360" w:lineRule="auto"/>
        <w:ind w:left="284" w:hanging="284"/>
        <w:jc w:val="both"/>
      </w:pPr>
      <w:r>
        <w:t>Devolver las actuaciones.</w:t>
      </w:r>
    </w:p>
    <w:p w:rsidR="00820CBF" w:rsidRDefault="00820CBF" w:rsidP="00820CBF">
      <w:pPr>
        <w:spacing w:line="360" w:lineRule="auto"/>
        <w:jc w:val="both"/>
      </w:pPr>
    </w:p>
    <w:p w:rsidR="00820CBF" w:rsidRDefault="00820CBF" w:rsidP="00820CBF">
      <w:pPr>
        <w:spacing w:line="360" w:lineRule="auto"/>
        <w:jc w:val="both"/>
      </w:pPr>
    </w:p>
    <w:p w:rsidR="00820CBF" w:rsidRDefault="00820CBF" w:rsidP="00820CBF">
      <w:pPr>
        <w:spacing w:line="360" w:lineRule="auto"/>
        <w:jc w:val="both"/>
      </w:pPr>
    </w:p>
    <w:p w:rsidR="00820CBF" w:rsidRDefault="00820CBF" w:rsidP="00820CBF">
      <w:pPr>
        <w:spacing w:line="360" w:lineRule="auto"/>
        <w:ind w:hanging="426"/>
        <w:jc w:val="both"/>
      </w:pPr>
      <w:proofErr w:type="gramStart"/>
      <w:r>
        <w:t>dc</w:t>
      </w:r>
      <w:bookmarkStart w:id="0" w:name="_GoBack"/>
      <w:bookmarkEnd w:id="0"/>
      <w:proofErr w:type="gramEnd"/>
    </w:p>
    <w:sectPr w:rsidR="00820CBF" w:rsidSect="009C258D">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CBF" w:rsidRDefault="00820CBF" w:rsidP="00820CBF">
      <w:r>
        <w:separator/>
      </w:r>
    </w:p>
  </w:endnote>
  <w:endnote w:type="continuationSeparator" w:id="0">
    <w:p w:rsidR="00820CBF" w:rsidRDefault="00820CBF" w:rsidP="0082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721798"/>
      <w:docPartObj>
        <w:docPartGallery w:val="Page Numbers (Bottom of Page)"/>
        <w:docPartUnique/>
      </w:docPartObj>
    </w:sdtPr>
    <w:sdtContent>
      <w:p w:rsidR="00820CBF" w:rsidRDefault="00820CBF">
        <w:pPr>
          <w:pStyle w:val="Piedepgina"/>
          <w:jc w:val="center"/>
        </w:pPr>
        <w:r>
          <w:fldChar w:fldCharType="begin"/>
        </w:r>
        <w:r>
          <w:instrText>PAGE   \* MERGEFORMAT</w:instrText>
        </w:r>
        <w:r>
          <w:fldChar w:fldCharType="separate"/>
        </w:r>
        <w:r>
          <w:rPr>
            <w:noProof/>
          </w:rPr>
          <w:t>3</w:t>
        </w:r>
        <w:r>
          <w:fldChar w:fldCharType="end"/>
        </w:r>
      </w:p>
    </w:sdtContent>
  </w:sdt>
  <w:p w:rsidR="00820CBF" w:rsidRDefault="00820C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CBF" w:rsidRDefault="00820CBF" w:rsidP="00820CBF">
      <w:r>
        <w:separator/>
      </w:r>
    </w:p>
  </w:footnote>
  <w:footnote w:type="continuationSeparator" w:id="0">
    <w:p w:rsidR="00820CBF" w:rsidRDefault="00820CBF" w:rsidP="00820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844CE"/>
    <w:multiLevelType w:val="hybridMultilevel"/>
    <w:tmpl w:val="011CF2B0"/>
    <w:lvl w:ilvl="0" w:tplc="29142A4C">
      <w:start w:val="1"/>
      <w:numFmt w:val="decimal"/>
      <w:lvlText w:val="%1)"/>
      <w:lvlJc w:val="left"/>
      <w:pPr>
        <w:tabs>
          <w:tab w:val="num" w:pos="780"/>
        </w:tabs>
        <w:ind w:left="780" w:hanging="390"/>
      </w:pPr>
      <w:rPr>
        <w:rFonts w:hint="default"/>
        <w:b/>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2C"/>
    <w:rsid w:val="00390A21"/>
    <w:rsid w:val="00492F56"/>
    <w:rsid w:val="00820CBF"/>
    <w:rsid w:val="008A092C"/>
    <w:rsid w:val="009C258D"/>
    <w:rsid w:val="00C6354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92C"/>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A092C"/>
    <w:pPr>
      <w:keepNext/>
      <w:jc w:val="center"/>
      <w:outlineLvl w:val="0"/>
    </w:pPr>
    <w:rPr>
      <w:rFonts w:ascii="Times New Roman" w:hAnsi="Times New Roman"/>
      <w:b/>
      <w:bCs/>
    </w:rPr>
  </w:style>
  <w:style w:type="paragraph" w:styleId="Ttulo2">
    <w:name w:val="heading 2"/>
    <w:basedOn w:val="Normal"/>
    <w:next w:val="Normal"/>
    <w:link w:val="Ttulo2Car"/>
    <w:qFormat/>
    <w:rsid w:val="008A092C"/>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092C"/>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8A092C"/>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8A092C"/>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8A092C"/>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20CBF"/>
    <w:pPr>
      <w:tabs>
        <w:tab w:val="center" w:pos="4252"/>
        <w:tab w:val="right" w:pos="8504"/>
      </w:tabs>
    </w:pPr>
  </w:style>
  <w:style w:type="character" w:customStyle="1" w:styleId="EncabezadoCar">
    <w:name w:val="Encabezado Car"/>
    <w:basedOn w:val="Fuentedeprrafopredeter"/>
    <w:link w:val="Encabezado"/>
    <w:uiPriority w:val="99"/>
    <w:rsid w:val="00820CBF"/>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820CBF"/>
    <w:pPr>
      <w:tabs>
        <w:tab w:val="center" w:pos="4252"/>
        <w:tab w:val="right" w:pos="8504"/>
      </w:tabs>
    </w:pPr>
  </w:style>
  <w:style w:type="character" w:customStyle="1" w:styleId="PiedepginaCar">
    <w:name w:val="Pie de página Car"/>
    <w:basedOn w:val="Fuentedeprrafopredeter"/>
    <w:link w:val="Piedepgina"/>
    <w:uiPriority w:val="99"/>
    <w:rsid w:val="00820CBF"/>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92C"/>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A092C"/>
    <w:pPr>
      <w:keepNext/>
      <w:jc w:val="center"/>
      <w:outlineLvl w:val="0"/>
    </w:pPr>
    <w:rPr>
      <w:rFonts w:ascii="Times New Roman" w:hAnsi="Times New Roman"/>
      <w:b/>
      <w:bCs/>
    </w:rPr>
  </w:style>
  <w:style w:type="paragraph" w:styleId="Ttulo2">
    <w:name w:val="heading 2"/>
    <w:basedOn w:val="Normal"/>
    <w:next w:val="Normal"/>
    <w:link w:val="Ttulo2Car"/>
    <w:qFormat/>
    <w:rsid w:val="008A092C"/>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092C"/>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rsid w:val="008A092C"/>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8A092C"/>
    <w:pPr>
      <w:spacing w:line="360" w:lineRule="auto"/>
      <w:jc w:val="both"/>
    </w:pPr>
    <w:rPr>
      <w:rFonts w:ascii="Times New Roman" w:hAnsi="Times New Roman"/>
    </w:rPr>
  </w:style>
  <w:style w:type="character" w:customStyle="1" w:styleId="TextoindependienteCar">
    <w:name w:val="Texto independiente Car"/>
    <w:basedOn w:val="Fuentedeprrafopredeter"/>
    <w:link w:val="Textoindependiente"/>
    <w:semiHidden/>
    <w:rsid w:val="008A092C"/>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20CBF"/>
    <w:pPr>
      <w:tabs>
        <w:tab w:val="center" w:pos="4252"/>
        <w:tab w:val="right" w:pos="8504"/>
      </w:tabs>
    </w:pPr>
  </w:style>
  <w:style w:type="character" w:customStyle="1" w:styleId="EncabezadoCar">
    <w:name w:val="Encabezado Car"/>
    <w:basedOn w:val="Fuentedeprrafopredeter"/>
    <w:link w:val="Encabezado"/>
    <w:uiPriority w:val="99"/>
    <w:rsid w:val="00820CBF"/>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820CBF"/>
    <w:pPr>
      <w:tabs>
        <w:tab w:val="center" w:pos="4252"/>
        <w:tab w:val="right" w:pos="8504"/>
      </w:tabs>
    </w:pPr>
  </w:style>
  <w:style w:type="character" w:customStyle="1" w:styleId="PiedepginaCar">
    <w:name w:val="Pie de página Car"/>
    <w:basedOn w:val="Fuentedeprrafopredeter"/>
    <w:link w:val="Piedepgina"/>
    <w:uiPriority w:val="99"/>
    <w:rsid w:val="00820CBF"/>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4093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2</cp:revision>
  <cp:lastPrinted>2018-03-19T16:55:00Z</cp:lastPrinted>
  <dcterms:created xsi:type="dcterms:W3CDTF">2018-03-19T16:56:00Z</dcterms:created>
  <dcterms:modified xsi:type="dcterms:W3CDTF">2018-03-19T16:56:00Z</dcterms:modified>
</cp:coreProperties>
</file>