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DF" w:rsidRPr="006B0FDF" w:rsidRDefault="006B0FDF" w:rsidP="006B0FDF">
      <w:pPr>
        <w:tabs>
          <w:tab w:val="center" w:pos="4253"/>
        </w:tabs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bookmarkStart w:id="0" w:name="_GoBack"/>
      <w:bookmarkEnd w:id="0"/>
      <w:r w:rsidRPr="006B0FDF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Montevideo, </w:t>
      </w:r>
      <w:r>
        <w:rPr>
          <w:rFonts w:ascii="Arial" w:hAnsi="Arial" w:cs="Arial"/>
          <w:spacing w:val="-3"/>
          <w:sz w:val="24"/>
          <w:szCs w:val="24"/>
          <w:lang w:val="es-ES_tradnl" w:eastAsia="es-ES_tradnl"/>
        </w:rPr>
        <w:t>20</w:t>
      </w:r>
      <w:r w:rsidR="00E9369E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 de diciembre de 2017</w:t>
      </w:r>
    </w:p>
    <w:p w:rsidR="00DB3139" w:rsidRDefault="00DB3139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Señora Presidenta</w:t>
      </w:r>
    </w:p>
    <w:p w:rsidR="00DB3139" w:rsidRDefault="00DB3139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la Administración de los Servicios</w:t>
      </w:r>
    </w:p>
    <w:p w:rsidR="00DB3139" w:rsidRDefault="00DB3139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Salud del Estado</w:t>
      </w:r>
    </w:p>
    <w:p w:rsidR="00DB3139" w:rsidRDefault="00DB3139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Dra. Susana Muñiz</w:t>
      </w:r>
    </w:p>
    <w:p w:rsidR="006B0FDF" w:rsidRPr="006B0FDF" w:rsidRDefault="006B0FDF" w:rsidP="006B0FD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6B0FDF">
        <w:rPr>
          <w:rFonts w:ascii="Arial" w:hAnsi="Arial" w:cs="Arial"/>
          <w:sz w:val="24"/>
          <w:szCs w:val="24"/>
          <w:lang w:eastAsia="es-ES_tradnl"/>
        </w:rPr>
        <w:t>E.</w:t>
      </w:r>
      <w:r w:rsidR="00E9369E">
        <w:rPr>
          <w:rFonts w:ascii="Arial" w:hAnsi="Arial" w:cs="Arial"/>
          <w:sz w:val="24"/>
          <w:szCs w:val="24"/>
          <w:lang w:eastAsia="es-ES_tradnl"/>
        </w:rPr>
        <w:t xml:space="preserve"> </w:t>
      </w:r>
      <w:r w:rsidRPr="006B0FDF">
        <w:rPr>
          <w:rFonts w:ascii="Arial" w:hAnsi="Arial" w:cs="Arial"/>
          <w:sz w:val="24"/>
          <w:szCs w:val="24"/>
          <w:lang w:eastAsia="es-ES_tradnl"/>
        </w:rPr>
        <w:t>E. 201</w:t>
      </w:r>
      <w:r>
        <w:rPr>
          <w:rFonts w:ascii="Arial" w:hAnsi="Arial" w:cs="Arial"/>
          <w:sz w:val="24"/>
          <w:szCs w:val="24"/>
          <w:lang w:eastAsia="es-ES_tradnl"/>
        </w:rPr>
        <w:t>7</w:t>
      </w:r>
      <w:r w:rsidRPr="006B0FDF">
        <w:rPr>
          <w:rFonts w:ascii="Arial" w:hAnsi="Arial" w:cs="Arial"/>
          <w:sz w:val="24"/>
          <w:szCs w:val="24"/>
          <w:lang w:eastAsia="es-ES_tradnl"/>
        </w:rPr>
        <w:t>-17-1-000</w:t>
      </w:r>
      <w:r>
        <w:rPr>
          <w:rFonts w:ascii="Arial" w:hAnsi="Arial" w:cs="Arial"/>
          <w:sz w:val="24"/>
          <w:szCs w:val="24"/>
          <w:lang w:eastAsia="es-ES_tradnl"/>
        </w:rPr>
        <w:t>6423</w:t>
      </w:r>
      <w:r w:rsidRPr="006B0FDF">
        <w:rPr>
          <w:rFonts w:ascii="Arial" w:hAnsi="Arial" w:cs="Arial"/>
          <w:sz w:val="24"/>
          <w:szCs w:val="24"/>
          <w:lang w:eastAsia="es-ES_tradnl"/>
        </w:rPr>
        <w:t xml:space="preserve">  </w:t>
      </w:r>
    </w:p>
    <w:p w:rsidR="006B0FDF" w:rsidRPr="006B0FDF" w:rsidRDefault="006B0FDF" w:rsidP="006B0FD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 w:rsidRPr="006B0FDF">
        <w:rPr>
          <w:rFonts w:ascii="Arial" w:hAnsi="Arial" w:cs="Arial"/>
          <w:sz w:val="24"/>
          <w:szCs w:val="24"/>
          <w:lang w:eastAsia="es-ES_tradnl"/>
        </w:rPr>
        <w:t>Ent</w:t>
      </w:r>
      <w:r w:rsidR="00A55746">
        <w:rPr>
          <w:rFonts w:ascii="Arial" w:hAnsi="Arial" w:cs="Arial"/>
          <w:sz w:val="24"/>
          <w:szCs w:val="24"/>
          <w:lang w:eastAsia="es-ES_tradnl"/>
        </w:rPr>
        <w:t>s</w:t>
      </w:r>
      <w:proofErr w:type="spellEnd"/>
      <w:r w:rsidRPr="006B0FDF">
        <w:rPr>
          <w:rFonts w:ascii="Arial" w:hAnsi="Arial" w:cs="Arial"/>
          <w:sz w:val="24"/>
          <w:szCs w:val="24"/>
          <w:lang w:eastAsia="es-ES_tradnl"/>
        </w:rPr>
        <w:t>. N</w:t>
      </w:r>
      <w:r w:rsidR="00A55746">
        <w:rPr>
          <w:rFonts w:ascii="Arial" w:hAnsi="Arial" w:cs="Arial"/>
          <w:sz w:val="24"/>
          <w:szCs w:val="24"/>
          <w:lang w:eastAsia="es-ES_tradnl"/>
        </w:rPr>
        <w:t>os.</w:t>
      </w:r>
      <w:r w:rsidRPr="006B0FDF">
        <w:rPr>
          <w:rFonts w:ascii="Arial" w:hAnsi="Arial" w:cs="Arial"/>
          <w:sz w:val="24"/>
          <w:szCs w:val="24"/>
          <w:lang w:eastAsia="es-ES_tradnl"/>
        </w:rPr>
        <w:t xml:space="preserve"> </w:t>
      </w:r>
      <w:r w:rsidR="00A55746">
        <w:rPr>
          <w:rFonts w:ascii="Arial" w:hAnsi="Arial" w:cs="Arial"/>
          <w:sz w:val="24"/>
          <w:szCs w:val="24"/>
          <w:lang w:eastAsia="es-ES_tradnl"/>
        </w:rPr>
        <w:t xml:space="preserve">5099/17 y </w:t>
      </w:r>
      <w:r>
        <w:rPr>
          <w:rFonts w:ascii="Arial" w:hAnsi="Arial" w:cs="Arial"/>
          <w:sz w:val="24"/>
          <w:szCs w:val="24"/>
          <w:lang w:eastAsia="es-ES_tradnl"/>
        </w:rPr>
        <w:t>5592</w:t>
      </w:r>
      <w:r w:rsidRPr="006B0FDF">
        <w:rPr>
          <w:rFonts w:ascii="Arial" w:hAnsi="Arial" w:cs="Arial"/>
          <w:sz w:val="24"/>
          <w:szCs w:val="24"/>
          <w:lang w:eastAsia="es-ES_tradnl"/>
        </w:rPr>
        <w:t>/</w:t>
      </w:r>
      <w:r>
        <w:rPr>
          <w:rFonts w:ascii="Arial" w:hAnsi="Arial" w:cs="Arial"/>
          <w:sz w:val="24"/>
          <w:szCs w:val="24"/>
          <w:lang w:eastAsia="es-ES_tradnl"/>
        </w:rPr>
        <w:t>17</w:t>
      </w:r>
    </w:p>
    <w:p w:rsidR="006B0FDF" w:rsidRPr="006B0FDF" w:rsidRDefault="006B0FDF" w:rsidP="006B0FD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6B0FDF">
        <w:rPr>
          <w:rFonts w:ascii="Arial" w:hAnsi="Arial" w:cs="Arial"/>
          <w:sz w:val="24"/>
          <w:szCs w:val="24"/>
          <w:lang w:eastAsia="es-ES_tradnl"/>
        </w:rPr>
        <w:t xml:space="preserve">Oficio Nº </w:t>
      </w:r>
      <w:r w:rsidR="00A55746">
        <w:rPr>
          <w:rFonts w:ascii="Arial" w:hAnsi="Arial" w:cs="Arial"/>
          <w:sz w:val="24"/>
          <w:szCs w:val="24"/>
          <w:lang w:eastAsia="es-ES_tradnl"/>
        </w:rPr>
        <w:t>9934/17</w:t>
      </w:r>
    </w:p>
    <w:p w:rsidR="00DB3139" w:rsidRDefault="00DB3139" w:rsidP="004559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7336" w:rsidRDefault="00747336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Oficio N° 442/2017 </w:t>
      </w:r>
      <w:r w:rsidR="002B1E2B">
        <w:rPr>
          <w:rFonts w:ascii="Arial" w:hAnsi="Arial" w:cs="Arial"/>
          <w:sz w:val="24"/>
          <w:szCs w:val="24"/>
        </w:rPr>
        <w:t xml:space="preserve">y nota s/n de esa Administración, recibidos el 29/09/17 y 27/10/17 respectivamente, </w:t>
      </w:r>
      <w:r>
        <w:rPr>
          <w:rFonts w:ascii="Arial" w:hAnsi="Arial" w:cs="Arial"/>
          <w:sz w:val="24"/>
          <w:szCs w:val="24"/>
        </w:rPr>
        <w:t>se remite una consulta vinculante, al amparo de lo dispuesto por el Articulo 112 del TOCAF</w:t>
      </w:r>
      <w:r w:rsidR="0082275E">
        <w:rPr>
          <w:rFonts w:ascii="Arial" w:hAnsi="Arial" w:cs="Arial"/>
          <w:sz w:val="24"/>
          <w:szCs w:val="24"/>
        </w:rPr>
        <w:t>, respecto de los estados c</w:t>
      </w:r>
      <w:r>
        <w:rPr>
          <w:rFonts w:ascii="Arial" w:hAnsi="Arial" w:cs="Arial"/>
          <w:sz w:val="24"/>
          <w:szCs w:val="24"/>
        </w:rPr>
        <w:t>ontables de las Comisiones Honorarias de Administración y Ejecución del Proyecto del Plan de Inversiones (</w:t>
      </w:r>
      <w:r w:rsidR="00DB31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rtículos 545 y 710 de la Ley N° 18.719 de 27/12/2010 y Decreto 94/2014 de 10/04/2014).</w:t>
      </w:r>
      <w:r w:rsidR="009A30D1" w:rsidRPr="009A30D1">
        <w:t xml:space="preserve"> </w:t>
      </w:r>
      <w:r w:rsidR="009A30D1" w:rsidRPr="009A30D1">
        <w:rPr>
          <w:rFonts w:ascii="Arial" w:hAnsi="Arial" w:cs="Arial"/>
          <w:sz w:val="24"/>
          <w:szCs w:val="24"/>
        </w:rPr>
        <w:t>A la consulta se adjunta informe de la Directora de la División Contabilidad Patrimonial</w:t>
      </w:r>
      <w:r w:rsidR="009A30D1">
        <w:rPr>
          <w:rFonts w:ascii="Arial" w:hAnsi="Arial" w:cs="Arial"/>
          <w:sz w:val="24"/>
          <w:szCs w:val="24"/>
        </w:rPr>
        <w:t>.</w:t>
      </w:r>
    </w:p>
    <w:p w:rsidR="008602A3" w:rsidRDefault="008602A3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02A3" w:rsidRPr="008602A3" w:rsidRDefault="008602A3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particular se consulta</w:t>
      </w:r>
      <w:r w:rsidRPr="008602A3">
        <w:t xml:space="preserve"> </w:t>
      </w:r>
      <w:r w:rsidRPr="008602A3">
        <w:rPr>
          <w:rFonts w:ascii="Arial" w:hAnsi="Arial" w:cs="Arial"/>
          <w:sz w:val="24"/>
          <w:szCs w:val="24"/>
        </w:rPr>
        <w:t>respecto a:</w:t>
      </w:r>
    </w:p>
    <w:p w:rsidR="008602A3" w:rsidRPr="008602A3" w:rsidRDefault="008602A3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02A3">
        <w:rPr>
          <w:rFonts w:ascii="Arial" w:hAnsi="Arial" w:cs="Arial"/>
          <w:sz w:val="24"/>
          <w:szCs w:val="24"/>
        </w:rPr>
        <w:t>a)</w:t>
      </w:r>
      <w:r w:rsidRPr="008602A3">
        <w:rPr>
          <w:rFonts w:ascii="Arial" w:hAnsi="Arial" w:cs="Arial"/>
          <w:sz w:val="24"/>
          <w:szCs w:val="24"/>
        </w:rPr>
        <w:tab/>
        <w:t>Normativa vigente aplicable al tema.</w:t>
      </w:r>
    </w:p>
    <w:p w:rsidR="008602A3" w:rsidRPr="008602A3" w:rsidRDefault="008602A3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02A3">
        <w:rPr>
          <w:rFonts w:ascii="Arial" w:hAnsi="Arial" w:cs="Arial"/>
          <w:sz w:val="24"/>
          <w:szCs w:val="24"/>
        </w:rPr>
        <w:t>b)</w:t>
      </w:r>
      <w:r w:rsidRPr="008602A3">
        <w:rPr>
          <w:rFonts w:ascii="Arial" w:hAnsi="Arial" w:cs="Arial"/>
          <w:sz w:val="24"/>
          <w:szCs w:val="24"/>
        </w:rPr>
        <w:tab/>
        <w:t>Registro de las Comisiones como órganos desconcentrados y parte integra</w:t>
      </w:r>
      <w:r w:rsidR="002B1E2B">
        <w:rPr>
          <w:rFonts w:ascii="Arial" w:hAnsi="Arial" w:cs="Arial"/>
          <w:sz w:val="24"/>
          <w:szCs w:val="24"/>
        </w:rPr>
        <w:t>l de los estados contables del O</w:t>
      </w:r>
      <w:r w:rsidRPr="008602A3">
        <w:rPr>
          <w:rFonts w:ascii="Arial" w:hAnsi="Arial" w:cs="Arial"/>
          <w:sz w:val="24"/>
          <w:szCs w:val="24"/>
        </w:rPr>
        <w:t xml:space="preserve">rganismo, de acuerdo al </w:t>
      </w:r>
      <w:r w:rsidR="00DB3139">
        <w:rPr>
          <w:rFonts w:ascii="Arial" w:hAnsi="Arial" w:cs="Arial"/>
          <w:sz w:val="24"/>
          <w:szCs w:val="24"/>
        </w:rPr>
        <w:t>A</w:t>
      </w:r>
      <w:r w:rsidRPr="008602A3">
        <w:rPr>
          <w:rFonts w:ascii="Arial" w:hAnsi="Arial" w:cs="Arial"/>
          <w:sz w:val="24"/>
          <w:szCs w:val="24"/>
        </w:rPr>
        <w:t xml:space="preserve">rtículo 545 de la Ley N° 18.719 en conjunto con la obligación de rendir de acuerdo a lo establecido en el </w:t>
      </w:r>
      <w:r w:rsidR="00DB3139">
        <w:rPr>
          <w:rFonts w:ascii="Arial" w:hAnsi="Arial" w:cs="Arial"/>
          <w:sz w:val="24"/>
          <w:szCs w:val="24"/>
        </w:rPr>
        <w:t>A</w:t>
      </w:r>
      <w:r w:rsidRPr="008602A3">
        <w:rPr>
          <w:rFonts w:ascii="Arial" w:hAnsi="Arial" w:cs="Arial"/>
          <w:sz w:val="24"/>
          <w:szCs w:val="24"/>
        </w:rPr>
        <w:t>rtículo 159 del TOCAF.</w:t>
      </w:r>
    </w:p>
    <w:p w:rsidR="008602A3" w:rsidRPr="008602A3" w:rsidRDefault="008602A3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02A3">
        <w:rPr>
          <w:rFonts w:ascii="Arial" w:hAnsi="Arial" w:cs="Arial"/>
          <w:sz w:val="24"/>
          <w:szCs w:val="24"/>
        </w:rPr>
        <w:t>c)</w:t>
      </w:r>
      <w:r w:rsidRPr="008602A3">
        <w:rPr>
          <w:rFonts w:ascii="Arial" w:hAnsi="Arial" w:cs="Arial"/>
          <w:sz w:val="24"/>
          <w:szCs w:val="24"/>
        </w:rPr>
        <w:tab/>
        <w:t>Lineamientos para su registro contable, según lo que se defina en el punto anterior.</w:t>
      </w:r>
    </w:p>
    <w:p w:rsidR="008602A3" w:rsidRDefault="008602A3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02A3">
        <w:rPr>
          <w:rFonts w:ascii="Arial" w:hAnsi="Arial" w:cs="Arial"/>
          <w:sz w:val="24"/>
          <w:szCs w:val="24"/>
        </w:rPr>
        <w:t>d)</w:t>
      </w:r>
      <w:r w:rsidRPr="008602A3">
        <w:rPr>
          <w:rFonts w:ascii="Arial" w:hAnsi="Arial" w:cs="Arial"/>
          <w:sz w:val="24"/>
          <w:szCs w:val="24"/>
        </w:rPr>
        <w:tab/>
        <w:t>Forma de presentación ante el Tribunal de Cuentas.</w:t>
      </w:r>
    </w:p>
    <w:p w:rsidR="008B24D8" w:rsidRDefault="008B24D8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B24D8" w:rsidRDefault="00697174" w:rsidP="00DB31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respecto corresponde informar lo siguiente:</w:t>
      </w:r>
    </w:p>
    <w:p w:rsidR="00033121" w:rsidRDefault="00AE7F8E" w:rsidP="00DB3139">
      <w:pPr>
        <w:pStyle w:val="Prrafode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33121">
        <w:rPr>
          <w:rFonts w:ascii="Arial" w:hAnsi="Arial" w:cs="Arial"/>
          <w:sz w:val="24"/>
          <w:szCs w:val="24"/>
        </w:rPr>
        <w:lastRenderedPageBreak/>
        <w:t xml:space="preserve">La normativa vigente aplicable al tema está </w:t>
      </w:r>
      <w:r w:rsidR="0098633C">
        <w:rPr>
          <w:rFonts w:ascii="Arial" w:hAnsi="Arial" w:cs="Arial"/>
          <w:sz w:val="24"/>
          <w:szCs w:val="24"/>
        </w:rPr>
        <w:t>establecida</w:t>
      </w:r>
      <w:r w:rsidRPr="00033121">
        <w:rPr>
          <w:rFonts w:ascii="Arial" w:hAnsi="Arial" w:cs="Arial"/>
          <w:sz w:val="24"/>
          <w:szCs w:val="24"/>
        </w:rPr>
        <w:t xml:space="preserve"> en el </w:t>
      </w:r>
      <w:r w:rsidR="00DB3139">
        <w:rPr>
          <w:rFonts w:ascii="Arial" w:hAnsi="Arial" w:cs="Arial"/>
          <w:sz w:val="24"/>
          <w:szCs w:val="24"/>
        </w:rPr>
        <w:t xml:space="preserve">                 </w:t>
      </w:r>
      <w:r w:rsidR="0044130A">
        <w:rPr>
          <w:rFonts w:ascii="Arial" w:hAnsi="Arial" w:cs="Arial"/>
          <w:sz w:val="24"/>
          <w:szCs w:val="24"/>
        </w:rPr>
        <w:t>A</w:t>
      </w:r>
      <w:r w:rsidRPr="00033121">
        <w:rPr>
          <w:rFonts w:ascii="Arial" w:hAnsi="Arial" w:cs="Arial"/>
          <w:sz w:val="24"/>
          <w:szCs w:val="24"/>
        </w:rPr>
        <w:t xml:space="preserve">rtículo 545 de la Ley N° 18.719 de 27/12/2010, reglamentado por el Decreto 94/2014 de fecha 10/04/2014 y en el </w:t>
      </w:r>
      <w:r w:rsidR="00DB3139">
        <w:rPr>
          <w:rFonts w:ascii="Arial" w:hAnsi="Arial" w:cs="Arial"/>
          <w:sz w:val="24"/>
          <w:szCs w:val="24"/>
        </w:rPr>
        <w:t>A</w:t>
      </w:r>
      <w:r w:rsidRPr="00033121">
        <w:rPr>
          <w:rFonts w:ascii="Arial" w:hAnsi="Arial" w:cs="Arial"/>
          <w:sz w:val="24"/>
          <w:szCs w:val="24"/>
        </w:rPr>
        <w:t xml:space="preserve">rtículo 436 de </w:t>
      </w:r>
      <w:r w:rsidR="0098633C">
        <w:rPr>
          <w:rFonts w:ascii="Arial" w:hAnsi="Arial" w:cs="Arial"/>
          <w:sz w:val="24"/>
          <w:szCs w:val="24"/>
        </w:rPr>
        <w:t>la Ley N</w:t>
      </w:r>
      <w:r w:rsidR="002B1E2B">
        <w:rPr>
          <w:rFonts w:ascii="Arial" w:hAnsi="Arial" w:cs="Arial"/>
          <w:sz w:val="24"/>
          <w:szCs w:val="24"/>
        </w:rPr>
        <w:t>° 16.170 de 28/12/1990. Dicha normativa</w:t>
      </w:r>
      <w:r w:rsidR="0098633C">
        <w:rPr>
          <w:rFonts w:ascii="Arial" w:hAnsi="Arial" w:cs="Arial"/>
          <w:sz w:val="24"/>
          <w:szCs w:val="24"/>
        </w:rPr>
        <w:t xml:space="preserve"> </w:t>
      </w:r>
      <w:r w:rsidR="002B1E2B">
        <w:rPr>
          <w:rFonts w:ascii="Arial" w:hAnsi="Arial" w:cs="Arial"/>
          <w:sz w:val="24"/>
          <w:szCs w:val="24"/>
        </w:rPr>
        <w:t>establece</w:t>
      </w:r>
      <w:r w:rsidR="0098633C">
        <w:rPr>
          <w:rFonts w:ascii="Arial" w:hAnsi="Arial" w:cs="Arial"/>
          <w:sz w:val="24"/>
          <w:szCs w:val="24"/>
        </w:rPr>
        <w:t xml:space="preserve"> que resulta de aplicación el </w:t>
      </w:r>
      <w:r w:rsidRPr="00033121">
        <w:rPr>
          <w:rFonts w:ascii="Arial" w:hAnsi="Arial" w:cs="Arial"/>
          <w:sz w:val="24"/>
          <w:szCs w:val="24"/>
        </w:rPr>
        <w:t>artículo 589 de la Ley Nº 15.903</w:t>
      </w:r>
      <w:r w:rsidR="002B1E2B">
        <w:rPr>
          <w:rFonts w:ascii="Arial" w:hAnsi="Arial" w:cs="Arial"/>
          <w:sz w:val="24"/>
          <w:szCs w:val="24"/>
        </w:rPr>
        <w:t xml:space="preserve"> de 10/11/87</w:t>
      </w:r>
      <w:r w:rsidRPr="00033121">
        <w:rPr>
          <w:rFonts w:ascii="Arial" w:hAnsi="Arial" w:cs="Arial"/>
          <w:sz w:val="24"/>
          <w:szCs w:val="24"/>
        </w:rPr>
        <w:t xml:space="preserve">, en la redacción dada por el </w:t>
      </w:r>
      <w:r w:rsidR="00DB3139">
        <w:rPr>
          <w:rFonts w:ascii="Arial" w:hAnsi="Arial" w:cs="Arial"/>
          <w:sz w:val="24"/>
          <w:szCs w:val="24"/>
        </w:rPr>
        <w:t>A</w:t>
      </w:r>
      <w:r w:rsidRPr="00033121">
        <w:rPr>
          <w:rFonts w:ascii="Arial" w:hAnsi="Arial" w:cs="Arial"/>
          <w:sz w:val="24"/>
          <w:szCs w:val="24"/>
        </w:rPr>
        <w:t>rtículo 482</w:t>
      </w:r>
      <w:r w:rsidR="002B1E2B">
        <w:rPr>
          <w:rFonts w:ascii="Arial" w:hAnsi="Arial" w:cs="Arial"/>
          <w:sz w:val="24"/>
          <w:szCs w:val="24"/>
        </w:rPr>
        <w:t xml:space="preserve"> de la Ley N° 17.296 de 21/02/</w:t>
      </w:r>
      <w:r w:rsidRPr="00033121">
        <w:rPr>
          <w:rFonts w:ascii="Arial" w:hAnsi="Arial" w:cs="Arial"/>
          <w:sz w:val="24"/>
          <w:szCs w:val="24"/>
        </w:rPr>
        <w:t>01</w:t>
      </w:r>
      <w:r w:rsidR="0044130A">
        <w:rPr>
          <w:rFonts w:ascii="Arial" w:hAnsi="Arial" w:cs="Arial"/>
          <w:sz w:val="24"/>
          <w:szCs w:val="24"/>
        </w:rPr>
        <w:t xml:space="preserve"> (A</w:t>
      </w:r>
      <w:r w:rsidRPr="00033121">
        <w:rPr>
          <w:rFonts w:ascii="Arial" w:hAnsi="Arial" w:cs="Arial"/>
          <w:sz w:val="24"/>
          <w:szCs w:val="24"/>
        </w:rPr>
        <w:t>rtículo 159 del TOCAF</w:t>
      </w:r>
      <w:r w:rsidR="0044130A">
        <w:rPr>
          <w:rFonts w:ascii="Arial" w:hAnsi="Arial" w:cs="Arial"/>
          <w:sz w:val="24"/>
          <w:szCs w:val="24"/>
        </w:rPr>
        <w:t>)</w:t>
      </w:r>
      <w:r w:rsidRPr="00033121">
        <w:rPr>
          <w:rFonts w:ascii="Arial" w:hAnsi="Arial" w:cs="Arial"/>
          <w:sz w:val="24"/>
          <w:szCs w:val="24"/>
        </w:rPr>
        <w:t>.</w:t>
      </w:r>
      <w:r w:rsidR="0098633C">
        <w:rPr>
          <w:rFonts w:ascii="Arial" w:hAnsi="Arial" w:cs="Arial"/>
          <w:sz w:val="24"/>
          <w:szCs w:val="24"/>
        </w:rPr>
        <w:t xml:space="preserve"> Este artículo, en su literal d), </w:t>
      </w:r>
      <w:r w:rsidR="002B1E2B">
        <w:rPr>
          <w:rFonts w:ascii="Arial" w:hAnsi="Arial" w:cs="Arial"/>
          <w:sz w:val="24"/>
          <w:szCs w:val="24"/>
        </w:rPr>
        <w:t>dispone</w:t>
      </w:r>
      <w:r w:rsidR="0098633C">
        <w:rPr>
          <w:rFonts w:ascii="Arial" w:hAnsi="Arial" w:cs="Arial"/>
          <w:sz w:val="24"/>
          <w:szCs w:val="24"/>
        </w:rPr>
        <w:t xml:space="preserve"> que los distintos documentos y </w:t>
      </w:r>
      <w:r w:rsidR="0098633C" w:rsidRPr="0098633C">
        <w:rPr>
          <w:rFonts w:ascii="Arial" w:hAnsi="Arial" w:cs="Arial"/>
          <w:sz w:val="24"/>
          <w:szCs w:val="24"/>
        </w:rPr>
        <w:t>estados deberán formularse y presentarse en la forma en que lo determine el Tribunal de Cuentas.</w:t>
      </w:r>
      <w:r w:rsidR="0098633C">
        <w:rPr>
          <w:rFonts w:ascii="Arial" w:hAnsi="Arial" w:cs="Arial"/>
          <w:sz w:val="24"/>
          <w:szCs w:val="24"/>
        </w:rPr>
        <w:t xml:space="preserve"> Este Tribunal </w:t>
      </w:r>
      <w:r w:rsidR="0082275E">
        <w:rPr>
          <w:rFonts w:ascii="Arial" w:hAnsi="Arial" w:cs="Arial"/>
          <w:sz w:val="24"/>
          <w:szCs w:val="24"/>
        </w:rPr>
        <w:t>ha dispuesto</w:t>
      </w:r>
      <w:r w:rsidR="001936C2">
        <w:rPr>
          <w:rFonts w:ascii="Arial" w:hAnsi="Arial" w:cs="Arial"/>
          <w:sz w:val="24"/>
          <w:szCs w:val="24"/>
        </w:rPr>
        <w:t xml:space="preserve"> en la Ordenanza N° 81 de fecha 17/12/2002, </w:t>
      </w:r>
      <w:r w:rsidR="0082275E">
        <w:rPr>
          <w:rFonts w:ascii="Arial" w:hAnsi="Arial" w:cs="Arial"/>
          <w:sz w:val="24"/>
          <w:szCs w:val="24"/>
        </w:rPr>
        <w:t xml:space="preserve">recientemente sustituida por la Ordenanza N° 89 de 29/11/2017, </w:t>
      </w:r>
      <w:r w:rsidR="001936C2">
        <w:rPr>
          <w:rFonts w:ascii="Arial" w:hAnsi="Arial" w:cs="Arial"/>
          <w:sz w:val="24"/>
          <w:szCs w:val="24"/>
        </w:rPr>
        <w:t>que los organismos comprendidos en el Articulo 159 del TOCAF deben regirse por la misma.</w:t>
      </w:r>
    </w:p>
    <w:p w:rsidR="0044130A" w:rsidRDefault="0044130A" w:rsidP="00DB3139">
      <w:pPr>
        <w:pStyle w:val="Prrafode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Respecto al registro y la obligación de rendir de acuerdo al Artículo 159 del TOCAF</w:t>
      </w:r>
      <w:r w:rsidR="002B1E2B">
        <w:rPr>
          <w:rFonts w:ascii="Arial" w:hAnsi="Arial" w:cs="Arial"/>
          <w:sz w:val="24"/>
          <w:szCs w:val="24"/>
        </w:rPr>
        <w:t>,</w:t>
      </w:r>
      <w:r w:rsidR="0098633C">
        <w:rPr>
          <w:rFonts w:ascii="Arial" w:hAnsi="Arial" w:cs="Arial"/>
          <w:sz w:val="24"/>
          <w:szCs w:val="24"/>
        </w:rPr>
        <w:t xml:space="preserve"> corresponde hacer referencia a lo mencionado en el numeral anterior</w:t>
      </w:r>
      <w:r w:rsidR="00330B26">
        <w:t xml:space="preserve">, </w:t>
      </w:r>
      <w:r w:rsidR="0082275E" w:rsidRPr="0082275E">
        <w:rPr>
          <w:rFonts w:ascii="Arial" w:hAnsi="Arial" w:cs="Arial"/>
          <w:sz w:val="24"/>
          <w:szCs w:val="24"/>
        </w:rPr>
        <w:t>i</w:t>
      </w:r>
      <w:r w:rsidR="001E1578" w:rsidRPr="0082275E">
        <w:rPr>
          <w:rFonts w:ascii="Arial" w:hAnsi="Arial" w:cs="Arial"/>
          <w:sz w:val="24"/>
          <w:szCs w:val="24"/>
        </w:rPr>
        <w:t>ndependientemente</w:t>
      </w:r>
      <w:r w:rsidR="001E1578" w:rsidRPr="001E1578">
        <w:rPr>
          <w:rFonts w:ascii="Arial" w:hAnsi="Arial" w:cs="Arial"/>
          <w:sz w:val="24"/>
          <w:szCs w:val="24"/>
        </w:rPr>
        <w:t xml:space="preserve"> </w:t>
      </w:r>
      <w:r w:rsidR="002B1E2B">
        <w:rPr>
          <w:rFonts w:ascii="Arial" w:hAnsi="Arial" w:cs="Arial"/>
          <w:sz w:val="24"/>
          <w:szCs w:val="24"/>
        </w:rPr>
        <w:t xml:space="preserve">de </w:t>
      </w:r>
      <w:r w:rsidR="001E1578" w:rsidRPr="001E1578">
        <w:rPr>
          <w:rFonts w:ascii="Arial" w:hAnsi="Arial" w:cs="Arial"/>
          <w:sz w:val="24"/>
          <w:szCs w:val="24"/>
        </w:rPr>
        <w:t>que l</w:t>
      </w:r>
      <w:r w:rsidR="002B1E2B">
        <w:rPr>
          <w:rFonts w:ascii="Arial" w:hAnsi="Arial" w:cs="Arial"/>
          <w:sz w:val="24"/>
          <w:szCs w:val="24"/>
        </w:rPr>
        <w:t>as citadas comisiones constituya</w:t>
      </w:r>
      <w:r w:rsidR="001E1578" w:rsidRPr="001E1578">
        <w:rPr>
          <w:rFonts w:ascii="Arial" w:hAnsi="Arial" w:cs="Arial"/>
          <w:sz w:val="24"/>
          <w:szCs w:val="24"/>
        </w:rPr>
        <w:t>n órganos desconcentrados</w:t>
      </w:r>
      <w:r w:rsidR="0098633C">
        <w:rPr>
          <w:rFonts w:ascii="Arial" w:hAnsi="Arial" w:cs="Arial"/>
          <w:sz w:val="24"/>
          <w:szCs w:val="24"/>
        </w:rPr>
        <w:t>.</w:t>
      </w:r>
    </w:p>
    <w:p w:rsidR="0098633C" w:rsidRDefault="003A5F04" w:rsidP="00DB3139">
      <w:pPr>
        <w:pStyle w:val="Prrafode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cuanto a la registración </w:t>
      </w:r>
      <w:r w:rsidR="00776336">
        <w:rPr>
          <w:rFonts w:ascii="Arial" w:hAnsi="Arial" w:cs="Arial"/>
          <w:sz w:val="24"/>
          <w:szCs w:val="24"/>
        </w:rPr>
        <w:t>contable</w:t>
      </w:r>
      <w:r w:rsidR="002B1E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este Cuerpo </w:t>
      </w:r>
      <w:r w:rsidR="002B1E2B">
        <w:rPr>
          <w:rFonts w:ascii="Arial" w:hAnsi="Arial" w:cs="Arial"/>
          <w:sz w:val="24"/>
          <w:szCs w:val="24"/>
        </w:rPr>
        <w:t>entiende</w:t>
      </w:r>
      <w:r>
        <w:rPr>
          <w:rFonts w:ascii="Arial" w:hAnsi="Arial" w:cs="Arial"/>
          <w:sz w:val="24"/>
          <w:szCs w:val="24"/>
        </w:rPr>
        <w:t xml:space="preserve"> que las transferencias recibidas de ASS</w:t>
      </w:r>
      <w:r w:rsidR="003D30E5">
        <w:rPr>
          <w:rFonts w:ascii="Arial" w:hAnsi="Arial" w:cs="Arial"/>
          <w:sz w:val="24"/>
          <w:szCs w:val="24"/>
        </w:rPr>
        <w:t xml:space="preserve">E deben ser </w:t>
      </w:r>
      <w:r w:rsidR="002B1E2B">
        <w:rPr>
          <w:rFonts w:ascii="Arial" w:hAnsi="Arial" w:cs="Arial"/>
          <w:sz w:val="24"/>
          <w:szCs w:val="24"/>
        </w:rPr>
        <w:t>registradas</w:t>
      </w:r>
      <w:r w:rsidR="003D30E5">
        <w:rPr>
          <w:rFonts w:ascii="Arial" w:hAnsi="Arial" w:cs="Arial"/>
          <w:sz w:val="24"/>
          <w:szCs w:val="24"/>
        </w:rPr>
        <w:t xml:space="preserve"> como disponibilidades exponiendo un pasivo por la obligación que se asume con ASSE por concepto de la obra a ejecutar.</w:t>
      </w:r>
      <w:r w:rsidR="0007463A">
        <w:rPr>
          <w:rFonts w:ascii="Arial" w:hAnsi="Arial" w:cs="Arial"/>
          <w:sz w:val="24"/>
          <w:szCs w:val="24"/>
        </w:rPr>
        <w:t xml:space="preserve"> </w:t>
      </w:r>
      <w:r w:rsidR="00776336">
        <w:rPr>
          <w:rFonts w:ascii="Arial" w:hAnsi="Arial" w:cs="Arial"/>
          <w:sz w:val="24"/>
          <w:szCs w:val="24"/>
        </w:rPr>
        <w:t xml:space="preserve">Dicho pasivo se cancelará al culminar las obras y </w:t>
      </w:r>
      <w:r w:rsidR="002B1E2B">
        <w:rPr>
          <w:rFonts w:ascii="Arial" w:hAnsi="Arial" w:cs="Arial"/>
          <w:sz w:val="24"/>
          <w:szCs w:val="24"/>
        </w:rPr>
        <w:t>efectuar su traspaso</w:t>
      </w:r>
      <w:r w:rsidR="00E9369E">
        <w:rPr>
          <w:rFonts w:ascii="Arial" w:hAnsi="Arial" w:cs="Arial"/>
          <w:sz w:val="24"/>
          <w:szCs w:val="24"/>
        </w:rPr>
        <w:t xml:space="preserve"> al patrimonio de ASSE.</w:t>
      </w:r>
    </w:p>
    <w:p w:rsidR="0044130A" w:rsidRDefault="009B4778" w:rsidP="00DB3139">
      <w:pPr>
        <w:pStyle w:val="Prrafode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forma de presentación de los </w:t>
      </w:r>
      <w:r w:rsidR="0082275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stados </w:t>
      </w:r>
      <w:r w:rsidR="0082275E">
        <w:rPr>
          <w:rFonts w:ascii="Arial" w:hAnsi="Arial" w:cs="Arial"/>
          <w:sz w:val="24"/>
          <w:szCs w:val="24"/>
        </w:rPr>
        <w:t>contables</w:t>
      </w:r>
      <w:r>
        <w:rPr>
          <w:rFonts w:ascii="Arial" w:hAnsi="Arial" w:cs="Arial"/>
          <w:sz w:val="24"/>
          <w:szCs w:val="24"/>
        </w:rPr>
        <w:t xml:space="preserve"> a este Tribunal está defin</w:t>
      </w:r>
      <w:r w:rsidR="0082275E">
        <w:rPr>
          <w:rFonts w:ascii="Arial" w:hAnsi="Arial" w:cs="Arial"/>
          <w:sz w:val="24"/>
          <w:szCs w:val="24"/>
        </w:rPr>
        <w:t>ida en la citada Ordenanza N° 89</w:t>
      </w:r>
      <w:r w:rsidR="003E1422">
        <w:rPr>
          <w:rFonts w:ascii="Arial" w:hAnsi="Arial" w:cs="Arial"/>
          <w:sz w:val="24"/>
          <w:szCs w:val="24"/>
        </w:rPr>
        <w:t>, la que determina los aspectos formales y criterios técnicos para su presentación.</w:t>
      </w:r>
    </w:p>
    <w:p w:rsidR="003E1422" w:rsidRDefault="00E9369E" w:rsidP="00DB313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 a usted atentamente</w:t>
      </w:r>
    </w:p>
    <w:p w:rsidR="00DB3139" w:rsidRPr="003E1422" w:rsidRDefault="00DB3139" w:rsidP="00DB313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DB3139" w:rsidRPr="003E1422" w:rsidSect="00EF7A81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DF" w:rsidRDefault="006B0FDF" w:rsidP="00AF4DD6">
      <w:pPr>
        <w:spacing w:after="0" w:line="240" w:lineRule="auto"/>
      </w:pPr>
      <w:r>
        <w:separator/>
      </w:r>
    </w:p>
  </w:endnote>
  <w:endnote w:type="continuationSeparator" w:id="0">
    <w:p w:rsidR="006B0FDF" w:rsidRDefault="006B0FDF" w:rsidP="00AF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947651"/>
      <w:docPartObj>
        <w:docPartGallery w:val="Page Numbers (Bottom of Page)"/>
        <w:docPartUnique/>
      </w:docPartObj>
    </w:sdtPr>
    <w:sdtEndPr/>
    <w:sdtContent>
      <w:p w:rsidR="006B0FDF" w:rsidRDefault="006B0F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69E" w:rsidRPr="00E9369E">
          <w:rPr>
            <w:noProof/>
            <w:lang w:val="es-ES"/>
          </w:rPr>
          <w:t>1</w:t>
        </w:r>
        <w:r>
          <w:fldChar w:fldCharType="end"/>
        </w:r>
      </w:p>
    </w:sdtContent>
  </w:sdt>
  <w:p w:rsidR="006B0FDF" w:rsidRDefault="006B0F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DF" w:rsidRDefault="006B0FDF" w:rsidP="00AF4DD6">
      <w:pPr>
        <w:spacing w:after="0" w:line="240" w:lineRule="auto"/>
      </w:pPr>
      <w:r>
        <w:separator/>
      </w:r>
    </w:p>
  </w:footnote>
  <w:footnote w:type="continuationSeparator" w:id="0">
    <w:p w:rsidR="006B0FDF" w:rsidRDefault="006B0FDF" w:rsidP="00AF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170"/>
    <w:multiLevelType w:val="hybridMultilevel"/>
    <w:tmpl w:val="19FE63C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92FCC"/>
    <w:multiLevelType w:val="hybridMultilevel"/>
    <w:tmpl w:val="D7C2D14C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10316"/>
    <w:multiLevelType w:val="hybridMultilevel"/>
    <w:tmpl w:val="18FA6FB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2377A"/>
    <w:multiLevelType w:val="hybridMultilevel"/>
    <w:tmpl w:val="72A0FD06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E1B2E"/>
    <w:multiLevelType w:val="hybridMultilevel"/>
    <w:tmpl w:val="E5207778"/>
    <w:lvl w:ilvl="0" w:tplc="EBFA86D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D0B7E"/>
    <w:multiLevelType w:val="hybridMultilevel"/>
    <w:tmpl w:val="16342102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FF"/>
    <w:rsid w:val="00033121"/>
    <w:rsid w:val="000730FA"/>
    <w:rsid w:val="0007463A"/>
    <w:rsid w:val="000D520C"/>
    <w:rsid w:val="000F2F08"/>
    <w:rsid w:val="00125623"/>
    <w:rsid w:val="001351B1"/>
    <w:rsid w:val="001402EF"/>
    <w:rsid w:val="001936C2"/>
    <w:rsid w:val="001C4378"/>
    <w:rsid w:val="001C5798"/>
    <w:rsid w:val="001E1578"/>
    <w:rsid w:val="001E4B9B"/>
    <w:rsid w:val="001F7BFF"/>
    <w:rsid w:val="00272E8F"/>
    <w:rsid w:val="00276A05"/>
    <w:rsid w:val="00294989"/>
    <w:rsid w:val="002B1E2B"/>
    <w:rsid w:val="00321AB8"/>
    <w:rsid w:val="00327F08"/>
    <w:rsid w:val="00330B26"/>
    <w:rsid w:val="00357FD4"/>
    <w:rsid w:val="00373C47"/>
    <w:rsid w:val="00377AD6"/>
    <w:rsid w:val="003A5F04"/>
    <w:rsid w:val="003B7E6C"/>
    <w:rsid w:val="003C0602"/>
    <w:rsid w:val="003C09E0"/>
    <w:rsid w:val="003C2682"/>
    <w:rsid w:val="003C67E6"/>
    <w:rsid w:val="003C70CF"/>
    <w:rsid w:val="003D30E5"/>
    <w:rsid w:val="003E1422"/>
    <w:rsid w:val="003E2E94"/>
    <w:rsid w:val="00402F24"/>
    <w:rsid w:val="00412515"/>
    <w:rsid w:val="0042770E"/>
    <w:rsid w:val="0044130A"/>
    <w:rsid w:val="00444E17"/>
    <w:rsid w:val="004559D8"/>
    <w:rsid w:val="004872E3"/>
    <w:rsid w:val="004B7E5F"/>
    <w:rsid w:val="00521012"/>
    <w:rsid w:val="005549E1"/>
    <w:rsid w:val="00555E69"/>
    <w:rsid w:val="005953A9"/>
    <w:rsid w:val="00595F60"/>
    <w:rsid w:val="005F4FC3"/>
    <w:rsid w:val="00612E07"/>
    <w:rsid w:val="00623A1C"/>
    <w:rsid w:val="0065137C"/>
    <w:rsid w:val="00661B70"/>
    <w:rsid w:val="0067699F"/>
    <w:rsid w:val="00697174"/>
    <w:rsid w:val="006A6154"/>
    <w:rsid w:val="006B0FDF"/>
    <w:rsid w:val="006F751C"/>
    <w:rsid w:val="00723777"/>
    <w:rsid w:val="00724FA7"/>
    <w:rsid w:val="00747336"/>
    <w:rsid w:val="00776336"/>
    <w:rsid w:val="00787453"/>
    <w:rsid w:val="00792A35"/>
    <w:rsid w:val="007C3D99"/>
    <w:rsid w:val="0082275E"/>
    <w:rsid w:val="008377DF"/>
    <w:rsid w:val="008602A3"/>
    <w:rsid w:val="00876135"/>
    <w:rsid w:val="008A2178"/>
    <w:rsid w:val="008B24D8"/>
    <w:rsid w:val="008C62CD"/>
    <w:rsid w:val="008D15F5"/>
    <w:rsid w:val="008D18FC"/>
    <w:rsid w:val="008D26C3"/>
    <w:rsid w:val="009438A2"/>
    <w:rsid w:val="00943A36"/>
    <w:rsid w:val="00981D2A"/>
    <w:rsid w:val="0098633C"/>
    <w:rsid w:val="009A151B"/>
    <w:rsid w:val="009A30D1"/>
    <w:rsid w:val="009B4778"/>
    <w:rsid w:val="009C4535"/>
    <w:rsid w:val="00A04525"/>
    <w:rsid w:val="00A04DC2"/>
    <w:rsid w:val="00A43BAE"/>
    <w:rsid w:val="00A45ABF"/>
    <w:rsid w:val="00A55746"/>
    <w:rsid w:val="00A60D46"/>
    <w:rsid w:val="00A764FF"/>
    <w:rsid w:val="00A9729D"/>
    <w:rsid w:val="00A9779E"/>
    <w:rsid w:val="00AC050F"/>
    <w:rsid w:val="00AC353C"/>
    <w:rsid w:val="00AE7F8E"/>
    <w:rsid w:val="00AF4DD6"/>
    <w:rsid w:val="00B1523F"/>
    <w:rsid w:val="00B3774E"/>
    <w:rsid w:val="00BA3460"/>
    <w:rsid w:val="00BB4731"/>
    <w:rsid w:val="00BC38F0"/>
    <w:rsid w:val="00BD75CC"/>
    <w:rsid w:val="00BE6166"/>
    <w:rsid w:val="00C32175"/>
    <w:rsid w:val="00D079A7"/>
    <w:rsid w:val="00D11569"/>
    <w:rsid w:val="00D1632B"/>
    <w:rsid w:val="00D16C6A"/>
    <w:rsid w:val="00D25361"/>
    <w:rsid w:val="00D80F36"/>
    <w:rsid w:val="00D94E47"/>
    <w:rsid w:val="00DB3139"/>
    <w:rsid w:val="00DC05B4"/>
    <w:rsid w:val="00E370C6"/>
    <w:rsid w:val="00E9369E"/>
    <w:rsid w:val="00EF7A81"/>
    <w:rsid w:val="00F63101"/>
    <w:rsid w:val="00F92B95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38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DD6"/>
  </w:style>
  <w:style w:type="paragraph" w:styleId="Piedepgina">
    <w:name w:val="footer"/>
    <w:basedOn w:val="Normal"/>
    <w:link w:val="PiedepginaCar"/>
    <w:uiPriority w:val="99"/>
    <w:unhideWhenUsed/>
    <w:rsid w:val="00AF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38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DD6"/>
  </w:style>
  <w:style w:type="paragraph" w:styleId="Piedepgina">
    <w:name w:val="footer"/>
    <w:basedOn w:val="Normal"/>
    <w:link w:val="PiedepginaCar"/>
    <w:uiPriority w:val="99"/>
    <w:unhideWhenUsed/>
    <w:rsid w:val="00AF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14777180</dc:creator>
  <cp:lastModifiedBy>Tribunal1</cp:lastModifiedBy>
  <cp:revision>10</cp:revision>
  <cp:lastPrinted>2017-12-21T18:02:00Z</cp:lastPrinted>
  <dcterms:created xsi:type="dcterms:W3CDTF">2017-12-20T16:38:00Z</dcterms:created>
  <dcterms:modified xsi:type="dcterms:W3CDTF">2018-04-19T17:21:00Z</dcterms:modified>
</cp:coreProperties>
</file>