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56" w:rsidRPr="00786EEB" w:rsidRDefault="00217E56" w:rsidP="00786EEB">
      <w:pPr>
        <w:tabs>
          <w:tab w:val="center" w:pos="4253"/>
        </w:tabs>
        <w:suppressAutoHyphens/>
        <w:jc w:val="right"/>
        <w:rPr>
          <w:rFonts w:cs="Arial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es-ES_tradnl"/>
        </w:rPr>
        <w:t>RES. 891/18</w:t>
      </w:r>
    </w:p>
    <w:p w:rsidR="00217E56" w:rsidRDefault="00217E56" w:rsidP="00786EEB">
      <w:pPr>
        <w:tabs>
          <w:tab w:val="center" w:pos="4253"/>
        </w:tabs>
        <w:suppressAutoHyphens/>
        <w:jc w:val="right"/>
        <w:rPr>
          <w:rFonts w:cs="Arial"/>
          <w:b/>
          <w:lang w:val="es-ES_tradnl"/>
        </w:rPr>
      </w:pPr>
    </w:p>
    <w:p w:rsidR="00217E56" w:rsidRPr="00762B34" w:rsidRDefault="00217E56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  <w:r w:rsidRPr="00762B34">
        <w:rPr>
          <w:rFonts w:cs="Arial"/>
          <w:b/>
          <w:lang w:val="es-ES_tradnl"/>
        </w:rPr>
        <w:t>RESOLUCION ADOPTADA POR EL</w:t>
      </w:r>
    </w:p>
    <w:p w:rsidR="00217E56" w:rsidRPr="00762B34" w:rsidRDefault="00217E56">
      <w:pPr>
        <w:tabs>
          <w:tab w:val="left" w:pos="-720"/>
        </w:tabs>
        <w:suppressAutoHyphens/>
        <w:jc w:val="center"/>
        <w:rPr>
          <w:rFonts w:cs="Arial"/>
          <w:b/>
          <w:lang w:val="es-ES_tradnl"/>
        </w:rPr>
      </w:pPr>
    </w:p>
    <w:p w:rsidR="00217E56" w:rsidRPr="00762B34" w:rsidRDefault="00217E56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  <w:r w:rsidRPr="00762B34">
        <w:rPr>
          <w:rFonts w:cs="Arial"/>
          <w:b/>
          <w:lang w:val="es-ES_tradnl"/>
        </w:rPr>
        <w:t>TRIBUNAL DE CUENTAS</w:t>
      </w:r>
    </w:p>
    <w:p w:rsidR="00217E56" w:rsidRPr="00762B34" w:rsidRDefault="00217E56">
      <w:pPr>
        <w:tabs>
          <w:tab w:val="left" w:pos="-720"/>
        </w:tabs>
        <w:suppressAutoHyphens/>
        <w:jc w:val="center"/>
        <w:rPr>
          <w:rFonts w:cs="Arial"/>
          <w:b/>
          <w:lang w:val="es-ES_tradnl"/>
        </w:rPr>
      </w:pPr>
    </w:p>
    <w:p w:rsidR="00217E56" w:rsidRPr="00762B34" w:rsidRDefault="00217E56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  <w:r w:rsidRPr="00762B34">
        <w:rPr>
          <w:rFonts w:cs="Arial"/>
          <w:b/>
          <w:lang w:val="es-ES_tradnl"/>
        </w:rPr>
        <w:t xml:space="preserve">EN SESION DE FECHA </w:t>
      </w:r>
      <w:r>
        <w:rPr>
          <w:rFonts w:cs="Arial"/>
          <w:b/>
          <w:lang w:val="es-ES_tradnl"/>
        </w:rPr>
        <w:t xml:space="preserve">7 DE MARZO </w:t>
      </w:r>
      <w:r>
        <w:rPr>
          <w:rFonts w:ascii="Helvetica" w:hAnsi="Helvetica"/>
          <w:b/>
          <w:lang w:val="es-ES_tradnl"/>
        </w:rPr>
        <w:t>DE 2018</w:t>
      </w:r>
    </w:p>
    <w:p w:rsidR="00217E56" w:rsidRPr="00762B34" w:rsidRDefault="00217E56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</w:p>
    <w:p w:rsidR="00217E56" w:rsidRPr="00762B34" w:rsidRDefault="00217E56">
      <w:pPr>
        <w:tabs>
          <w:tab w:val="center" w:pos="4253"/>
        </w:tabs>
        <w:suppressAutoHyphens/>
        <w:jc w:val="center"/>
        <w:rPr>
          <w:rFonts w:cs="Arial"/>
          <w:b/>
          <w:lang w:val="en-US"/>
        </w:rPr>
      </w:pPr>
      <w:r w:rsidRPr="00762B34">
        <w:rPr>
          <w:rFonts w:cs="Arial"/>
          <w:b/>
          <w:lang w:val="en-US"/>
        </w:rPr>
        <w:t xml:space="preserve">(E. E. Nº </w:t>
      </w:r>
      <w:r>
        <w:rPr>
          <w:rFonts w:cs="Arial"/>
          <w:b/>
          <w:lang w:val="en-US"/>
        </w:rPr>
        <w:t>2018-17-1-0001236</w:t>
      </w:r>
      <w:r w:rsidRPr="00762B34">
        <w:rPr>
          <w:rFonts w:cs="Arial"/>
          <w:b/>
          <w:lang w:val="en-US"/>
        </w:rPr>
        <w:t xml:space="preserve">, </w:t>
      </w:r>
      <w:proofErr w:type="gramStart"/>
      <w:r w:rsidRPr="00762B34">
        <w:rPr>
          <w:rFonts w:cs="Arial"/>
          <w:b/>
          <w:lang w:val="en-US"/>
        </w:rPr>
        <w:t>Ent</w:t>
      </w:r>
      <w:proofErr w:type="gramEnd"/>
      <w:r w:rsidRPr="00762B34">
        <w:rPr>
          <w:rFonts w:cs="Arial"/>
          <w:b/>
          <w:lang w:val="en-US"/>
        </w:rPr>
        <w:t>. N°</w:t>
      </w:r>
      <w:r>
        <w:rPr>
          <w:rFonts w:cs="Arial"/>
          <w:b/>
          <w:lang w:val="en-US"/>
        </w:rPr>
        <w:t xml:space="preserve"> 478/18</w:t>
      </w:r>
      <w:r w:rsidRPr="00762B34">
        <w:rPr>
          <w:rFonts w:cs="Arial"/>
          <w:b/>
          <w:lang w:val="en-US"/>
        </w:rPr>
        <w:t>)</w:t>
      </w:r>
    </w:p>
    <w:p w:rsidR="00217E56" w:rsidRDefault="00217E56">
      <w:pPr>
        <w:tabs>
          <w:tab w:val="center" w:pos="4253"/>
        </w:tabs>
        <w:suppressAutoHyphens/>
        <w:jc w:val="center"/>
        <w:rPr>
          <w:rFonts w:ascii="Helvetica" w:hAnsi="Helvetica"/>
          <w:b/>
          <w:lang w:val="en-US"/>
        </w:rPr>
      </w:pPr>
    </w:p>
    <w:p w:rsidR="004D7F88" w:rsidRDefault="004D7F88" w:rsidP="004D7F88">
      <w:pPr>
        <w:suppressAutoHyphens/>
        <w:spacing w:line="360" w:lineRule="auto"/>
        <w:jc w:val="center"/>
        <w:rPr>
          <w:b/>
          <w:spacing w:val="-3"/>
          <w:lang w:val="es-ES_tradnl"/>
        </w:rPr>
      </w:pPr>
    </w:p>
    <w:p w:rsidR="004D7F88" w:rsidRDefault="00217E56" w:rsidP="004D7F88">
      <w:pPr>
        <w:tabs>
          <w:tab w:val="left" w:pos="-720"/>
        </w:tabs>
        <w:suppressAutoHyphens/>
        <w:spacing w:line="360" w:lineRule="auto"/>
        <w:jc w:val="both"/>
      </w:pPr>
      <w:r>
        <w:rPr>
          <w:b/>
          <w:spacing w:val="-3"/>
          <w:lang w:val="es-ES_tradnl"/>
        </w:rPr>
        <w:tab/>
      </w:r>
      <w:r w:rsidR="004D7F88">
        <w:rPr>
          <w:b/>
          <w:spacing w:val="-3"/>
          <w:lang w:val="es-ES_tradnl"/>
        </w:rPr>
        <w:t>VISTO:</w:t>
      </w:r>
      <w:r w:rsidR="004D7F88">
        <w:rPr>
          <w:spacing w:val="-3"/>
          <w:lang w:val="es-ES_tradnl"/>
        </w:rPr>
        <w:t xml:space="preserve"> estos antecedentes remitidos por la </w:t>
      </w:r>
      <w:r w:rsidR="004D7F88">
        <w:t>Administración de las Obras Sanitarias del Estado (OSE)</w:t>
      </w:r>
      <w:r w:rsidR="004D7F88">
        <w:rPr>
          <w:spacing w:val="-3"/>
          <w:lang w:val="es-ES_tradnl"/>
        </w:rPr>
        <w:t xml:space="preserve">, relacionados con el acuerdo transaccional </w:t>
      </w:r>
      <w:r w:rsidR="004D7F88">
        <w:t>extrajudicial celebrado con l</w:t>
      </w:r>
      <w:r w:rsidR="00760E36">
        <w:t>a</w:t>
      </w:r>
      <w:r w:rsidR="004D7F88">
        <w:t xml:space="preserve"> Sra. Ana María Muñoz;</w:t>
      </w:r>
    </w:p>
    <w:p w:rsidR="00080C57" w:rsidRDefault="00217E56" w:rsidP="004D7F88">
      <w:pPr>
        <w:tabs>
          <w:tab w:val="left" w:pos="-720"/>
        </w:tabs>
        <w:suppressAutoHyphens/>
        <w:spacing w:line="360" w:lineRule="auto"/>
        <w:jc w:val="both"/>
      </w:pPr>
      <w:r>
        <w:rPr>
          <w:b/>
        </w:rPr>
        <w:tab/>
      </w:r>
      <w:r w:rsidR="004D7F88">
        <w:rPr>
          <w:b/>
        </w:rPr>
        <w:t>RESULTANDO: 1)</w:t>
      </w:r>
      <w:r w:rsidR="004D7F88">
        <w:t xml:space="preserve"> que la persona citada, reclamó a </w:t>
      </w:r>
      <w:r w:rsidR="00080C57">
        <w:t>OSE</w:t>
      </w:r>
      <w:r w:rsidR="004D7F88">
        <w:t xml:space="preserve"> l</w:t>
      </w:r>
      <w:r w:rsidR="00080C57">
        <w:t xml:space="preserve">a indemnización de los </w:t>
      </w:r>
      <w:r w:rsidR="004D7F88">
        <w:t xml:space="preserve">perjuicios padecidos </w:t>
      </w:r>
      <w:r w:rsidR="00080C57">
        <w:t>como consecuencia de las filtraciones de agua en su inmueble sito en Héctor Gutiérrez Ruiz Nº 1218 ocasionadas el 6/9/16 por la rotura de una cañería propiedad de la Administración;</w:t>
      </w:r>
    </w:p>
    <w:p w:rsidR="00217E56" w:rsidRDefault="004D7F88" w:rsidP="00217E56">
      <w:pPr>
        <w:tabs>
          <w:tab w:val="left" w:pos="-720"/>
        </w:tabs>
        <w:suppressAutoHyphens/>
        <w:spacing w:line="360" w:lineRule="auto"/>
        <w:ind w:firstLine="2694"/>
        <w:jc w:val="both"/>
      </w:pPr>
      <w:r>
        <w:t xml:space="preserve"> </w:t>
      </w:r>
      <w:r w:rsidRPr="006544A9">
        <w:rPr>
          <w:b/>
        </w:rPr>
        <w:t>2)</w:t>
      </w:r>
      <w:r>
        <w:t xml:space="preserve"> que </w:t>
      </w:r>
      <w:r w:rsidR="00080C57">
        <w:t xml:space="preserve">en tal sentido, </w:t>
      </w:r>
      <w:r>
        <w:t xml:space="preserve">mediante </w:t>
      </w:r>
      <w:r w:rsidR="00080C57">
        <w:t>R</w:t>
      </w:r>
      <w:r>
        <w:t>esolución del Directorio N° 1</w:t>
      </w:r>
      <w:r w:rsidR="00080C57">
        <w:t>706</w:t>
      </w:r>
      <w:r>
        <w:t xml:space="preserve">/17, de fecha </w:t>
      </w:r>
      <w:r w:rsidR="00080C57">
        <w:t>20</w:t>
      </w:r>
      <w:r>
        <w:t>/1</w:t>
      </w:r>
      <w:r w:rsidR="00080C57">
        <w:t>2</w:t>
      </w:r>
      <w:r>
        <w:t>/17, se dispuso aprobar el acuerdo transaccional</w:t>
      </w:r>
      <w:r w:rsidR="00080C57">
        <w:t xml:space="preserve"> </w:t>
      </w:r>
      <w:r w:rsidR="00217E56">
        <w:t xml:space="preserve">  </w:t>
      </w:r>
      <w:r w:rsidR="00080C57">
        <w:t xml:space="preserve">con </w:t>
      </w:r>
      <w:r w:rsidR="00217E56">
        <w:t xml:space="preserve">  </w:t>
      </w:r>
      <w:r w:rsidR="00080C57">
        <w:t xml:space="preserve">la </w:t>
      </w:r>
      <w:r w:rsidR="00217E56">
        <w:t xml:space="preserve"> </w:t>
      </w:r>
      <w:r w:rsidR="00080C57">
        <w:t>reclamante,</w:t>
      </w:r>
      <w:r>
        <w:t xml:space="preserve"> </w:t>
      </w:r>
      <w:r w:rsidR="00217E56">
        <w:t xml:space="preserve">  </w:t>
      </w:r>
      <w:r>
        <w:t>autoriza</w:t>
      </w:r>
      <w:r w:rsidR="00080C57">
        <w:t xml:space="preserve">ndo </w:t>
      </w:r>
      <w:r w:rsidR="00217E56">
        <w:t xml:space="preserve"> </w:t>
      </w:r>
      <w:r>
        <w:t xml:space="preserve"> un </w:t>
      </w:r>
      <w:r w:rsidR="00217E56">
        <w:t xml:space="preserve">  </w:t>
      </w:r>
      <w:r>
        <w:t xml:space="preserve">crédito </w:t>
      </w:r>
      <w:r w:rsidR="00217E56">
        <w:t xml:space="preserve">  </w:t>
      </w:r>
      <w:r>
        <w:t xml:space="preserve">por </w:t>
      </w:r>
      <w:r w:rsidR="00217E56">
        <w:t xml:space="preserve"> </w:t>
      </w:r>
      <w:r>
        <w:t xml:space="preserve">la suma de </w:t>
      </w:r>
    </w:p>
    <w:p w:rsidR="004D7F88" w:rsidRDefault="004D7F88" w:rsidP="00217E56">
      <w:pPr>
        <w:tabs>
          <w:tab w:val="left" w:pos="-720"/>
        </w:tabs>
        <w:suppressAutoHyphens/>
        <w:spacing w:line="360" w:lineRule="auto"/>
        <w:jc w:val="both"/>
      </w:pPr>
      <w:r>
        <w:t xml:space="preserve">$ </w:t>
      </w:r>
      <w:r w:rsidR="00080C57">
        <w:t>16</w:t>
      </w:r>
      <w:r>
        <w:t>.</w:t>
      </w:r>
      <w:r w:rsidR="00080C57">
        <w:t>014</w:t>
      </w:r>
      <w:r>
        <w:t xml:space="preserve"> por todo concepto;</w:t>
      </w:r>
    </w:p>
    <w:p w:rsidR="004D7F88" w:rsidRDefault="00217E56" w:rsidP="00217E56">
      <w:pPr>
        <w:pStyle w:val="Textoindependiente"/>
        <w:ind w:firstLine="2694"/>
      </w:pPr>
      <w:r>
        <w:rPr>
          <w:b/>
        </w:rPr>
        <w:t xml:space="preserve"> </w:t>
      </w:r>
      <w:r w:rsidR="004D7F88">
        <w:rPr>
          <w:b/>
        </w:rPr>
        <w:t xml:space="preserve">3) </w:t>
      </w:r>
      <w:r w:rsidR="004D7F88">
        <w:t>que se adjunta información contable donde se imputa la suma referida con cargo al Presupuesto de Compras 2017, vigente con disponibilidad suficiente en el Grupo 7 “Gastos no clasificados”;</w:t>
      </w:r>
    </w:p>
    <w:p w:rsidR="004D7F88" w:rsidRDefault="004D7F88" w:rsidP="00217E56">
      <w:pPr>
        <w:tabs>
          <w:tab w:val="left" w:pos="-720"/>
        </w:tabs>
        <w:suppressAutoHyphens/>
        <w:spacing w:line="360" w:lineRule="auto"/>
        <w:ind w:firstLine="709"/>
        <w:jc w:val="both"/>
        <w:rPr>
          <w:bCs/>
          <w:spacing w:val="-3"/>
          <w:lang w:val="es-ES_tradnl"/>
        </w:rPr>
      </w:pPr>
      <w:r>
        <w:rPr>
          <w:b/>
          <w:spacing w:val="-3"/>
        </w:rPr>
        <w:t>C</w:t>
      </w:r>
      <w:r>
        <w:rPr>
          <w:b/>
          <w:spacing w:val="-3"/>
          <w:lang w:val="es-ES_tradnl"/>
        </w:rPr>
        <w:t xml:space="preserve">ONSIDERANDO: </w:t>
      </w:r>
      <w:r>
        <w:rPr>
          <w:bCs/>
          <w:spacing w:val="-3"/>
          <w:lang w:val="es-ES_tradnl"/>
        </w:rPr>
        <w:t xml:space="preserve"> </w:t>
      </w:r>
      <w:r>
        <w:rPr>
          <w:b/>
          <w:bCs/>
          <w:spacing w:val="-3"/>
          <w:lang w:val="es-ES_tradnl"/>
        </w:rPr>
        <w:t xml:space="preserve">1) </w:t>
      </w:r>
      <w:r>
        <w:rPr>
          <w:bCs/>
          <w:spacing w:val="-3"/>
          <w:lang w:val="es-ES_tradnl"/>
        </w:rPr>
        <w:t xml:space="preserve">que por </w:t>
      </w:r>
      <w:r w:rsidR="00080C57">
        <w:rPr>
          <w:bCs/>
          <w:spacing w:val="-3"/>
          <w:lang w:val="es-ES_tradnl"/>
        </w:rPr>
        <w:t>R</w:t>
      </w:r>
      <w:r>
        <w:rPr>
          <w:bCs/>
          <w:spacing w:val="-3"/>
          <w:lang w:val="es-ES_tradnl"/>
        </w:rPr>
        <w:t>esolución del Tribunal de Cuentas, de</w:t>
      </w:r>
      <w:r>
        <w:rPr>
          <w:b/>
          <w:spacing w:val="-3"/>
          <w:lang w:val="es-ES_tradnl"/>
        </w:rPr>
        <w:t xml:space="preserve"> </w:t>
      </w:r>
      <w:r>
        <w:rPr>
          <w:bCs/>
          <w:spacing w:val="-3"/>
          <w:lang w:val="es-ES_tradnl"/>
        </w:rPr>
        <w:t xml:space="preserve">fecha 18 de junio de 2008, en la redacción dada por el </w:t>
      </w:r>
      <w:r w:rsidR="00217E56">
        <w:rPr>
          <w:bCs/>
          <w:spacing w:val="-3"/>
          <w:lang w:val="es-ES_tradnl"/>
        </w:rPr>
        <w:t>A</w:t>
      </w:r>
      <w:r>
        <w:rPr>
          <w:bCs/>
          <w:spacing w:val="-3"/>
          <w:lang w:val="es-ES_tradnl"/>
        </w:rPr>
        <w:t>rtículo 2 de la Resolución de este Tribunal de 23/12/2009, se dispuso que se deben remitir al mismo, para su intervención, todos los gastos emergentes de transacciones  extrajudiciales y laudos  arbitrales, cualquiera sea su monto;</w:t>
      </w:r>
    </w:p>
    <w:p w:rsidR="004D7F88" w:rsidRDefault="004D7F88" w:rsidP="00217E56">
      <w:pPr>
        <w:tabs>
          <w:tab w:val="left" w:pos="-720"/>
        </w:tabs>
        <w:suppressAutoHyphens/>
        <w:spacing w:line="360" w:lineRule="auto"/>
        <w:ind w:firstLine="2977"/>
        <w:jc w:val="both"/>
        <w:rPr>
          <w:bCs/>
          <w:spacing w:val="-3"/>
          <w:lang w:val="es-ES_tradnl"/>
        </w:rPr>
      </w:pPr>
      <w:r>
        <w:rPr>
          <w:b/>
          <w:bCs/>
          <w:spacing w:val="-3"/>
          <w:lang w:val="es-ES_tradnl"/>
        </w:rPr>
        <w:lastRenderedPageBreak/>
        <w:t xml:space="preserve">2) </w:t>
      </w:r>
      <w:r w:rsidRPr="009341A1">
        <w:rPr>
          <w:bCs/>
          <w:spacing w:val="-3"/>
          <w:lang w:val="es-ES_tradnl"/>
        </w:rPr>
        <w:t xml:space="preserve">que los aspectos que refieren a oportunidad o conveniencia de la transacción remitida, constituyen una cuestión de mérito cuya apreciación no encuadra en el ámbito de competencia de este Tribunal;  </w:t>
      </w:r>
    </w:p>
    <w:p w:rsidR="004D7F88" w:rsidRPr="00B40519" w:rsidRDefault="004D7F88" w:rsidP="00217E56">
      <w:pPr>
        <w:tabs>
          <w:tab w:val="left" w:pos="-720"/>
        </w:tabs>
        <w:suppressAutoHyphens/>
        <w:spacing w:line="360" w:lineRule="auto"/>
        <w:ind w:firstLine="2977"/>
        <w:jc w:val="both"/>
        <w:rPr>
          <w:bCs/>
          <w:spacing w:val="-3"/>
          <w:lang w:val="es-ES_tradnl"/>
        </w:rPr>
      </w:pPr>
      <w:r w:rsidRPr="00D954D8">
        <w:rPr>
          <w:b/>
          <w:bCs/>
          <w:spacing w:val="-3"/>
          <w:lang w:val="es-ES_tradnl"/>
        </w:rPr>
        <w:t>3)</w:t>
      </w:r>
      <w:r w:rsidRPr="00D954D8">
        <w:rPr>
          <w:bCs/>
          <w:spacing w:val="-3"/>
          <w:lang w:val="es-ES_tradnl"/>
        </w:rPr>
        <w:t xml:space="preserve"> que de acuerdo con lo previsto en el numeral 4º de la Ordenanza Nº 72, de 23</w:t>
      </w:r>
      <w:r>
        <w:rPr>
          <w:bCs/>
          <w:spacing w:val="-3"/>
          <w:lang w:val="es-ES_tradnl"/>
        </w:rPr>
        <w:t>/0</w:t>
      </w:r>
      <w:r w:rsidRPr="00D954D8">
        <w:rPr>
          <w:bCs/>
          <w:spacing w:val="-3"/>
          <w:lang w:val="es-ES_tradnl"/>
        </w:rPr>
        <w:t>5</w:t>
      </w:r>
      <w:r>
        <w:rPr>
          <w:bCs/>
          <w:spacing w:val="-3"/>
          <w:lang w:val="es-ES_tradnl"/>
        </w:rPr>
        <w:t>/</w:t>
      </w:r>
      <w:r w:rsidRPr="00D954D8">
        <w:rPr>
          <w:bCs/>
          <w:spacing w:val="-3"/>
          <w:lang w:val="es-ES_tradnl"/>
        </w:rPr>
        <w:t>1996, se intervendrán conjuntamente con el pago los gastos cuyo monto no exceda el máximo fijado para la contratación directa ampliada</w:t>
      </w:r>
      <w:r>
        <w:rPr>
          <w:bCs/>
          <w:spacing w:val="-3"/>
          <w:lang w:val="es-ES_tradnl"/>
        </w:rPr>
        <w:t xml:space="preserve">;                                </w:t>
      </w:r>
      <w:r>
        <w:rPr>
          <w:b/>
          <w:spacing w:val="-3"/>
          <w:lang w:val="es-ES_tradnl"/>
        </w:rPr>
        <w:t xml:space="preserve">                     </w:t>
      </w:r>
    </w:p>
    <w:p w:rsidR="004D7F88" w:rsidRDefault="00217E56" w:rsidP="00217E56">
      <w:pPr>
        <w:tabs>
          <w:tab w:val="left" w:pos="-720"/>
        </w:tabs>
        <w:suppressAutoHyphens/>
        <w:spacing w:line="360" w:lineRule="auto"/>
        <w:jc w:val="both"/>
        <w:rPr>
          <w:spacing w:val="-3"/>
          <w:lang w:val="es-ES_tradnl"/>
        </w:rPr>
      </w:pPr>
      <w:r>
        <w:rPr>
          <w:b/>
          <w:spacing w:val="-3"/>
          <w:lang w:val="es-ES_tradnl"/>
        </w:rPr>
        <w:tab/>
      </w:r>
      <w:r w:rsidR="004D7F88">
        <w:rPr>
          <w:b/>
          <w:spacing w:val="-3"/>
          <w:lang w:val="es-ES_tradnl"/>
        </w:rPr>
        <w:t>ATENTO:</w:t>
      </w:r>
      <w:r w:rsidR="004D7F88">
        <w:rPr>
          <w:spacing w:val="-3"/>
          <w:lang w:val="es-ES_tradnl"/>
        </w:rPr>
        <w:t xml:space="preserve"> a lo precedentemente expuesto;</w:t>
      </w:r>
    </w:p>
    <w:p w:rsidR="004D7F88" w:rsidRDefault="004D7F88" w:rsidP="00217E56">
      <w:pPr>
        <w:pStyle w:val="Ttulo1"/>
        <w:rPr>
          <w:rFonts w:ascii="Arial" w:hAnsi="Arial"/>
        </w:rPr>
      </w:pPr>
      <w:r>
        <w:rPr>
          <w:rFonts w:ascii="Arial" w:hAnsi="Arial"/>
        </w:rPr>
        <w:t>EL TRIBUNAL ACUERDA</w:t>
      </w:r>
    </w:p>
    <w:p w:rsidR="004D7F88" w:rsidRDefault="004D7F88" w:rsidP="00217E56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spacing w:val="-3"/>
          <w:lang w:val="es-ES_tradnl"/>
        </w:rPr>
      </w:pPr>
      <w:r>
        <w:rPr>
          <w:spacing w:val="-3"/>
        </w:rPr>
        <w:t>No formular observaciones a la transacción remitida;</w:t>
      </w:r>
    </w:p>
    <w:p w:rsidR="004D7F88" w:rsidRDefault="004D7F88" w:rsidP="004D7F88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Cometer a la Contadora Delegada la intervención de la suma de $ </w:t>
      </w:r>
      <w:r w:rsidR="00760E36">
        <w:rPr>
          <w:spacing w:val="-3"/>
          <w:lang w:val="es-ES_tradnl"/>
        </w:rPr>
        <w:t>16</w:t>
      </w:r>
      <w:r>
        <w:rPr>
          <w:spacing w:val="-3"/>
          <w:lang w:val="es-ES_tradnl"/>
        </w:rPr>
        <w:t>.</w:t>
      </w:r>
      <w:r w:rsidR="00760E36">
        <w:rPr>
          <w:spacing w:val="-3"/>
          <w:lang w:val="es-ES_tradnl"/>
        </w:rPr>
        <w:t>014</w:t>
      </w:r>
      <w:r>
        <w:rPr>
          <w:spacing w:val="-3"/>
          <w:lang w:val="es-ES_tradnl"/>
        </w:rPr>
        <w:t>, con cargo a grupo adecuado con disponibilidad suficiente</w:t>
      </w:r>
      <w:r>
        <w:t>;</w:t>
      </w:r>
      <w:r w:rsidR="00217E56">
        <w:t xml:space="preserve"> y</w:t>
      </w:r>
    </w:p>
    <w:p w:rsidR="004D7F88" w:rsidRDefault="004D7F88" w:rsidP="004D7F88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Devolver las actuaciones.</w:t>
      </w:r>
    </w:p>
    <w:p w:rsidR="004D7F88" w:rsidRDefault="004D7F88" w:rsidP="004D7F88">
      <w:pPr>
        <w:pStyle w:val="Textoindependiente2"/>
      </w:pPr>
    </w:p>
    <w:p w:rsidR="00217E56" w:rsidRDefault="00217E56" w:rsidP="00217E56">
      <w:pPr>
        <w:pStyle w:val="Textoindependiente2"/>
        <w:jc w:val="left"/>
      </w:pPr>
    </w:p>
    <w:p w:rsidR="004D7F88" w:rsidRDefault="00217E56" w:rsidP="00217E56">
      <w:pPr>
        <w:pStyle w:val="Textoindependiente2"/>
        <w:jc w:val="left"/>
      </w:pPr>
      <w:proofErr w:type="spellStart"/>
      <w:proofErr w:type="gramStart"/>
      <w:r>
        <w:t>cr</w:t>
      </w:r>
      <w:proofErr w:type="spellEnd"/>
      <w:proofErr w:type="gramEnd"/>
    </w:p>
    <w:sectPr w:rsidR="004D7F88" w:rsidSect="001403B6">
      <w:headerReference w:type="default" r:id="rId8"/>
      <w:footerReference w:type="even" r:id="rId9"/>
      <w:footerReference w:type="default" r:id="rId10"/>
      <w:pgSz w:w="11907" w:h="16840" w:code="9"/>
      <w:pgMar w:top="3402" w:right="1701" w:bottom="1418" w:left="1701" w:header="0" w:footer="0" w:gutter="0"/>
      <w:paperSrc w:first="4" w:other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52" w:rsidRDefault="00217E56">
      <w:r>
        <w:separator/>
      </w:r>
    </w:p>
  </w:endnote>
  <w:endnote w:type="continuationSeparator" w:id="0">
    <w:p w:rsidR="00E44752" w:rsidRDefault="002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86" w:rsidRDefault="00217E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2C86" w:rsidRDefault="001403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86" w:rsidRDefault="00217E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03B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72C86" w:rsidRDefault="001403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52" w:rsidRDefault="00217E56">
      <w:r>
        <w:separator/>
      </w:r>
    </w:p>
  </w:footnote>
  <w:footnote w:type="continuationSeparator" w:id="0">
    <w:p w:rsidR="00E44752" w:rsidRDefault="0021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86" w:rsidRDefault="004D7F88">
    <w:pPr>
      <w:suppressAutoHyphens/>
      <w:jc w:val="both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6895E8" wp14:editId="1A4BDE71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356860" cy="152400"/>
              <wp:effectExtent l="3175" t="0" r="254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568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2C86" w:rsidRDefault="00217E56">
                          <w:pPr>
                            <w:tabs>
                              <w:tab w:val="center" w:pos="4218"/>
                              <w:tab w:val="right" w:pos="8436"/>
                            </w:tabs>
                            <w:rPr>
                              <w:spacing w:val="-3"/>
                              <w:lang w:val="es-ES_tradnl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left:0;text-align:left;margin-left:85pt;margin-top:0;width:421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" o:allowincell="f" filled="f" stroked="f" strokeweight="0">
              <v:textbox inset="0,0,0,0">
                <w:txbxContent>
                  <w:p w:rsidR="00172C86" w:rsidRDefault="00F16947">
                    <w:pPr>
                      <w:tabs>
                        <w:tab w:val="center" w:pos="4218"/>
                        <w:tab w:val="right" w:pos="8436"/>
                      </w:tabs>
                      <w:rPr>
                        <w:spacing w:val="-3"/>
                        <w:lang w:val="es-ES_tradnl"/>
                      </w:rPr>
                    </w:pP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172C86" w:rsidRDefault="001403B6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C3D03"/>
    <w:multiLevelType w:val="singleLevel"/>
    <w:tmpl w:val="AEDA80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88"/>
    <w:rsid w:val="00080C57"/>
    <w:rsid w:val="001403B6"/>
    <w:rsid w:val="00217E56"/>
    <w:rsid w:val="004D7F88"/>
    <w:rsid w:val="00760E36"/>
    <w:rsid w:val="0090627E"/>
    <w:rsid w:val="00E44752"/>
    <w:rsid w:val="00E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7F88"/>
    <w:pPr>
      <w:keepNext/>
      <w:widowControl w:val="0"/>
      <w:tabs>
        <w:tab w:val="center" w:pos="4218"/>
      </w:tabs>
      <w:suppressAutoHyphens/>
      <w:spacing w:line="360" w:lineRule="auto"/>
      <w:jc w:val="center"/>
      <w:outlineLvl w:val="0"/>
    </w:pPr>
    <w:rPr>
      <w:rFonts w:ascii="Bookman Old Style" w:hAnsi="Bookman Old Style"/>
      <w:b/>
      <w:snapToGrid w:val="0"/>
      <w:spacing w:val="-3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D7F88"/>
    <w:pPr>
      <w:keepNext/>
      <w:suppressAutoHyphens/>
      <w:spacing w:line="360" w:lineRule="auto"/>
      <w:jc w:val="both"/>
      <w:outlineLvl w:val="1"/>
    </w:pPr>
    <w:rPr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7F88"/>
    <w:rPr>
      <w:rFonts w:ascii="Bookman Old Style" w:eastAsia="Times New Roman" w:hAnsi="Bookman Old Style" w:cs="Times New Roman"/>
      <w:b/>
      <w:snapToGrid w:val="0"/>
      <w:spacing w:val="-3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D7F88"/>
    <w:rPr>
      <w:rFonts w:ascii="Arial" w:eastAsia="Times New Roman" w:hAnsi="Arial" w:cs="Times New Roman"/>
      <w:b/>
      <w:spacing w:val="-3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semiHidden/>
    <w:rsid w:val="004D7F88"/>
    <w:pPr>
      <w:widowControl w:val="0"/>
      <w:tabs>
        <w:tab w:val="center" w:pos="4252"/>
        <w:tab w:val="right" w:pos="8504"/>
      </w:tabs>
    </w:pPr>
    <w:rPr>
      <w:rFonts w:ascii="Courier New" w:hAnsi="Courier New"/>
      <w:snapToGrid w:val="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4D7F88"/>
    <w:rPr>
      <w:rFonts w:ascii="Courier New" w:eastAsia="Times New Roman" w:hAnsi="Courier New" w:cs="Times New Roman"/>
      <w:snapToGrid w:val="0"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4D7F88"/>
  </w:style>
  <w:style w:type="paragraph" w:styleId="Textoindependiente">
    <w:name w:val="Body Text"/>
    <w:basedOn w:val="Normal"/>
    <w:link w:val="TextoindependienteCar"/>
    <w:semiHidden/>
    <w:rsid w:val="004D7F88"/>
    <w:pPr>
      <w:tabs>
        <w:tab w:val="left" w:pos="-720"/>
      </w:tabs>
      <w:suppressAutoHyphens/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D7F88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4D7F88"/>
    <w:pPr>
      <w:tabs>
        <w:tab w:val="left" w:pos="-720"/>
      </w:tabs>
      <w:suppressAutoHyphens/>
      <w:spacing w:line="360" w:lineRule="auto"/>
      <w:jc w:val="right"/>
    </w:pPr>
    <w:rPr>
      <w:spacing w:val="-3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D7F88"/>
    <w:rPr>
      <w:rFonts w:ascii="Arial" w:eastAsia="Times New Roman" w:hAnsi="Arial" w:cs="Times New Roman"/>
      <w:spacing w:val="-3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7F88"/>
    <w:pPr>
      <w:keepNext/>
      <w:widowControl w:val="0"/>
      <w:tabs>
        <w:tab w:val="center" w:pos="4218"/>
      </w:tabs>
      <w:suppressAutoHyphens/>
      <w:spacing w:line="360" w:lineRule="auto"/>
      <w:jc w:val="center"/>
      <w:outlineLvl w:val="0"/>
    </w:pPr>
    <w:rPr>
      <w:rFonts w:ascii="Bookman Old Style" w:hAnsi="Bookman Old Style"/>
      <w:b/>
      <w:snapToGrid w:val="0"/>
      <w:spacing w:val="-3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D7F88"/>
    <w:pPr>
      <w:keepNext/>
      <w:suppressAutoHyphens/>
      <w:spacing w:line="360" w:lineRule="auto"/>
      <w:jc w:val="both"/>
      <w:outlineLvl w:val="1"/>
    </w:pPr>
    <w:rPr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7F88"/>
    <w:rPr>
      <w:rFonts w:ascii="Bookman Old Style" w:eastAsia="Times New Roman" w:hAnsi="Bookman Old Style" w:cs="Times New Roman"/>
      <w:b/>
      <w:snapToGrid w:val="0"/>
      <w:spacing w:val="-3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D7F88"/>
    <w:rPr>
      <w:rFonts w:ascii="Arial" w:eastAsia="Times New Roman" w:hAnsi="Arial" w:cs="Times New Roman"/>
      <w:b/>
      <w:spacing w:val="-3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semiHidden/>
    <w:rsid w:val="004D7F88"/>
    <w:pPr>
      <w:widowControl w:val="0"/>
      <w:tabs>
        <w:tab w:val="center" w:pos="4252"/>
        <w:tab w:val="right" w:pos="8504"/>
      </w:tabs>
    </w:pPr>
    <w:rPr>
      <w:rFonts w:ascii="Courier New" w:hAnsi="Courier New"/>
      <w:snapToGrid w:val="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4D7F88"/>
    <w:rPr>
      <w:rFonts w:ascii="Courier New" w:eastAsia="Times New Roman" w:hAnsi="Courier New" w:cs="Times New Roman"/>
      <w:snapToGrid w:val="0"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4D7F88"/>
  </w:style>
  <w:style w:type="paragraph" w:styleId="Textoindependiente">
    <w:name w:val="Body Text"/>
    <w:basedOn w:val="Normal"/>
    <w:link w:val="TextoindependienteCar"/>
    <w:semiHidden/>
    <w:rsid w:val="004D7F88"/>
    <w:pPr>
      <w:tabs>
        <w:tab w:val="left" w:pos="-720"/>
      </w:tabs>
      <w:suppressAutoHyphens/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D7F88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4D7F88"/>
    <w:pPr>
      <w:tabs>
        <w:tab w:val="left" w:pos="-720"/>
      </w:tabs>
      <w:suppressAutoHyphens/>
      <w:spacing w:line="360" w:lineRule="auto"/>
      <w:jc w:val="right"/>
    </w:pPr>
    <w:rPr>
      <w:spacing w:val="-3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D7F88"/>
    <w:rPr>
      <w:rFonts w:ascii="Arial" w:eastAsia="Times New Roman" w:hAnsi="Arial" w:cs="Times New Roman"/>
      <w:spacing w:val="-3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Miriam Cristina Rivero</cp:lastModifiedBy>
  <cp:revision>2</cp:revision>
  <cp:lastPrinted>2018-03-14T15:45:00Z</cp:lastPrinted>
  <dcterms:created xsi:type="dcterms:W3CDTF">2018-03-14T15:46:00Z</dcterms:created>
  <dcterms:modified xsi:type="dcterms:W3CDTF">2018-03-14T15:46:00Z</dcterms:modified>
</cp:coreProperties>
</file>