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02" w:rsidRPr="00786EEB" w:rsidRDefault="005E7902" w:rsidP="00786EEB">
      <w:pPr>
        <w:tabs>
          <w:tab w:val="center" w:pos="4253"/>
        </w:tabs>
        <w:suppressAutoHyphens/>
        <w:jc w:val="right"/>
        <w:rPr>
          <w:rFonts w:ascii="Arial" w:hAnsi="Arial" w:cs="Arial"/>
          <w:b/>
          <w:sz w:val="28"/>
          <w:szCs w:val="28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ES_tradnl"/>
        </w:rPr>
        <w:t>RES. 829/18</w:t>
      </w:r>
    </w:p>
    <w:p w:rsidR="005E7902" w:rsidRDefault="005E7902" w:rsidP="00786EEB">
      <w:pPr>
        <w:tabs>
          <w:tab w:val="center" w:pos="4253"/>
        </w:tabs>
        <w:suppressAutoHyphens/>
        <w:jc w:val="right"/>
        <w:rPr>
          <w:rFonts w:ascii="Arial" w:hAnsi="Arial" w:cs="Arial"/>
          <w:b/>
          <w:lang w:val="es-ES_tradnl"/>
        </w:rPr>
      </w:pPr>
    </w:p>
    <w:p w:rsidR="005E7902" w:rsidRPr="005E7902" w:rsidRDefault="005E7902" w:rsidP="005E7902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E7902">
        <w:rPr>
          <w:rFonts w:ascii="Arial" w:hAnsi="Arial" w:cs="Arial"/>
          <w:b/>
          <w:sz w:val="24"/>
          <w:szCs w:val="24"/>
          <w:lang w:val="es-ES_tradnl"/>
        </w:rPr>
        <w:t>RESOLUCION ADOPTADA POR EL</w:t>
      </w:r>
    </w:p>
    <w:p w:rsidR="005E7902" w:rsidRPr="005E7902" w:rsidRDefault="005E7902" w:rsidP="005E7902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5E7902" w:rsidRPr="005E7902" w:rsidRDefault="005E7902" w:rsidP="005E7902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E7902">
        <w:rPr>
          <w:rFonts w:ascii="Arial" w:hAnsi="Arial" w:cs="Arial"/>
          <w:b/>
          <w:sz w:val="24"/>
          <w:szCs w:val="24"/>
          <w:lang w:val="es-ES_tradnl"/>
        </w:rPr>
        <w:t>TRIBUNAL DE CUENTAS</w:t>
      </w:r>
    </w:p>
    <w:p w:rsidR="005E7902" w:rsidRPr="005E7902" w:rsidRDefault="005E7902" w:rsidP="005E7902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5E7902" w:rsidRPr="005E7902" w:rsidRDefault="005E7902" w:rsidP="005E7902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E7902">
        <w:rPr>
          <w:rFonts w:ascii="Arial" w:hAnsi="Arial" w:cs="Arial"/>
          <w:b/>
          <w:sz w:val="24"/>
          <w:szCs w:val="24"/>
          <w:lang w:val="es-ES_tradnl"/>
        </w:rPr>
        <w:t xml:space="preserve">EN SESION DE FECHA </w:t>
      </w:r>
      <w:r w:rsidR="00FE09A1">
        <w:rPr>
          <w:rFonts w:ascii="Arial" w:hAnsi="Arial" w:cs="Arial"/>
          <w:b/>
          <w:sz w:val="24"/>
          <w:szCs w:val="24"/>
          <w:lang w:val="es-ES_tradnl"/>
        </w:rPr>
        <w:t>07</w:t>
      </w:r>
      <w:r w:rsidRPr="005E7902">
        <w:rPr>
          <w:rFonts w:ascii="Arial" w:hAnsi="Arial" w:cs="Arial"/>
          <w:b/>
          <w:sz w:val="24"/>
          <w:szCs w:val="24"/>
          <w:lang w:val="es-ES_tradnl"/>
        </w:rPr>
        <w:t xml:space="preserve"> DE </w:t>
      </w:r>
      <w:r w:rsidR="00FE09A1">
        <w:rPr>
          <w:rFonts w:ascii="Arial" w:hAnsi="Arial" w:cs="Arial"/>
          <w:b/>
          <w:sz w:val="24"/>
          <w:szCs w:val="24"/>
          <w:lang w:val="es-ES_tradnl"/>
        </w:rPr>
        <w:t>MARZ</w:t>
      </w:r>
      <w:r w:rsidRPr="005E7902">
        <w:rPr>
          <w:rFonts w:ascii="Arial" w:hAnsi="Arial" w:cs="Arial"/>
          <w:b/>
          <w:sz w:val="24"/>
          <w:szCs w:val="24"/>
          <w:lang w:val="es-ES_tradnl"/>
        </w:rPr>
        <w:t xml:space="preserve">O </w:t>
      </w:r>
      <w:r w:rsidRPr="005E7902">
        <w:rPr>
          <w:rFonts w:ascii="Helvetica" w:hAnsi="Helvetica"/>
          <w:b/>
          <w:sz w:val="24"/>
          <w:szCs w:val="24"/>
          <w:lang w:val="es-ES_tradnl"/>
        </w:rPr>
        <w:t>DE 2018</w:t>
      </w:r>
    </w:p>
    <w:p w:rsidR="005E7902" w:rsidRPr="005E7902" w:rsidRDefault="005E7902" w:rsidP="005E7902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5E7902" w:rsidRPr="00FE09A1" w:rsidRDefault="005E7902" w:rsidP="005E7902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09A1">
        <w:rPr>
          <w:rFonts w:ascii="Arial" w:hAnsi="Arial" w:cs="Arial"/>
          <w:b/>
          <w:sz w:val="24"/>
          <w:szCs w:val="24"/>
        </w:rPr>
        <w:t xml:space="preserve">(E. E. Nº 2018-17-1-0000432, </w:t>
      </w:r>
      <w:proofErr w:type="spellStart"/>
      <w:r w:rsidRPr="00FE09A1">
        <w:rPr>
          <w:rFonts w:ascii="Arial" w:hAnsi="Arial" w:cs="Arial"/>
          <w:b/>
          <w:sz w:val="24"/>
          <w:szCs w:val="24"/>
        </w:rPr>
        <w:t>Ent</w:t>
      </w:r>
      <w:proofErr w:type="spellEnd"/>
      <w:r w:rsidRPr="00FE09A1">
        <w:rPr>
          <w:rFonts w:ascii="Arial" w:hAnsi="Arial" w:cs="Arial"/>
          <w:b/>
          <w:sz w:val="24"/>
          <w:szCs w:val="24"/>
        </w:rPr>
        <w:t>. N° 351/18)</w:t>
      </w:r>
    </w:p>
    <w:p w:rsidR="00B36419" w:rsidRDefault="00B36419" w:rsidP="00B364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36419" w:rsidRDefault="00B36419" w:rsidP="005E79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6A6F">
        <w:rPr>
          <w:rFonts w:ascii="Arial" w:hAnsi="Arial" w:cs="Arial"/>
          <w:b/>
          <w:sz w:val="24"/>
          <w:szCs w:val="24"/>
        </w:rPr>
        <w:t>VISTO:</w:t>
      </w:r>
      <w:r>
        <w:rPr>
          <w:rFonts w:ascii="Arial" w:hAnsi="Arial" w:cs="Arial"/>
          <w:sz w:val="24"/>
          <w:szCs w:val="24"/>
        </w:rPr>
        <w:t xml:space="preserve"> las actuaciones remitidas por la Universidad de la Republica- Hospital de </w:t>
      </w:r>
      <w:r w:rsidR="00A44A19">
        <w:rPr>
          <w:rFonts w:ascii="Arial" w:hAnsi="Arial" w:cs="Arial"/>
          <w:sz w:val="24"/>
          <w:szCs w:val="24"/>
        </w:rPr>
        <w:t>Clínicas</w:t>
      </w:r>
      <w:r>
        <w:rPr>
          <w:rFonts w:ascii="Arial" w:hAnsi="Arial" w:cs="Arial"/>
          <w:sz w:val="24"/>
          <w:szCs w:val="24"/>
        </w:rPr>
        <w:t>, relacionadas con la Licitación Abreviada 250/17, para la    Concesión</w:t>
      </w:r>
      <w:r w:rsidR="001F68FE">
        <w:rPr>
          <w:rFonts w:ascii="Arial" w:hAnsi="Arial" w:cs="Arial"/>
          <w:sz w:val="24"/>
          <w:szCs w:val="24"/>
        </w:rPr>
        <w:t xml:space="preserve"> de tres </w:t>
      </w:r>
      <w:r>
        <w:rPr>
          <w:rFonts w:ascii="Arial" w:hAnsi="Arial" w:cs="Arial"/>
          <w:sz w:val="24"/>
          <w:szCs w:val="24"/>
        </w:rPr>
        <w:t xml:space="preserve"> Locales Comerciales </w:t>
      </w:r>
      <w:r w:rsidR="00BF6A6F">
        <w:rPr>
          <w:rFonts w:ascii="Arial" w:hAnsi="Arial" w:cs="Arial"/>
          <w:sz w:val="24"/>
          <w:szCs w:val="24"/>
        </w:rPr>
        <w:t xml:space="preserve">en  el </w:t>
      </w:r>
      <w:r>
        <w:rPr>
          <w:rFonts w:ascii="Arial" w:hAnsi="Arial" w:cs="Arial"/>
          <w:sz w:val="24"/>
          <w:szCs w:val="24"/>
        </w:rPr>
        <w:t xml:space="preserve">Pórtico </w:t>
      </w:r>
      <w:r w:rsidR="00BF6A6F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>Hospital de Clínicas</w:t>
      </w:r>
      <w:r w:rsidR="00BF6A6F">
        <w:rPr>
          <w:rFonts w:ascii="Arial" w:hAnsi="Arial" w:cs="Arial"/>
          <w:sz w:val="24"/>
          <w:szCs w:val="24"/>
        </w:rPr>
        <w:t xml:space="preserve">; </w:t>
      </w:r>
    </w:p>
    <w:p w:rsidR="005E7902" w:rsidRDefault="00B36419" w:rsidP="005E79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65C2">
        <w:rPr>
          <w:rFonts w:ascii="Arial" w:hAnsi="Arial" w:cs="Arial"/>
          <w:b/>
          <w:sz w:val="24"/>
          <w:szCs w:val="24"/>
        </w:rPr>
        <w:t>RESULTANDO: 1)</w:t>
      </w:r>
      <w:r>
        <w:rPr>
          <w:rFonts w:ascii="Arial" w:hAnsi="Arial" w:cs="Arial"/>
          <w:sz w:val="24"/>
          <w:szCs w:val="24"/>
        </w:rPr>
        <w:t xml:space="preserve"> que cumplidos los </w:t>
      </w:r>
      <w:r w:rsidR="00A44A19">
        <w:rPr>
          <w:rFonts w:ascii="Arial" w:hAnsi="Arial" w:cs="Arial"/>
          <w:sz w:val="24"/>
          <w:szCs w:val="24"/>
        </w:rPr>
        <w:t>trámites</w:t>
      </w:r>
      <w:r>
        <w:rPr>
          <w:rFonts w:ascii="Arial" w:hAnsi="Arial" w:cs="Arial"/>
          <w:sz w:val="24"/>
          <w:szCs w:val="24"/>
        </w:rPr>
        <w:t xml:space="preserve"> legales </w:t>
      </w:r>
      <w:r w:rsidR="00BF6A6F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>acto de apertura</w:t>
      </w:r>
      <w:r w:rsidR="00BF6A6F">
        <w:rPr>
          <w:rFonts w:ascii="Arial" w:hAnsi="Arial" w:cs="Arial"/>
          <w:sz w:val="24"/>
          <w:szCs w:val="24"/>
        </w:rPr>
        <w:t xml:space="preserve"> de fecha  6.10.17, </w:t>
      </w:r>
      <w:r>
        <w:rPr>
          <w:rFonts w:ascii="Arial" w:hAnsi="Arial" w:cs="Arial"/>
          <w:sz w:val="24"/>
          <w:szCs w:val="24"/>
        </w:rPr>
        <w:t xml:space="preserve"> </w:t>
      </w:r>
      <w:r w:rsidR="00BF6A6F">
        <w:rPr>
          <w:rFonts w:ascii="Arial" w:hAnsi="Arial" w:cs="Arial"/>
          <w:sz w:val="24"/>
          <w:szCs w:val="24"/>
        </w:rPr>
        <w:t xml:space="preserve">se presentaron: </w:t>
      </w:r>
      <w:r>
        <w:rPr>
          <w:rFonts w:ascii="Arial" w:hAnsi="Arial" w:cs="Arial"/>
          <w:sz w:val="24"/>
          <w:szCs w:val="24"/>
        </w:rPr>
        <w:t>MEDI-IMPORT, CUADRADO LIBROS MEDICOS y SALON VETRALE LIMITADA;</w:t>
      </w:r>
    </w:p>
    <w:p w:rsidR="005E7902" w:rsidRDefault="00B36419" w:rsidP="005E7902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E65C2"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DE62AC">
        <w:rPr>
          <w:rFonts w:ascii="Arial" w:hAnsi="Arial" w:cs="Arial"/>
          <w:sz w:val="24"/>
          <w:szCs w:val="24"/>
        </w:rPr>
        <w:t>que del informe técnico de fecha 11.10.2017 surge que las tres ofertas cumplen con los requisitos referidos a las piezas de anteproyecto de instalaciones, del Pliego Particular;</w:t>
      </w:r>
    </w:p>
    <w:p w:rsidR="005E7902" w:rsidRDefault="00DE62AC" w:rsidP="005E7902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3) </w:t>
      </w:r>
      <w:r w:rsidR="00B36419">
        <w:rPr>
          <w:rFonts w:ascii="Arial" w:hAnsi="Arial" w:cs="Arial"/>
          <w:sz w:val="24"/>
          <w:szCs w:val="24"/>
        </w:rPr>
        <w:t xml:space="preserve">que </w:t>
      </w:r>
      <w:r w:rsidR="00CE65C2">
        <w:rPr>
          <w:rFonts w:ascii="Arial" w:hAnsi="Arial" w:cs="Arial"/>
          <w:sz w:val="24"/>
          <w:szCs w:val="24"/>
        </w:rPr>
        <w:t xml:space="preserve">la Comisión Asesora en su informe de fecha 9.11.17, ponderando el informe técnico  sugiere lo siguiente: </w:t>
      </w:r>
    </w:p>
    <w:p w:rsidR="005E7902" w:rsidRDefault="005E7902" w:rsidP="005E7902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E65C2" w:rsidRPr="00CE65C2">
        <w:rPr>
          <w:rFonts w:ascii="Arial" w:hAnsi="Arial" w:cs="Arial"/>
          <w:b/>
          <w:sz w:val="24"/>
          <w:szCs w:val="24"/>
        </w:rPr>
        <w:t>.1)</w:t>
      </w:r>
      <w:r w:rsidR="00CE65C2">
        <w:rPr>
          <w:rFonts w:ascii="Arial" w:hAnsi="Arial" w:cs="Arial"/>
          <w:sz w:val="24"/>
          <w:szCs w:val="24"/>
        </w:rPr>
        <w:t xml:space="preserve"> </w:t>
      </w:r>
      <w:r w:rsidR="00CE65C2" w:rsidRPr="000F1516">
        <w:rPr>
          <w:rFonts w:ascii="Arial" w:hAnsi="Arial" w:cs="Arial"/>
          <w:b/>
          <w:sz w:val="24"/>
          <w:szCs w:val="24"/>
        </w:rPr>
        <w:t>LOCAL 1:</w:t>
      </w:r>
      <w:r w:rsidR="00CE65C2">
        <w:rPr>
          <w:rFonts w:ascii="Arial" w:hAnsi="Arial" w:cs="Arial"/>
          <w:sz w:val="24"/>
          <w:szCs w:val="24"/>
        </w:rPr>
        <w:t xml:space="preserve"> el único oferente presentado  Cuadrado Libros Méd</w:t>
      </w:r>
      <w:r>
        <w:rPr>
          <w:rFonts w:ascii="Arial" w:hAnsi="Arial" w:cs="Arial"/>
          <w:sz w:val="24"/>
          <w:szCs w:val="24"/>
        </w:rPr>
        <w:t>icos, no ha dado cumplimiento con el A</w:t>
      </w:r>
      <w:r w:rsidR="00DE62AC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ículo 13</w:t>
      </w:r>
      <w:r w:rsidR="00DE62AC">
        <w:rPr>
          <w:rFonts w:ascii="Arial" w:hAnsi="Arial" w:cs="Arial"/>
          <w:sz w:val="24"/>
          <w:szCs w:val="24"/>
        </w:rPr>
        <w:t xml:space="preserve"> Numera</w:t>
      </w:r>
      <w:r w:rsidR="00CE65C2">
        <w:rPr>
          <w:rFonts w:ascii="Arial" w:hAnsi="Arial" w:cs="Arial"/>
          <w:sz w:val="24"/>
          <w:szCs w:val="24"/>
        </w:rPr>
        <w:t>l</w:t>
      </w:r>
      <w:r w:rsidR="00DE62AC">
        <w:rPr>
          <w:rFonts w:ascii="Arial" w:hAnsi="Arial" w:cs="Arial"/>
          <w:sz w:val="24"/>
          <w:szCs w:val="24"/>
        </w:rPr>
        <w:t xml:space="preserve"> 1 del P</w:t>
      </w:r>
      <w:r w:rsidR="00CE65C2">
        <w:rPr>
          <w:rFonts w:ascii="Arial" w:hAnsi="Arial" w:cs="Arial"/>
          <w:sz w:val="24"/>
          <w:szCs w:val="24"/>
        </w:rPr>
        <w:t>liego</w:t>
      </w:r>
      <w:r w:rsidR="00DE62AC">
        <w:rPr>
          <w:rFonts w:ascii="Arial" w:hAnsi="Arial" w:cs="Arial"/>
          <w:sz w:val="24"/>
          <w:szCs w:val="24"/>
        </w:rPr>
        <w:t xml:space="preserve">, </w:t>
      </w:r>
      <w:r w:rsidR="00CE65C2">
        <w:rPr>
          <w:rFonts w:ascii="Arial" w:hAnsi="Arial" w:cs="Arial"/>
          <w:sz w:val="24"/>
          <w:szCs w:val="24"/>
        </w:rPr>
        <w:t>al no presentar un fiador solidario como garantía del fiel cumplimiento del contrato, por lo cual no se admite su oferta. En virtud de ello, aconseja realizar compra directa con las bases y especifica</w:t>
      </w:r>
      <w:r>
        <w:rPr>
          <w:rFonts w:ascii="Arial" w:hAnsi="Arial" w:cs="Arial"/>
          <w:sz w:val="24"/>
          <w:szCs w:val="24"/>
        </w:rPr>
        <w:t>ciones idénticas a las de esta Licitación Abreviada;</w:t>
      </w:r>
    </w:p>
    <w:p w:rsidR="005E7902" w:rsidRDefault="005E7902" w:rsidP="005E7902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E65C2" w:rsidRPr="00CE65C2">
        <w:rPr>
          <w:rFonts w:ascii="Arial" w:hAnsi="Arial" w:cs="Arial"/>
          <w:b/>
          <w:sz w:val="24"/>
          <w:szCs w:val="24"/>
        </w:rPr>
        <w:t>.2) LOCAL 2:</w:t>
      </w:r>
      <w:r w:rsidR="00CE65C2">
        <w:rPr>
          <w:rFonts w:ascii="Arial" w:hAnsi="Arial" w:cs="Arial"/>
          <w:sz w:val="24"/>
          <w:szCs w:val="24"/>
        </w:rPr>
        <w:t xml:space="preserve"> adjudicar a la firma Medi Import, p</w:t>
      </w:r>
      <w:r w:rsidR="00BF0688">
        <w:rPr>
          <w:rFonts w:ascii="Arial" w:hAnsi="Arial" w:cs="Arial"/>
          <w:sz w:val="24"/>
          <w:szCs w:val="24"/>
        </w:rPr>
        <w:t>or cumplir todos los requi</w:t>
      </w:r>
      <w:r w:rsidR="00DE62AC">
        <w:rPr>
          <w:rFonts w:ascii="Arial" w:hAnsi="Arial" w:cs="Arial"/>
          <w:sz w:val="24"/>
          <w:szCs w:val="24"/>
        </w:rPr>
        <w:t>sitos por un canon mensual de  $</w:t>
      </w:r>
      <w:r>
        <w:rPr>
          <w:rFonts w:ascii="Arial" w:hAnsi="Arial" w:cs="Arial"/>
          <w:sz w:val="24"/>
          <w:szCs w:val="24"/>
        </w:rPr>
        <w:t xml:space="preserve"> </w:t>
      </w:r>
      <w:r w:rsidR="00BF0688">
        <w:rPr>
          <w:rFonts w:ascii="Arial" w:hAnsi="Arial" w:cs="Arial"/>
          <w:sz w:val="24"/>
          <w:szCs w:val="24"/>
        </w:rPr>
        <w:t xml:space="preserve">45.000, reajustables semestralmente por la </w:t>
      </w:r>
      <w:r>
        <w:rPr>
          <w:rFonts w:ascii="Arial" w:hAnsi="Arial" w:cs="Arial"/>
          <w:sz w:val="24"/>
          <w:szCs w:val="24"/>
        </w:rPr>
        <w:t>variación de la unidad indexada;</w:t>
      </w:r>
    </w:p>
    <w:p w:rsidR="005E7902" w:rsidRDefault="005E7902" w:rsidP="005E7902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CE65C2" w:rsidRPr="00CE65C2">
        <w:rPr>
          <w:rFonts w:ascii="Arial" w:hAnsi="Arial" w:cs="Arial"/>
          <w:b/>
          <w:sz w:val="24"/>
          <w:szCs w:val="24"/>
        </w:rPr>
        <w:t>.3) LOCAL 3:</w:t>
      </w:r>
      <w:r w:rsidR="00CE65C2">
        <w:rPr>
          <w:rFonts w:ascii="Arial" w:hAnsi="Arial" w:cs="Arial"/>
          <w:sz w:val="24"/>
          <w:szCs w:val="24"/>
        </w:rPr>
        <w:t xml:space="preserve"> a la firma Salón </w:t>
      </w:r>
      <w:proofErr w:type="spellStart"/>
      <w:r w:rsidR="00CE65C2">
        <w:rPr>
          <w:rFonts w:ascii="Arial" w:hAnsi="Arial" w:cs="Arial"/>
          <w:sz w:val="24"/>
          <w:szCs w:val="24"/>
        </w:rPr>
        <w:t>Vetrale</w:t>
      </w:r>
      <w:proofErr w:type="spellEnd"/>
      <w:r w:rsidR="00CE65C2">
        <w:rPr>
          <w:rFonts w:ascii="Arial" w:hAnsi="Arial" w:cs="Arial"/>
          <w:sz w:val="24"/>
          <w:szCs w:val="24"/>
        </w:rPr>
        <w:t xml:space="preserve"> Ltda</w:t>
      </w:r>
      <w:r>
        <w:rPr>
          <w:rFonts w:ascii="Arial" w:hAnsi="Arial" w:cs="Arial"/>
          <w:sz w:val="24"/>
          <w:szCs w:val="24"/>
        </w:rPr>
        <w:t>.</w:t>
      </w:r>
      <w:r w:rsidR="00CE65C2">
        <w:rPr>
          <w:rFonts w:ascii="Arial" w:hAnsi="Arial" w:cs="Arial"/>
          <w:sz w:val="24"/>
          <w:szCs w:val="24"/>
        </w:rPr>
        <w:t>, p</w:t>
      </w:r>
      <w:r w:rsidR="00BF0688">
        <w:rPr>
          <w:rFonts w:ascii="Arial" w:hAnsi="Arial" w:cs="Arial"/>
          <w:sz w:val="24"/>
          <w:szCs w:val="24"/>
        </w:rPr>
        <w:t>or cumplir todos los requisitos,</w:t>
      </w:r>
      <w:r w:rsidR="00CE65C2">
        <w:rPr>
          <w:rFonts w:ascii="Arial" w:hAnsi="Arial" w:cs="Arial"/>
          <w:sz w:val="24"/>
          <w:szCs w:val="24"/>
        </w:rPr>
        <w:t xml:space="preserve"> </w:t>
      </w:r>
      <w:r w:rsidR="00BF0688">
        <w:rPr>
          <w:rFonts w:ascii="Arial" w:hAnsi="Arial" w:cs="Arial"/>
          <w:sz w:val="24"/>
          <w:szCs w:val="24"/>
        </w:rPr>
        <w:t>por un canon mensual de  $ 68.000, reajustables semestralmente por la variación de la unidad indexada</w:t>
      </w:r>
      <w:r>
        <w:rPr>
          <w:rFonts w:ascii="Arial" w:hAnsi="Arial" w:cs="Arial"/>
          <w:sz w:val="24"/>
          <w:szCs w:val="24"/>
        </w:rPr>
        <w:t>;</w:t>
      </w:r>
    </w:p>
    <w:p w:rsidR="005E7902" w:rsidRDefault="00DE62AC" w:rsidP="005E7902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E62AC">
        <w:rPr>
          <w:rFonts w:ascii="Arial" w:hAnsi="Arial" w:cs="Arial"/>
          <w:b/>
          <w:sz w:val="24"/>
          <w:szCs w:val="24"/>
        </w:rPr>
        <w:t>4</w:t>
      </w:r>
      <w:r w:rsidR="00CE65C2" w:rsidRPr="00CE65C2">
        <w:rPr>
          <w:rFonts w:ascii="Arial" w:hAnsi="Arial" w:cs="Arial"/>
          <w:b/>
          <w:sz w:val="24"/>
          <w:szCs w:val="24"/>
        </w:rPr>
        <w:t>)</w:t>
      </w:r>
      <w:r w:rsidR="00CE65C2">
        <w:rPr>
          <w:rFonts w:ascii="Arial" w:hAnsi="Arial" w:cs="Arial"/>
          <w:sz w:val="24"/>
          <w:szCs w:val="24"/>
        </w:rPr>
        <w:t xml:space="preserve"> que cabe señalar que los adjudicatarios fueron los únicos oferentes para cada uno de los locales mencionados;</w:t>
      </w:r>
    </w:p>
    <w:p w:rsidR="00CE65C2" w:rsidRDefault="00DE62AC" w:rsidP="005E7902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CE65C2" w:rsidRPr="00CE65C2">
        <w:rPr>
          <w:rFonts w:ascii="Arial" w:hAnsi="Arial" w:cs="Arial"/>
          <w:b/>
          <w:sz w:val="24"/>
          <w:szCs w:val="24"/>
        </w:rPr>
        <w:t>)</w:t>
      </w:r>
      <w:r w:rsidR="00CE65C2">
        <w:rPr>
          <w:rFonts w:ascii="Arial" w:hAnsi="Arial" w:cs="Arial"/>
          <w:sz w:val="24"/>
          <w:szCs w:val="24"/>
        </w:rPr>
        <w:t xml:space="preserve"> que no consta Resolución </w:t>
      </w:r>
      <w:r>
        <w:rPr>
          <w:rFonts w:ascii="Arial" w:hAnsi="Arial" w:cs="Arial"/>
          <w:sz w:val="24"/>
          <w:szCs w:val="24"/>
        </w:rPr>
        <w:t xml:space="preserve">disponiendo la </w:t>
      </w:r>
      <w:r w:rsidR="00CE65C2">
        <w:rPr>
          <w:rFonts w:ascii="Arial" w:hAnsi="Arial" w:cs="Arial"/>
          <w:sz w:val="24"/>
          <w:szCs w:val="24"/>
        </w:rPr>
        <w:t xml:space="preserve"> adjudicación</w:t>
      </w:r>
      <w:r>
        <w:rPr>
          <w:rFonts w:ascii="Arial" w:hAnsi="Arial" w:cs="Arial"/>
          <w:sz w:val="24"/>
          <w:szCs w:val="24"/>
        </w:rPr>
        <w:t xml:space="preserve"> de los locales así como</w:t>
      </w:r>
      <w:r w:rsidR="005E7902">
        <w:rPr>
          <w:rFonts w:ascii="Arial" w:hAnsi="Arial" w:cs="Arial"/>
          <w:sz w:val="24"/>
          <w:szCs w:val="24"/>
        </w:rPr>
        <w:t xml:space="preserve"> la contratación al amparo del Artículo 33 L</w:t>
      </w:r>
      <w:r>
        <w:rPr>
          <w:rFonts w:ascii="Arial" w:hAnsi="Arial" w:cs="Arial"/>
          <w:sz w:val="24"/>
          <w:szCs w:val="24"/>
        </w:rPr>
        <w:t>iteral 2) del local 1, por no haberse prese</w:t>
      </w:r>
      <w:r w:rsidR="004E0C4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tado ofertas válidas o admisibles para su adjudicación</w:t>
      </w:r>
      <w:r w:rsidR="00CE65C2">
        <w:rPr>
          <w:rFonts w:ascii="Arial" w:hAnsi="Arial" w:cs="Arial"/>
          <w:sz w:val="24"/>
          <w:szCs w:val="24"/>
        </w:rPr>
        <w:t>;</w:t>
      </w:r>
    </w:p>
    <w:p w:rsidR="005E7902" w:rsidRDefault="00CE65C2" w:rsidP="005E79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65C2">
        <w:rPr>
          <w:rFonts w:ascii="Arial" w:hAnsi="Arial" w:cs="Arial"/>
          <w:b/>
          <w:sz w:val="24"/>
          <w:szCs w:val="24"/>
        </w:rPr>
        <w:t>CONSIDERANDO:</w:t>
      </w:r>
      <w:r>
        <w:rPr>
          <w:rFonts w:ascii="Arial" w:hAnsi="Arial" w:cs="Arial"/>
          <w:sz w:val="24"/>
          <w:szCs w:val="24"/>
        </w:rPr>
        <w:t xml:space="preserve"> </w:t>
      </w:r>
      <w:r w:rsidRPr="002B03AE"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el procedimiento s</w:t>
      </w:r>
      <w:r w:rsidR="005E7902">
        <w:rPr>
          <w:rFonts w:ascii="Arial" w:hAnsi="Arial" w:cs="Arial"/>
          <w:sz w:val="24"/>
          <w:szCs w:val="24"/>
        </w:rPr>
        <w:t>e ajustó a lo dispuesto por el A</w:t>
      </w:r>
      <w:r>
        <w:rPr>
          <w:rFonts w:ascii="Arial" w:hAnsi="Arial" w:cs="Arial"/>
          <w:sz w:val="24"/>
          <w:szCs w:val="24"/>
        </w:rPr>
        <w:t>rt</w:t>
      </w:r>
      <w:r w:rsidR="005E7902">
        <w:rPr>
          <w:rFonts w:ascii="Arial" w:hAnsi="Arial" w:cs="Arial"/>
          <w:sz w:val="24"/>
          <w:szCs w:val="24"/>
        </w:rPr>
        <w:t>ículo 33 y siguientes del TOCAF;</w:t>
      </w:r>
    </w:p>
    <w:p w:rsidR="00CE65C2" w:rsidRDefault="00CE65C2" w:rsidP="005E7902">
      <w:pPr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F32AB5">
        <w:rPr>
          <w:rFonts w:ascii="Arial" w:hAnsi="Arial" w:cs="Arial"/>
          <w:b/>
          <w:sz w:val="24"/>
          <w:szCs w:val="24"/>
        </w:rPr>
        <w:t>2)</w:t>
      </w:r>
      <w:r w:rsidRPr="00F32AB5">
        <w:rPr>
          <w:rFonts w:ascii="Arial" w:hAnsi="Arial" w:cs="Arial"/>
          <w:sz w:val="24"/>
          <w:szCs w:val="24"/>
        </w:rPr>
        <w:t xml:space="preserve"> </w:t>
      </w:r>
      <w:r w:rsidR="00A44A19">
        <w:rPr>
          <w:rFonts w:ascii="Arial" w:hAnsi="Arial" w:cs="Arial"/>
          <w:sz w:val="24"/>
          <w:szCs w:val="24"/>
        </w:rPr>
        <w:t xml:space="preserve">que </w:t>
      </w:r>
      <w:r w:rsidR="005E7902">
        <w:rPr>
          <w:rFonts w:ascii="Arial" w:hAnsi="Arial" w:cs="Arial"/>
          <w:sz w:val="24"/>
          <w:szCs w:val="24"/>
        </w:rPr>
        <w:t>se dio cumplimiento con</w:t>
      </w:r>
      <w:r w:rsidRPr="00F32AB5">
        <w:rPr>
          <w:rFonts w:ascii="Arial" w:hAnsi="Arial" w:cs="Arial"/>
          <w:sz w:val="24"/>
          <w:szCs w:val="24"/>
        </w:rPr>
        <w:t xml:space="preserve"> la </w:t>
      </w:r>
      <w:r w:rsidR="00DE62AC">
        <w:rPr>
          <w:rFonts w:ascii="Arial" w:hAnsi="Arial" w:cs="Arial"/>
          <w:sz w:val="24"/>
          <w:szCs w:val="24"/>
        </w:rPr>
        <w:t>R</w:t>
      </w:r>
      <w:r w:rsidRPr="00F32AB5">
        <w:rPr>
          <w:rFonts w:ascii="Arial" w:hAnsi="Arial" w:cs="Arial"/>
          <w:sz w:val="24"/>
          <w:szCs w:val="24"/>
        </w:rPr>
        <w:t>esolución de este Tribunal de fecha 11/05/</w:t>
      </w:r>
      <w:r w:rsidR="005E7902">
        <w:rPr>
          <w:rFonts w:ascii="Arial" w:hAnsi="Arial" w:cs="Arial"/>
          <w:sz w:val="24"/>
          <w:szCs w:val="24"/>
        </w:rPr>
        <w:t>05, (la que fuera ampliada, en S</w:t>
      </w:r>
      <w:r w:rsidRPr="00F32AB5">
        <w:rPr>
          <w:rFonts w:ascii="Arial" w:hAnsi="Arial" w:cs="Arial"/>
          <w:sz w:val="24"/>
          <w:szCs w:val="24"/>
        </w:rPr>
        <w:t>esión de fecha 28 de</w:t>
      </w:r>
      <w:r w:rsidR="00DE62AC">
        <w:rPr>
          <w:rFonts w:ascii="Arial" w:hAnsi="Arial" w:cs="Arial"/>
          <w:sz w:val="24"/>
          <w:szCs w:val="24"/>
        </w:rPr>
        <w:t xml:space="preserve"> marzo 2007), que dispone que: l</w:t>
      </w:r>
      <w:r w:rsidRPr="00F32AB5">
        <w:rPr>
          <w:rFonts w:ascii="Arial" w:hAnsi="Arial" w:cs="Arial"/>
          <w:sz w:val="24"/>
          <w:szCs w:val="24"/>
        </w:rPr>
        <w:t>os organismos del Estado, previamente a aprobar, modificar o rescindir concesiones contractuales de obras o de servicios, deberán remitir los antecedentes a dictamen de este Tribunal, el cual tiene un plazo de 30 días hábiles para expedirse;</w:t>
      </w:r>
    </w:p>
    <w:p w:rsidR="00CE65C2" w:rsidRDefault="00CE65C2" w:rsidP="005E79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65C2">
        <w:rPr>
          <w:rFonts w:ascii="Arial" w:hAnsi="Arial" w:cs="Arial"/>
          <w:b/>
          <w:sz w:val="24"/>
          <w:szCs w:val="24"/>
        </w:rPr>
        <w:t>ATENTO:</w:t>
      </w:r>
      <w:r>
        <w:rPr>
          <w:rFonts w:ascii="Arial" w:hAnsi="Arial" w:cs="Arial"/>
          <w:sz w:val="24"/>
          <w:szCs w:val="24"/>
        </w:rPr>
        <w:t xml:space="preserve"> a lo expuesto precedent</w:t>
      </w:r>
      <w:r w:rsidR="005E7902">
        <w:rPr>
          <w:rFonts w:ascii="Arial" w:hAnsi="Arial" w:cs="Arial"/>
          <w:sz w:val="24"/>
          <w:szCs w:val="24"/>
        </w:rPr>
        <w:t>emente y a lo dispuesto por el A</w:t>
      </w:r>
      <w:r>
        <w:rPr>
          <w:rFonts w:ascii="Arial" w:hAnsi="Arial" w:cs="Arial"/>
          <w:sz w:val="24"/>
          <w:szCs w:val="24"/>
        </w:rPr>
        <w:t>rt</w:t>
      </w:r>
      <w:r w:rsidR="005E7902">
        <w:rPr>
          <w:rFonts w:ascii="Arial" w:hAnsi="Arial" w:cs="Arial"/>
          <w:sz w:val="24"/>
          <w:szCs w:val="24"/>
        </w:rPr>
        <w:t>ículo 211 L</w:t>
      </w:r>
      <w:r>
        <w:rPr>
          <w:rFonts w:ascii="Arial" w:hAnsi="Arial" w:cs="Arial"/>
          <w:sz w:val="24"/>
          <w:szCs w:val="24"/>
        </w:rPr>
        <w:t>it</w:t>
      </w:r>
      <w:r w:rsidR="005E7902">
        <w:rPr>
          <w:rFonts w:ascii="Arial" w:hAnsi="Arial" w:cs="Arial"/>
          <w:sz w:val="24"/>
          <w:szCs w:val="24"/>
        </w:rPr>
        <w:t>eral</w:t>
      </w:r>
      <w:r>
        <w:rPr>
          <w:rFonts w:ascii="Arial" w:hAnsi="Arial" w:cs="Arial"/>
          <w:sz w:val="24"/>
          <w:szCs w:val="24"/>
        </w:rPr>
        <w:t xml:space="preserve"> E) de la Constitución de la Republica;</w:t>
      </w:r>
    </w:p>
    <w:p w:rsidR="00CE65C2" w:rsidRDefault="00CE65C2" w:rsidP="00CE65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65C2">
        <w:rPr>
          <w:rFonts w:ascii="Arial" w:hAnsi="Arial" w:cs="Arial"/>
          <w:b/>
          <w:sz w:val="24"/>
          <w:szCs w:val="24"/>
        </w:rPr>
        <w:t>EL TRIBUNAL ACUERDA</w:t>
      </w:r>
    </w:p>
    <w:p w:rsidR="00CE65C2" w:rsidRPr="00EE6BE0" w:rsidRDefault="00CE65C2" w:rsidP="00EE6BE0">
      <w:pPr>
        <w:pStyle w:val="Prrafode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 vez dictada la Resolución definitiva, </w:t>
      </w:r>
      <w:r w:rsidR="00A44A19">
        <w:rPr>
          <w:rFonts w:ascii="Arial" w:hAnsi="Arial" w:cs="Arial"/>
          <w:sz w:val="24"/>
          <w:szCs w:val="24"/>
        </w:rPr>
        <w:t>cométase</w:t>
      </w:r>
      <w:r>
        <w:rPr>
          <w:rFonts w:ascii="Arial" w:hAnsi="Arial" w:cs="Arial"/>
          <w:sz w:val="24"/>
          <w:szCs w:val="24"/>
        </w:rPr>
        <w:t xml:space="preserve"> al Contador Delegado el control de la versión de lo recaudado por concepto de canon</w:t>
      </w:r>
      <w:r w:rsidR="00EE6BE0">
        <w:rPr>
          <w:rFonts w:ascii="Arial" w:hAnsi="Arial" w:cs="Arial"/>
          <w:sz w:val="24"/>
          <w:szCs w:val="24"/>
        </w:rPr>
        <w:t>, y de la realización del procedimiento a realizarse par</w:t>
      </w:r>
      <w:r w:rsidR="00DD6EDA">
        <w:rPr>
          <w:rFonts w:ascii="Arial" w:hAnsi="Arial" w:cs="Arial"/>
          <w:sz w:val="24"/>
          <w:szCs w:val="24"/>
        </w:rPr>
        <w:t>a la adjudicación del Local 1 (Artículo 33 N</w:t>
      </w:r>
      <w:r w:rsidR="00EE6BE0">
        <w:rPr>
          <w:rFonts w:ascii="Arial" w:hAnsi="Arial" w:cs="Arial"/>
          <w:sz w:val="24"/>
          <w:szCs w:val="24"/>
        </w:rPr>
        <w:t>umeral 2) del TOCAF) deberán remitirse oportunamente las actuaciones a efectos del control q</w:t>
      </w:r>
      <w:r w:rsidR="00DD6EDA">
        <w:rPr>
          <w:rFonts w:ascii="Arial" w:hAnsi="Arial" w:cs="Arial"/>
          <w:sz w:val="24"/>
          <w:szCs w:val="24"/>
        </w:rPr>
        <w:t>ue a este Tribunal le compete;</w:t>
      </w:r>
      <w:r w:rsidR="00EE6BE0">
        <w:rPr>
          <w:rFonts w:ascii="Arial" w:hAnsi="Arial" w:cs="Arial"/>
          <w:sz w:val="24"/>
          <w:szCs w:val="24"/>
        </w:rPr>
        <w:t xml:space="preserve"> </w:t>
      </w:r>
    </w:p>
    <w:p w:rsidR="00EE6BE0" w:rsidRPr="00A44A19" w:rsidRDefault="00EE6BE0" w:rsidP="00EE6BE0">
      <w:pPr>
        <w:pStyle w:val="Prrafode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 al Contador Delegado</w:t>
      </w:r>
      <w:r w:rsidR="00DD6EDA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y </w:t>
      </w:r>
    </w:p>
    <w:p w:rsidR="00A44A19" w:rsidRDefault="00A44A19" w:rsidP="00EE6BE0">
      <w:pPr>
        <w:pStyle w:val="Prrafode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Devolver las actuaciones.</w:t>
      </w:r>
    </w:p>
    <w:p w:rsidR="00DD6EDA" w:rsidRDefault="00DD6EDA" w:rsidP="00DD6E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2E6" w:rsidRPr="007430D9" w:rsidRDefault="00DD6EDA" w:rsidP="00DD6EDA">
      <w:pPr>
        <w:spacing w:after="0" w:line="360" w:lineRule="auto"/>
        <w:ind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dc</w:t>
      </w:r>
      <w:proofErr w:type="gramEnd"/>
    </w:p>
    <w:sectPr w:rsidR="00B842E6" w:rsidRPr="007430D9" w:rsidSect="005E7902">
      <w:footerReference w:type="default" r:id="rId8"/>
      <w:pgSz w:w="11906" w:h="16838" w:code="9"/>
      <w:pgMar w:top="3119" w:right="1701" w:bottom="1701" w:left="170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DA" w:rsidRDefault="00DD6EDA" w:rsidP="00DD6EDA">
      <w:pPr>
        <w:spacing w:after="0" w:line="240" w:lineRule="auto"/>
      </w:pPr>
      <w:r>
        <w:separator/>
      </w:r>
    </w:p>
  </w:endnote>
  <w:endnote w:type="continuationSeparator" w:id="0">
    <w:p w:rsidR="00DD6EDA" w:rsidRDefault="00DD6EDA" w:rsidP="00DD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982754"/>
      <w:docPartObj>
        <w:docPartGallery w:val="Page Numbers (Bottom of Page)"/>
        <w:docPartUnique/>
      </w:docPartObj>
    </w:sdtPr>
    <w:sdtEndPr/>
    <w:sdtContent>
      <w:p w:rsidR="00DD6EDA" w:rsidRDefault="00DD6ED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A1" w:rsidRPr="00FE09A1">
          <w:rPr>
            <w:noProof/>
            <w:lang w:val="es-ES"/>
          </w:rPr>
          <w:t>1</w:t>
        </w:r>
        <w:r>
          <w:fldChar w:fldCharType="end"/>
        </w:r>
      </w:p>
    </w:sdtContent>
  </w:sdt>
  <w:p w:rsidR="00DD6EDA" w:rsidRDefault="00DD6E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DA" w:rsidRDefault="00DD6EDA" w:rsidP="00DD6EDA">
      <w:pPr>
        <w:spacing w:after="0" w:line="240" w:lineRule="auto"/>
      </w:pPr>
      <w:r>
        <w:separator/>
      </w:r>
    </w:p>
  </w:footnote>
  <w:footnote w:type="continuationSeparator" w:id="0">
    <w:p w:rsidR="00DD6EDA" w:rsidRDefault="00DD6EDA" w:rsidP="00DD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E1C"/>
    <w:multiLevelType w:val="hybridMultilevel"/>
    <w:tmpl w:val="26109754"/>
    <w:lvl w:ilvl="0" w:tplc="0CC2B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A09F9"/>
    <w:multiLevelType w:val="hybridMultilevel"/>
    <w:tmpl w:val="CE2E6DC8"/>
    <w:lvl w:ilvl="0" w:tplc="3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D9"/>
    <w:rsid w:val="000E1723"/>
    <w:rsid w:val="000F1516"/>
    <w:rsid w:val="001F68FE"/>
    <w:rsid w:val="0024019A"/>
    <w:rsid w:val="002B03AE"/>
    <w:rsid w:val="00312788"/>
    <w:rsid w:val="00414587"/>
    <w:rsid w:val="004769B0"/>
    <w:rsid w:val="004E0C45"/>
    <w:rsid w:val="005378D4"/>
    <w:rsid w:val="005E7902"/>
    <w:rsid w:val="00670CE9"/>
    <w:rsid w:val="006E08EE"/>
    <w:rsid w:val="007430D9"/>
    <w:rsid w:val="00760882"/>
    <w:rsid w:val="00842B41"/>
    <w:rsid w:val="00962D83"/>
    <w:rsid w:val="00994842"/>
    <w:rsid w:val="00A44A19"/>
    <w:rsid w:val="00A640CC"/>
    <w:rsid w:val="00AD6C9C"/>
    <w:rsid w:val="00B36419"/>
    <w:rsid w:val="00B71AAE"/>
    <w:rsid w:val="00B842E6"/>
    <w:rsid w:val="00BC217D"/>
    <w:rsid w:val="00BF0688"/>
    <w:rsid w:val="00BF6A6F"/>
    <w:rsid w:val="00CE65C2"/>
    <w:rsid w:val="00CF5F64"/>
    <w:rsid w:val="00DD6EDA"/>
    <w:rsid w:val="00DE62AC"/>
    <w:rsid w:val="00EA3D05"/>
    <w:rsid w:val="00EE6BE0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65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6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EDA"/>
  </w:style>
  <w:style w:type="paragraph" w:styleId="Piedepgina">
    <w:name w:val="footer"/>
    <w:basedOn w:val="Normal"/>
    <w:link w:val="PiedepginaCar"/>
    <w:uiPriority w:val="99"/>
    <w:unhideWhenUsed/>
    <w:rsid w:val="00DD6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65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6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EDA"/>
  </w:style>
  <w:style w:type="paragraph" w:styleId="Piedepgina">
    <w:name w:val="footer"/>
    <w:basedOn w:val="Normal"/>
    <w:link w:val="PiedepginaCar"/>
    <w:uiPriority w:val="99"/>
    <w:unhideWhenUsed/>
    <w:rsid w:val="00DD6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Tribunal1</dc:creator>
  <cp:lastModifiedBy>Tribunal1</cp:lastModifiedBy>
  <cp:revision>2</cp:revision>
  <cp:lastPrinted>2018-03-08T15:40:00Z</cp:lastPrinted>
  <dcterms:created xsi:type="dcterms:W3CDTF">2018-04-17T18:12:00Z</dcterms:created>
  <dcterms:modified xsi:type="dcterms:W3CDTF">2018-04-17T18:12:00Z</dcterms:modified>
</cp:coreProperties>
</file>