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57" w:rsidRPr="00786EEB" w:rsidRDefault="000C3757" w:rsidP="00ED6474">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 xml:space="preserve">RES. </w:t>
      </w:r>
      <w:r w:rsidR="00584608">
        <w:rPr>
          <w:rFonts w:cs="Arial"/>
          <w:b/>
          <w:sz w:val="28"/>
          <w:szCs w:val="28"/>
          <w:lang w:val="es-ES_tradnl"/>
        </w:rPr>
        <w:t>4170</w:t>
      </w:r>
      <w:r>
        <w:rPr>
          <w:rFonts w:cs="Arial"/>
          <w:b/>
          <w:sz w:val="28"/>
          <w:szCs w:val="28"/>
          <w:lang w:val="es-ES_tradnl"/>
        </w:rPr>
        <w:t>/17</w:t>
      </w:r>
    </w:p>
    <w:p w:rsidR="000C3757" w:rsidRPr="00762B34" w:rsidRDefault="000C3757" w:rsidP="00ED6474">
      <w:pPr>
        <w:keepNext/>
        <w:widowControl w:val="0"/>
        <w:tabs>
          <w:tab w:val="center" w:pos="4253"/>
        </w:tabs>
        <w:jc w:val="center"/>
        <w:rPr>
          <w:rFonts w:cs="Arial"/>
          <w:b/>
          <w:lang w:val="es-ES_tradnl"/>
        </w:rPr>
      </w:pPr>
      <w:r w:rsidRPr="00762B34">
        <w:rPr>
          <w:rFonts w:cs="Arial"/>
          <w:b/>
          <w:lang w:val="es-ES_tradnl"/>
        </w:rPr>
        <w:t>RESOLUCION ADOPTADA POR EL</w:t>
      </w:r>
    </w:p>
    <w:p w:rsidR="000C3757" w:rsidRPr="00762B34" w:rsidRDefault="000C3757" w:rsidP="00ED6474">
      <w:pPr>
        <w:keepNext/>
        <w:widowControl w:val="0"/>
        <w:tabs>
          <w:tab w:val="center" w:pos="4253"/>
        </w:tabs>
        <w:jc w:val="center"/>
        <w:rPr>
          <w:rFonts w:cs="Arial"/>
          <w:b/>
          <w:lang w:val="es-ES_tradnl"/>
        </w:rPr>
      </w:pPr>
      <w:r w:rsidRPr="00762B34">
        <w:rPr>
          <w:rFonts w:cs="Arial"/>
          <w:b/>
          <w:lang w:val="es-ES_tradnl"/>
        </w:rPr>
        <w:t>TRIBUNAL DE CUENTAS</w:t>
      </w:r>
    </w:p>
    <w:p w:rsidR="000C3757" w:rsidRPr="00762B34" w:rsidRDefault="000C3757" w:rsidP="00ED6474">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13 DE DICIEMBRE </w:t>
      </w:r>
      <w:r>
        <w:rPr>
          <w:rFonts w:ascii="Helvetica" w:hAnsi="Helvetica"/>
          <w:b/>
          <w:lang w:val="es-ES_tradnl"/>
        </w:rPr>
        <w:t>DE 2017</w:t>
      </w:r>
    </w:p>
    <w:p w:rsidR="00584608" w:rsidRDefault="000C3757" w:rsidP="00ED6474">
      <w:pPr>
        <w:keepNext/>
        <w:widowControl w:val="0"/>
        <w:tabs>
          <w:tab w:val="center" w:pos="4253"/>
        </w:tabs>
        <w:jc w:val="center"/>
        <w:rPr>
          <w:rFonts w:cs="Arial"/>
          <w:b/>
        </w:rPr>
      </w:pPr>
      <w:r w:rsidRPr="000C3757">
        <w:rPr>
          <w:rFonts w:cs="Arial"/>
          <w:b/>
        </w:rPr>
        <w:t xml:space="preserve">(E. E. Nº </w:t>
      </w:r>
      <w:r w:rsidR="00584608">
        <w:rPr>
          <w:rFonts w:cs="Arial"/>
          <w:b/>
        </w:rPr>
        <w:t>2017-17-1-0002216</w:t>
      </w:r>
      <w:r w:rsidRPr="000C3757">
        <w:rPr>
          <w:rFonts w:cs="Arial"/>
          <w:b/>
        </w:rPr>
        <w:t xml:space="preserve">, </w:t>
      </w:r>
      <w:proofErr w:type="spellStart"/>
      <w:r w:rsidRPr="000C3757">
        <w:rPr>
          <w:rFonts w:cs="Arial"/>
          <w:b/>
        </w:rPr>
        <w:t>Ent</w:t>
      </w:r>
      <w:proofErr w:type="spellEnd"/>
      <w:r w:rsidRPr="000C3757">
        <w:rPr>
          <w:rFonts w:cs="Arial"/>
          <w:b/>
        </w:rPr>
        <w:t>. N°</w:t>
      </w:r>
      <w:r w:rsidR="00584608">
        <w:rPr>
          <w:rFonts w:cs="Arial"/>
          <w:b/>
        </w:rPr>
        <w:t xml:space="preserve"> 1774/17</w:t>
      </w:r>
      <w:r w:rsidRPr="000C3757">
        <w:rPr>
          <w:rFonts w:cs="Arial"/>
          <w:b/>
        </w:rPr>
        <w:t>)</w:t>
      </w:r>
    </w:p>
    <w:p w:rsidR="00584608" w:rsidRDefault="00F67716" w:rsidP="00ED6474">
      <w:pPr>
        <w:keepNext/>
        <w:widowControl w:val="0"/>
        <w:tabs>
          <w:tab w:val="center" w:pos="4253"/>
        </w:tabs>
        <w:spacing w:after="0" w:line="360" w:lineRule="auto"/>
        <w:ind w:firstLine="851"/>
        <w:rPr>
          <w:rFonts w:cs="Arial"/>
          <w:szCs w:val="24"/>
        </w:rPr>
      </w:pPr>
      <w:r w:rsidRPr="005E432D">
        <w:rPr>
          <w:rFonts w:cs="Arial"/>
          <w:b/>
          <w:szCs w:val="24"/>
        </w:rPr>
        <w:t>VISTO:</w:t>
      </w:r>
      <w:r w:rsidRPr="005E432D">
        <w:rPr>
          <w:rFonts w:cs="Arial"/>
          <w:szCs w:val="24"/>
        </w:rPr>
        <w:t xml:space="preserve"> que se han examinado los Estados Financieros Consolidados e Individuales de la Administración Nacional de Combustibles, Alcohol y Portland (ANCAP), que comprenden los Estado</w:t>
      </w:r>
      <w:r w:rsidR="00772ED7" w:rsidRPr="005E432D">
        <w:rPr>
          <w:rFonts w:cs="Arial"/>
          <w:szCs w:val="24"/>
        </w:rPr>
        <w:t>s</w:t>
      </w:r>
      <w:r w:rsidRPr="005E432D">
        <w:rPr>
          <w:rFonts w:cs="Arial"/>
          <w:szCs w:val="24"/>
        </w:rPr>
        <w:t xml:space="preserve"> de Situación Financiera al 31 de diciembre de 201</w:t>
      </w:r>
      <w:r w:rsidR="00FE4BDC" w:rsidRPr="005E432D">
        <w:rPr>
          <w:rFonts w:cs="Arial"/>
          <w:szCs w:val="24"/>
        </w:rPr>
        <w:t>6</w:t>
      </w:r>
      <w:r w:rsidRPr="005E432D">
        <w:rPr>
          <w:rFonts w:cs="Arial"/>
          <w:szCs w:val="24"/>
        </w:rPr>
        <w:t>, los correspondientes Estados de Resultados, de Pérdidas o Ganancias y Otros Resultados Integrales, de Cambios en el Patrimonio, y de Flujos de Efectivo, por el ejercicio anual finalizado en esa fecha, sus Anexos y las Notas Explicativas que los acompañan;</w:t>
      </w:r>
    </w:p>
    <w:p w:rsidR="00584608" w:rsidRDefault="00F67716" w:rsidP="00ED6474">
      <w:pPr>
        <w:keepNext/>
        <w:widowControl w:val="0"/>
        <w:tabs>
          <w:tab w:val="center" w:pos="4253"/>
        </w:tabs>
        <w:spacing w:after="0" w:line="360" w:lineRule="auto"/>
        <w:ind w:firstLine="851"/>
        <w:rPr>
          <w:rFonts w:cs="Arial"/>
          <w:szCs w:val="24"/>
        </w:rPr>
      </w:pPr>
      <w:r w:rsidRPr="005E432D">
        <w:rPr>
          <w:rFonts w:cs="Arial"/>
          <w:b/>
          <w:szCs w:val="24"/>
        </w:rPr>
        <w:t xml:space="preserve">RESULTANDO: </w:t>
      </w:r>
      <w:r w:rsidRPr="005E432D">
        <w:rPr>
          <w:rFonts w:cs="Arial"/>
          <w:szCs w:val="24"/>
        </w:rPr>
        <w:t>que el examen fue realizado de acuerdo con los Principios Fundamentales de Auditoría (ISSAI 100 y 200)</w:t>
      </w:r>
      <w:r w:rsidR="008A3B22">
        <w:rPr>
          <w:rFonts w:cs="Arial"/>
          <w:szCs w:val="24"/>
        </w:rPr>
        <w:t xml:space="preserve"> y las Directrices de Auditoría Financiera</w:t>
      </w:r>
      <w:r w:rsidRPr="005E432D">
        <w:rPr>
          <w:rFonts w:cs="Arial"/>
          <w:szCs w:val="24"/>
        </w:rPr>
        <w:t xml:space="preserve"> de la Organización Internacional de Entidades Fiscalizadoras Superiores (INTOSAI);</w:t>
      </w:r>
    </w:p>
    <w:p w:rsidR="00584608" w:rsidRDefault="00F67716" w:rsidP="00ED6474">
      <w:pPr>
        <w:keepNext/>
        <w:widowControl w:val="0"/>
        <w:tabs>
          <w:tab w:val="center" w:pos="4253"/>
        </w:tabs>
        <w:spacing w:after="0" w:line="360" w:lineRule="auto"/>
        <w:ind w:firstLine="851"/>
        <w:rPr>
          <w:rFonts w:cs="Arial"/>
          <w:szCs w:val="24"/>
        </w:rPr>
      </w:pPr>
      <w:r w:rsidRPr="005E432D">
        <w:rPr>
          <w:rFonts w:cs="Arial"/>
          <w:b/>
          <w:szCs w:val="24"/>
        </w:rPr>
        <w:tab/>
        <w:t>CONSIDERANDO:</w:t>
      </w:r>
      <w:r w:rsidRPr="005E432D">
        <w:rPr>
          <w:rFonts w:cs="Arial"/>
          <w:szCs w:val="24"/>
        </w:rPr>
        <w:t xml:space="preserve"> que las conclusiones y evidencias obtenidas son las que se expresan en el Informe de Auditoría, que incluye los Dictámenes y el Informe a la Administración;</w:t>
      </w:r>
    </w:p>
    <w:p w:rsidR="00584608" w:rsidRDefault="00F67716" w:rsidP="00ED6474">
      <w:pPr>
        <w:keepNext/>
        <w:widowControl w:val="0"/>
        <w:tabs>
          <w:tab w:val="center" w:pos="4253"/>
        </w:tabs>
        <w:spacing w:after="0" w:line="360" w:lineRule="auto"/>
        <w:ind w:firstLine="851"/>
        <w:rPr>
          <w:rFonts w:cs="Arial"/>
          <w:szCs w:val="24"/>
        </w:rPr>
      </w:pPr>
      <w:r w:rsidRPr="005E432D">
        <w:rPr>
          <w:rFonts w:cs="Arial"/>
          <w:b/>
          <w:szCs w:val="24"/>
        </w:rPr>
        <w:tab/>
        <w:t>ATENTO:</w:t>
      </w:r>
      <w:r w:rsidRPr="005E432D">
        <w:rPr>
          <w:rFonts w:cs="Arial"/>
          <w:szCs w:val="24"/>
        </w:rPr>
        <w:t xml:space="preserve"> a lo dispuesto por el Artículo 211 Literal C) de la Constitución de la República;</w:t>
      </w:r>
    </w:p>
    <w:p w:rsidR="00584608" w:rsidRDefault="00584608" w:rsidP="00ED6474">
      <w:pPr>
        <w:keepNext/>
        <w:widowControl w:val="0"/>
        <w:tabs>
          <w:tab w:val="center" w:pos="4253"/>
        </w:tabs>
        <w:spacing w:after="0" w:line="360" w:lineRule="auto"/>
        <w:ind w:firstLine="709"/>
        <w:rPr>
          <w:rFonts w:cs="Arial"/>
          <w:b/>
          <w:szCs w:val="24"/>
        </w:rPr>
      </w:pPr>
      <w:r>
        <w:rPr>
          <w:rFonts w:cs="Arial"/>
          <w:szCs w:val="24"/>
        </w:rPr>
        <w:t xml:space="preserve">                           </w:t>
      </w:r>
      <w:r w:rsidR="00F67716" w:rsidRPr="005E432D">
        <w:rPr>
          <w:rFonts w:cs="Arial"/>
          <w:b/>
          <w:szCs w:val="24"/>
        </w:rPr>
        <w:t>EL TRIBUNAL ACUERDA</w:t>
      </w:r>
    </w:p>
    <w:p w:rsidR="00584608" w:rsidRDefault="00584608" w:rsidP="00ED6474">
      <w:pPr>
        <w:keepNext/>
        <w:widowControl w:val="0"/>
        <w:tabs>
          <w:tab w:val="center" w:pos="4253"/>
        </w:tabs>
        <w:spacing w:after="0" w:line="360" w:lineRule="auto"/>
        <w:rPr>
          <w:rFonts w:cs="Arial"/>
          <w:szCs w:val="24"/>
        </w:rPr>
      </w:pPr>
      <w:r>
        <w:rPr>
          <w:rFonts w:cs="Arial"/>
          <w:b/>
          <w:szCs w:val="24"/>
        </w:rPr>
        <w:t xml:space="preserve">1)  </w:t>
      </w:r>
      <w:r w:rsidR="00F67716" w:rsidRPr="005E432D">
        <w:rPr>
          <w:rFonts w:cs="Arial"/>
          <w:szCs w:val="24"/>
        </w:rPr>
        <w:t>Expedirse en los términos del Informe de Auditoría que se adjunta;</w:t>
      </w:r>
    </w:p>
    <w:p w:rsidR="00F67716" w:rsidRDefault="00584608" w:rsidP="00ED6474">
      <w:pPr>
        <w:keepNext/>
        <w:widowControl w:val="0"/>
        <w:tabs>
          <w:tab w:val="center" w:pos="4253"/>
        </w:tabs>
        <w:spacing w:after="0" w:line="360" w:lineRule="auto"/>
        <w:ind w:left="426" w:hanging="426"/>
        <w:rPr>
          <w:rFonts w:cs="Arial"/>
          <w:szCs w:val="24"/>
        </w:rPr>
      </w:pPr>
      <w:r w:rsidRPr="00584608">
        <w:rPr>
          <w:rFonts w:cs="Arial"/>
          <w:b/>
          <w:szCs w:val="24"/>
        </w:rPr>
        <w:t>2)</w:t>
      </w:r>
      <w:r>
        <w:rPr>
          <w:rFonts w:cs="Arial"/>
          <w:szCs w:val="24"/>
        </w:rPr>
        <w:t xml:space="preserve"> </w:t>
      </w:r>
      <w:r w:rsidR="00F67716" w:rsidRPr="005E432D">
        <w:rPr>
          <w:rFonts w:cs="Arial"/>
          <w:szCs w:val="24"/>
        </w:rPr>
        <w:t>Señalar que la publicación de los Estados Financieros por parte del Organismo debe incluir el correspondiente Dictamen del Tribunal de Cuentas de acuerdo a lo dispuesto por el Artículo 1º de la Ley Nº 17.040;</w:t>
      </w:r>
    </w:p>
    <w:p w:rsidR="00ED6474" w:rsidRDefault="00ED6474" w:rsidP="00ED6474">
      <w:pPr>
        <w:keepNext/>
        <w:widowControl w:val="0"/>
        <w:tabs>
          <w:tab w:val="center" w:pos="4253"/>
        </w:tabs>
        <w:spacing w:after="0" w:line="360" w:lineRule="auto"/>
        <w:ind w:left="426" w:hanging="426"/>
        <w:rPr>
          <w:rFonts w:cs="Arial"/>
          <w:szCs w:val="24"/>
        </w:rPr>
      </w:pPr>
    </w:p>
    <w:p w:rsidR="00F67716" w:rsidRPr="005E432D" w:rsidRDefault="00584608" w:rsidP="00ED6474">
      <w:pPr>
        <w:pStyle w:val="Prrafodelista"/>
        <w:keepNext/>
        <w:widowControl w:val="0"/>
        <w:spacing w:after="0" w:line="360" w:lineRule="auto"/>
        <w:ind w:left="426" w:right="-136" w:hanging="426"/>
        <w:jc w:val="both"/>
        <w:rPr>
          <w:rFonts w:ascii="Arial" w:hAnsi="Arial" w:cs="Arial"/>
          <w:sz w:val="24"/>
          <w:szCs w:val="24"/>
        </w:rPr>
      </w:pPr>
      <w:r w:rsidRPr="00584608">
        <w:rPr>
          <w:rFonts w:ascii="Arial" w:hAnsi="Arial" w:cs="Arial"/>
          <w:b/>
          <w:sz w:val="24"/>
          <w:szCs w:val="24"/>
        </w:rPr>
        <w:lastRenderedPageBreak/>
        <w:t>3)</w:t>
      </w:r>
      <w:r>
        <w:rPr>
          <w:rFonts w:ascii="Arial" w:hAnsi="Arial" w:cs="Arial"/>
          <w:sz w:val="24"/>
          <w:szCs w:val="24"/>
        </w:rPr>
        <w:t xml:space="preserve"> </w:t>
      </w:r>
      <w:r w:rsidR="00F67716" w:rsidRPr="005E432D">
        <w:rPr>
          <w:rFonts w:ascii="Arial" w:hAnsi="Arial" w:cs="Arial"/>
          <w:sz w:val="24"/>
          <w:szCs w:val="24"/>
        </w:rPr>
        <w:t>Comunicar la presente Resolución al Ministerio de Industria, Energía y Minería, al Organismo y a la Oficina de Planeamiento y Presupuesto; y</w:t>
      </w:r>
    </w:p>
    <w:p w:rsidR="00B23251" w:rsidRDefault="00584608" w:rsidP="00ED6474">
      <w:pPr>
        <w:pStyle w:val="Prrafodelista"/>
        <w:keepNext/>
        <w:widowControl w:val="0"/>
        <w:spacing w:after="0" w:line="360" w:lineRule="auto"/>
        <w:ind w:left="0" w:right="-136"/>
        <w:jc w:val="both"/>
        <w:rPr>
          <w:rFonts w:ascii="Arial" w:hAnsi="Arial" w:cs="Arial"/>
          <w:sz w:val="24"/>
          <w:szCs w:val="24"/>
        </w:rPr>
      </w:pPr>
      <w:r w:rsidRPr="00584608">
        <w:rPr>
          <w:rFonts w:ascii="Arial" w:hAnsi="Arial" w:cs="Arial"/>
          <w:b/>
          <w:sz w:val="24"/>
          <w:szCs w:val="24"/>
        </w:rPr>
        <w:t>4)</w:t>
      </w:r>
      <w:r>
        <w:rPr>
          <w:rFonts w:ascii="Arial" w:hAnsi="Arial" w:cs="Arial"/>
          <w:sz w:val="24"/>
          <w:szCs w:val="24"/>
        </w:rPr>
        <w:t xml:space="preserve">   </w:t>
      </w:r>
      <w:r w:rsidR="00F67716" w:rsidRPr="005E432D">
        <w:rPr>
          <w:rFonts w:ascii="Arial" w:hAnsi="Arial" w:cs="Arial"/>
          <w:sz w:val="24"/>
          <w:szCs w:val="24"/>
        </w:rPr>
        <w:t>Dar cuenta a la Asamblea General.</w:t>
      </w: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
    <w:p w:rsidR="00584608" w:rsidRDefault="00584608" w:rsidP="00ED6474">
      <w:pPr>
        <w:pStyle w:val="Prrafodelista"/>
        <w:keepNext/>
        <w:widowControl w:val="0"/>
        <w:spacing w:after="0" w:line="360" w:lineRule="auto"/>
        <w:ind w:left="0" w:right="-136"/>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ED6474" w:rsidRDefault="00ED647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pStyle w:val="Prrafodelista"/>
        <w:keepNext/>
        <w:widowControl w:val="0"/>
        <w:spacing w:after="0" w:line="360" w:lineRule="auto"/>
        <w:ind w:left="0" w:right="-136"/>
        <w:jc w:val="both"/>
        <w:rPr>
          <w:rFonts w:ascii="Arial" w:hAnsi="Arial" w:cs="Arial"/>
          <w:sz w:val="24"/>
          <w:szCs w:val="24"/>
        </w:rPr>
      </w:pPr>
    </w:p>
    <w:p w:rsidR="001D2594" w:rsidRDefault="001D2594" w:rsidP="00ED6474">
      <w:pPr>
        <w:keepNext/>
        <w:widowControl w:val="0"/>
        <w:spacing w:line="360" w:lineRule="auto"/>
        <w:jc w:val="center"/>
        <w:rPr>
          <w:rFonts w:cs="Arial"/>
          <w:b/>
          <w:bCs/>
          <w:szCs w:val="24"/>
        </w:rPr>
      </w:pPr>
      <w:r w:rsidRPr="005E432D">
        <w:rPr>
          <w:rFonts w:cs="Arial"/>
          <w:b/>
          <w:bCs/>
          <w:szCs w:val="24"/>
        </w:rPr>
        <w:t>DICTAMEN</w:t>
      </w:r>
    </w:p>
    <w:p w:rsidR="001D2594" w:rsidRPr="005E432D" w:rsidRDefault="001D2594" w:rsidP="00ED6474">
      <w:pPr>
        <w:keepNext/>
        <w:widowControl w:val="0"/>
        <w:spacing w:line="360" w:lineRule="auto"/>
        <w:rPr>
          <w:rFonts w:cs="Arial"/>
          <w:b/>
          <w:bCs/>
          <w:szCs w:val="24"/>
        </w:rPr>
      </w:pPr>
      <w:r w:rsidRPr="005E432D">
        <w:rPr>
          <w:rFonts w:cs="Arial"/>
          <w:szCs w:val="24"/>
        </w:rPr>
        <w:t>El Tribunal de Cuentas ha examinado los Estados Financieros Individuales de la Administración Nacional de Combustibles, Alcohol y Portland (ANCAP) que comprenden el Estado de Situación Financiera Individual al 31 de diciembre de 2016, los correspondientes Estados Individuales de Resultados, de Pérdidas o Ganancias y Otros Resultados Integrales, de Cambios en el Patrimonio y de Flujos de Efectivo, por el ejercicio anual finalizado en esa fecha, los Anexos y las Notas de políticas contables significativas a los estados financieros.</w:t>
      </w:r>
    </w:p>
    <w:p w:rsidR="001D2594" w:rsidRPr="005E432D" w:rsidRDefault="001D2594" w:rsidP="00ED6474">
      <w:pPr>
        <w:keepNext/>
        <w:widowControl w:val="0"/>
        <w:autoSpaceDE w:val="0"/>
        <w:autoSpaceDN w:val="0"/>
        <w:adjustRightInd w:val="0"/>
        <w:spacing w:after="0" w:line="360" w:lineRule="auto"/>
        <w:rPr>
          <w:rFonts w:cs="Arial"/>
          <w:b/>
          <w:bCs/>
          <w:szCs w:val="24"/>
        </w:rPr>
      </w:pPr>
      <w:r w:rsidRPr="005E432D">
        <w:rPr>
          <w:rFonts w:cs="Arial"/>
          <w:b/>
          <w:bCs/>
          <w:szCs w:val="24"/>
        </w:rPr>
        <w:t>Responsabilidad de la Dirección por los Estados financieros</w:t>
      </w:r>
    </w:p>
    <w:p w:rsidR="001D2594" w:rsidRPr="005E432D" w:rsidRDefault="001D2594" w:rsidP="00ED6474">
      <w:pPr>
        <w:keepNext/>
        <w:widowControl w:val="0"/>
        <w:autoSpaceDE w:val="0"/>
        <w:autoSpaceDN w:val="0"/>
        <w:adjustRightInd w:val="0"/>
        <w:spacing w:after="0" w:line="360" w:lineRule="auto"/>
        <w:rPr>
          <w:rFonts w:cs="Arial"/>
          <w:szCs w:val="24"/>
        </w:rPr>
      </w:pPr>
      <w:r w:rsidRPr="005E432D">
        <w:rPr>
          <w:rFonts w:cs="Arial"/>
          <w:szCs w:val="24"/>
        </w:rPr>
        <w:t>La Dirección de ANCAP es responsable por la preparación y la razonable presentación de estos estados financieros de acuerdo con normas contables adecuadas en Uruguay y a la Ordenanza Nº 81 de este Tribunal</w:t>
      </w:r>
      <w:r w:rsidRPr="005E432D">
        <w:rPr>
          <w:rFonts w:cs="Arial"/>
          <w:i/>
          <w:iCs/>
          <w:szCs w:val="24"/>
        </w:rPr>
        <w:t xml:space="preserve">. </w:t>
      </w:r>
      <w:r w:rsidRPr="005E432D">
        <w:rPr>
          <w:rFonts w:cs="Arial"/>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1D2594" w:rsidRPr="005E432D" w:rsidRDefault="001D2594" w:rsidP="00ED6474">
      <w:pPr>
        <w:keepNext/>
        <w:widowControl w:val="0"/>
        <w:autoSpaceDE w:val="0"/>
        <w:autoSpaceDN w:val="0"/>
        <w:adjustRightInd w:val="0"/>
        <w:spacing w:after="0" w:line="360" w:lineRule="auto"/>
        <w:rPr>
          <w:rFonts w:cs="Arial"/>
          <w:b/>
          <w:bCs/>
          <w:szCs w:val="24"/>
        </w:rPr>
      </w:pPr>
    </w:p>
    <w:p w:rsidR="001D2594" w:rsidRPr="005E432D" w:rsidRDefault="001D2594" w:rsidP="00ED6474">
      <w:pPr>
        <w:keepNext/>
        <w:widowControl w:val="0"/>
        <w:autoSpaceDE w:val="0"/>
        <w:autoSpaceDN w:val="0"/>
        <w:adjustRightInd w:val="0"/>
        <w:spacing w:after="0" w:line="360" w:lineRule="auto"/>
        <w:rPr>
          <w:rFonts w:cs="Arial"/>
          <w:b/>
          <w:bCs/>
          <w:szCs w:val="24"/>
        </w:rPr>
      </w:pPr>
      <w:r w:rsidRPr="005E432D">
        <w:rPr>
          <w:rFonts w:cs="Arial"/>
          <w:b/>
          <w:bCs/>
          <w:szCs w:val="24"/>
        </w:rPr>
        <w:t>Responsabilidad del Auditor</w:t>
      </w:r>
    </w:p>
    <w:p w:rsidR="001D2594" w:rsidRPr="005E432D" w:rsidRDefault="001D2594" w:rsidP="00ED6474">
      <w:pPr>
        <w:keepNext/>
        <w:widowControl w:val="0"/>
        <w:autoSpaceDE w:val="0"/>
        <w:autoSpaceDN w:val="0"/>
        <w:adjustRightInd w:val="0"/>
        <w:spacing w:after="0" w:line="360" w:lineRule="auto"/>
        <w:rPr>
          <w:rFonts w:cs="Arial"/>
          <w:szCs w:val="24"/>
        </w:rPr>
      </w:pPr>
      <w:r w:rsidRPr="005E432D">
        <w:rPr>
          <w:rFonts w:cs="Arial"/>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1D2594" w:rsidRDefault="001D2594" w:rsidP="00ED6474">
      <w:pPr>
        <w:keepNext/>
        <w:widowControl w:val="0"/>
        <w:autoSpaceDE w:val="0"/>
        <w:autoSpaceDN w:val="0"/>
        <w:adjustRightInd w:val="0"/>
        <w:spacing w:after="0" w:line="360" w:lineRule="auto"/>
        <w:rPr>
          <w:rFonts w:cs="Arial"/>
          <w:szCs w:val="24"/>
        </w:rPr>
      </w:pPr>
      <w:r w:rsidRPr="005E432D">
        <w:rPr>
          <w:rFonts w:cs="Arial"/>
          <w:szCs w:val="24"/>
        </w:rPr>
        <w:t>Estas normas requieren que se cumpla con requisitos éticos, se planifique y se realice la auditoría para obtener seguridad razonable acerca de si los estados financieros están libres de errores significativos.</w:t>
      </w:r>
    </w:p>
    <w:p w:rsidR="00ED6474" w:rsidRPr="005E432D" w:rsidRDefault="00ED6474" w:rsidP="00ED6474">
      <w:pPr>
        <w:keepNext/>
        <w:widowControl w:val="0"/>
        <w:autoSpaceDE w:val="0"/>
        <w:autoSpaceDN w:val="0"/>
        <w:adjustRightInd w:val="0"/>
        <w:spacing w:after="0" w:line="360" w:lineRule="auto"/>
        <w:rPr>
          <w:rFonts w:cs="Arial"/>
          <w:szCs w:val="24"/>
        </w:rPr>
      </w:pPr>
    </w:p>
    <w:p w:rsidR="001D2594" w:rsidRPr="005E432D" w:rsidRDefault="001D2594" w:rsidP="00ED6474">
      <w:pPr>
        <w:keepNext/>
        <w:widowControl w:val="0"/>
        <w:autoSpaceDE w:val="0"/>
        <w:autoSpaceDN w:val="0"/>
        <w:adjustRightInd w:val="0"/>
        <w:spacing w:after="0" w:line="360" w:lineRule="auto"/>
        <w:rPr>
          <w:rFonts w:cs="Arial"/>
          <w:szCs w:val="24"/>
        </w:rPr>
      </w:pPr>
      <w:r w:rsidRPr="005E432D">
        <w:rPr>
          <w:rFonts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1D2594" w:rsidRPr="005E432D" w:rsidRDefault="001D2594" w:rsidP="00ED6474">
      <w:pPr>
        <w:keepNext/>
        <w:widowControl w:val="0"/>
        <w:autoSpaceDE w:val="0"/>
        <w:autoSpaceDN w:val="0"/>
        <w:adjustRightInd w:val="0"/>
        <w:spacing w:after="0" w:line="360" w:lineRule="auto"/>
        <w:rPr>
          <w:rFonts w:cs="Arial"/>
          <w:szCs w:val="24"/>
        </w:rPr>
      </w:pPr>
      <w:r w:rsidRPr="005E432D">
        <w:rPr>
          <w:rFonts w:cs="Arial"/>
          <w:szCs w:val="24"/>
        </w:rPr>
        <w:t>Se considera que la evidencia de auditoría obtenida brinda una base suficiente y apropiada para sustentar la opinión.</w:t>
      </w:r>
    </w:p>
    <w:p w:rsidR="001D2594" w:rsidRDefault="001D2594" w:rsidP="00ED6474">
      <w:pPr>
        <w:keepNext/>
        <w:widowControl w:val="0"/>
        <w:spacing w:after="130" w:line="260" w:lineRule="atLeast"/>
        <w:rPr>
          <w:rFonts w:cs="Arial"/>
          <w:b/>
          <w:szCs w:val="24"/>
        </w:rPr>
      </w:pPr>
      <w:r w:rsidRPr="0047479E">
        <w:rPr>
          <w:rFonts w:cs="Arial"/>
          <w:b/>
          <w:szCs w:val="24"/>
        </w:rPr>
        <w:t xml:space="preserve">Bases </w:t>
      </w:r>
      <w:r w:rsidR="00ED6474">
        <w:rPr>
          <w:rFonts w:cs="Arial"/>
          <w:b/>
          <w:szCs w:val="24"/>
        </w:rPr>
        <w:t>para la calificación de opinión</w:t>
      </w:r>
    </w:p>
    <w:p w:rsidR="001D2594" w:rsidRPr="0047479E" w:rsidRDefault="001D2594" w:rsidP="00ED6474">
      <w:pPr>
        <w:keepNext/>
        <w:widowControl w:val="0"/>
        <w:spacing w:after="0" w:line="360" w:lineRule="auto"/>
        <w:rPr>
          <w:rFonts w:cs="Arial"/>
          <w:szCs w:val="24"/>
        </w:rPr>
      </w:pPr>
      <w:r w:rsidRPr="0047479E">
        <w:rPr>
          <w:rFonts w:cs="Arial"/>
          <w:szCs w:val="24"/>
        </w:rPr>
        <w:t>Con relación a determinadas ventas de combustible a UTE efectuadas por ANCAP en los ejercicios 2009 - 2014, se realizaron ajustes de precios cuya información estaba disponible en dichos ejercicios los cuales se contabilizaron con cargo a los Ingresos Operativos del ejerc</w:t>
      </w:r>
      <w:r w:rsidR="00E92853">
        <w:rPr>
          <w:rFonts w:cs="Arial"/>
          <w:szCs w:val="24"/>
        </w:rPr>
        <w:t>icio bajo examen la suma de U$S</w:t>
      </w:r>
      <w:r w:rsidRPr="0047479E">
        <w:rPr>
          <w:rFonts w:cs="Arial"/>
          <w:szCs w:val="24"/>
        </w:rPr>
        <w:t>32.490.679</w:t>
      </w:r>
      <w:proofErr w:type="gramStart"/>
      <w:r w:rsidRPr="0047479E">
        <w:rPr>
          <w:rFonts w:cs="Arial"/>
          <w:szCs w:val="24"/>
        </w:rPr>
        <w:t>,18</w:t>
      </w:r>
      <w:proofErr w:type="gramEnd"/>
      <w:r w:rsidRPr="0047479E">
        <w:rPr>
          <w:rFonts w:cs="Arial"/>
          <w:szCs w:val="24"/>
        </w:rPr>
        <w:t>, equivalentes a $ 931.164.717, contraviniendo lo dispuesto e</w:t>
      </w:r>
      <w:r>
        <w:rPr>
          <w:rFonts w:cs="Arial"/>
          <w:szCs w:val="24"/>
        </w:rPr>
        <w:t>n el párrafo 19 de la NIC 18 y e</w:t>
      </w:r>
      <w:r w:rsidRPr="0047479E">
        <w:rPr>
          <w:rFonts w:cs="Arial"/>
          <w:szCs w:val="24"/>
        </w:rPr>
        <w:t>n el párrafo 4.50 del Marco Conceptual para la Información financiera. Dichas normas contables establecen que los ingresos de actividades ordinarias y los gastos relacionados con una misma transacción o evento se reconocerán en forma simultánea, proceso que se denomina correlación de gastos con ingresos.</w:t>
      </w:r>
    </w:p>
    <w:p w:rsidR="001D2594" w:rsidRPr="005E432D" w:rsidRDefault="001D2594" w:rsidP="00ED6474">
      <w:pPr>
        <w:pStyle w:val="Prrafodelista"/>
        <w:keepNext/>
        <w:widowControl w:val="0"/>
        <w:spacing w:after="0" w:line="360" w:lineRule="auto"/>
        <w:ind w:left="0"/>
        <w:jc w:val="both"/>
        <w:rPr>
          <w:rFonts w:ascii="Arial" w:hAnsi="Arial" w:cs="Arial"/>
          <w:sz w:val="24"/>
          <w:szCs w:val="24"/>
        </w:rPr>
      </w:pPr>
      <w:r w:rsidRPr="0047479E">
        <w:rPr>
          <w:rFonts w:ascii="Arial" w:hAnsi="Arial" w:cs="Arial"/>
          <w:sz w:val="24"/>
          <w:szCs w:val="24"/>
        </w:rPr>
        <w:t>Esta</w:t>
      </w:r>
      <w:r w:rsidRPr="005E432D">
        <w:rPr>
          <w:rFonts w:ascii="Arial" w:hAnsi="Arial" w:cs="Arial"/>
          <w:sz w:val="24"/>
          <w:szCs w:val="24"/>
        </w:rPr>
        <w:t xml:space="preserve"> situación significó la sobrevaluación de los Ingresos Operativos y del Resultado del Ejercicio en $ 931.164.717, por lo que este último hubiera </w:t>
      </w:r>
      <w:proofErr w:type="gramStart"/>
      <w:r>
        <w:rPr>
          <w:rFonts w:ascii="Arial" w:hAnsi="Arial" w:cs="Arial"/>
          <w:sz w:val="24"/>
          <w:szCs w:val="24"/>
        </w:rPr>
        <w:t>significado</w:t>
      </w:r>
      <w:proofErr w:type="gramEnd"/>
      <w:r w:rsidRPr="005E432D">
        <w:rPr>
          <w:rFonts w:ascii="Arial" w:hAnsi="Arial" w:cs="Arial"/>
          <w:sz w:val="24"/>
          <w:szCs w:val="24"/>
        </w:rPr>
        <w:t xml:space="preserve"> una pérdida de $ 495.628.568.</w:t>
      </w:r>
    </w:p>
    <w:p w:rsidR="001D2594" w:rsidRPr="005E432D" w:rsidRDefault="001D2594" w:rsidP="00ED6474">
      <w:pPr>
        <w:pStyle w:val="Prrafodelista"/>
        <w:keepNext/>
        <w:widowControl w:val="0"/>
        <w:numPr>
          <w:ilvl w:val="0"/>
          <w:numId w:val="12"/>
        </w:numPr>
        <w:spacing w:after="0" w:line="360" w:lineRule="auto"/>
        <w:ind w:left="426" w:hanging="426"/>
        <w:jc w:val="both"/>
        <w:rPr>
          <w:rFonts w:ascii="Arial" w:hAnsi="Arial" w:cs="Arial"/>
          <w:b/>
          <w:sz w:val="24"/>
          <w:szCs w:val="24"/>
        </w:rPr>
      </w:pPr>
      <w:r w:rsidRPr="005E432D">
        <w:rPr>
          <w:rFonts w:ascii="Arial" w:hAnsi="Arial" w:cs="Arial"/>
          <w:sz w:val="24"/>
          <w:szCs w:val="24"/>
        </w:rPr>
        <w:t>La Nota 19 a los Estados Financieros Individuales</w:t>
      </w:r>
      <w:r>
        <w:rPr>
          <w:rFonts w:ascii="Arial" w:hAnsi="Arial" w:cs="Arial"/>
          <w:sz w:val="24"/>
          <w:szCs w:val="24"/>
        </w:rPr>
        <w:t xml:space="preserve"> de ANCAP</w:t>
      </w:r>
      <w:r w:rsidRPr="005E432D">
        <w:rPr>
          <w:rFonts w:ascii="Arial" w:hAnsi="Arial" w:cs="Arial"/>
          <w:sz w:val="24"/>
          <w:szCs w:val="24"/>
        </w:rPr>
        <w:t xml:space="preserve"> expone que:</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 xml:space="preserve">2.1 </w:t>
      </w:r>
      <w:r w:rsidRPr="005E432D">
        <w:rPr>
          <w:rFonts w:cs="Arial"/>
          <w:szCs w:val="24"/>
        </w:rPr>
        <w:t>La empresa ANCSOL S.A. de la cual ANCAP es propietaria del 100% del paquete accionario, con un valor patrimonial proporcional negativo</w:t>
      </w:r>
      <w:r>
        <w:rPr>
          <w:rFonts w:cs="Arial"/>
          <w:szCs w:val="24"/>
        </w:rPr>
        <w:t xml:space="preserve"> expuesto</w:t>
      </w:r>
      <w:r w:rsidRPr="005E432D">
        <w:rPr>
          <w:rFonts w:cs="Arial"/>
          <w:szCs w:val="24"/>
        </w:rPr>
        <w:t xml:space="preserve"> en los Estados </w:t>
      </w:r>
      <w:r>
        <w:rPr>
          <w:rFonts w:cs="Arial"/>
          <w:szCs w:val="24"/>
        </w:rPr>
        <w:t>Financieros</w:t>
      </w:r>
      <w:r w:rsidRPr="005E432D">
        <w:rPr>
          <w:rFonts w:cs="Arial"/>
          <w:szCs w:val="24"/>
        </w:rPr>
        <w:t xml:space="preserve"> Individuales de $ 168:849.720, present</w:t>
      </w:r>
      <w:r>
        <w:rPr>
          <w:rFonts w:cs="Arial"/>
          <w:szCs w:val="24"/>
        </w:rPr>
        <w:t>ó</w:t>
      </w:r>
      <w:r w:rsidRPr="005E432D">
        <w:rPr>
          <w:rFonts w:cs="Arial"/>
          <w:szCs w:val="24"/>
        </w:rPr>
        <w:t xml:space="preserve"> al 31/12/2016 un </w:t>
      </w:r>
      <w:r>
        <w:rPr>
          <w:rFonts w:cs="Arial"/>
          <w:szCs w:val="24"/>
        </w:rPr>
        <w:t xml:space="preserve">índice </w:t>
      </w:r>
      <w:r w:rsidRPr="005E432D">
        <w:rPr>
          <w:rFonts w:cs="Arial"/>
          <w:szCs w:val="24"/>
        </w:rPr>
        <w:t>EBITDA (beneficio antes de intereses, impuestos, depreciaciones y amortizaciones) negativo de $ 95.801.935. Esto</w:t>
      </w:r>
      <w:r>
        <w:rPr>
          <w:rFonts w:cs="Arial"/>
          <w:szCs w:val="24"/>
        </w:rPr>
        <w:t>s</w:t>
      </w:r>
      <w:r w:rsidRPr="005E432D">
        <w:rPr>
          <w:rFonts w:cs="Arial"/>
          <w:szCs w:val="24"/>
        </w:rPr>
        <w:t xml:space="preserve"> indicios de deterioro no fueron evaluados por el Ente, ni tenidos en cuenta sus posibles efectos </w:t>
      </w:r>
      <w:r>
        <w:rPr>
          <w:rFonts w:cs="Arial"/>
          <w:szCs w:val="24"/>
        </w:rPr>
        <w:t>contables</w:t>
      </w:r>
      <w:r w:rsidRPr="005E432D">
        <w:rPr>
          <w:rFonts w:cs="Arial"/>
          <w:szCs w:val="24"/>
        </w:rPr>
        <w:t xml:space="preserve"> en los Estados Financieros</w:t>
      </w:r>
      <w:r>
        <w:rPr>
          <w:rFonts w:cs="Arial"/>
          <w:szCs w:val="24"/>
        </w:rPr>
        <w:t xml:space="preserve"> Individuales</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r>
        <w:rPr>
          <w:rFonts w:cs="Arial"/>
          <w:szCs w:val="24"/>
        </w:rPr>
        <w:t>Por otra parte, l</w:t>
      </w:r>
      <w:r w:rsidRPr="005E432D">
        <w:rPr>
          <w:rFonts w:cs="Arial"/>
          <w:szCs w:val="24"/>
        </w:rPr>
        <w:t xml:space="preserve">os auditores externos de ANCSOL S.A. se abstuvieron de emitir opinión sobre </w:t>
      </w:r>
      <w:r>
        <w:rPr>
          <w:rFonts w:cs="Arial"/>
          <w:szCs w:val="24"/>
        </w:rPr>
        <w:t>los</w:t>
      </w:r>
      <w:r w:rsidRPr="005E432D">
        <w:rPr>
          <w:rFonts w:cs="Arial"/>
          <w:szCs w:val="24"/>
        </w:rPr>
        <w:t xml:space="preserve"> Estados Financieros </w:t>
      </w:r>
      <w:r>
        <w:rPr>
          <w:rFonts w:cs="Arial"/>
          <w:szCs w:val="24"/>
        </w:rPr>
        <w:t xml:space="preserve">de dicha empresa </w:t>
      </w:r>
      <w:r w:rsidRPr="005E432D">
        <w:rPr>
          <w:rFonts w:cs="Arial"/>
          <w:szCs w:val="24"/>
        </w:rPr>
        <w:t xml:space="preserve">debido a la situación financiera de CARBOCLOR S.A., que con fecha 29/12/2016 solicitó la apertura de un concurso preventivo de acreedores </w:t>
      </w:r>
      <w:r>
        <w:rPr>
          <w:rFonts w:cs="Arial"/>
          <w:szCs w:val="24"/>
        </w:rPr>
        <w:t>el</w:t>
      </w:r>
      <w:r w:rsidRPr="005E432D">
        <w:rPr>
          <w:rFonts w:cs="Arial"/>
          <w:szCs w:val="24"/>
        </w:rPr>
        <w:t xml:space="preserve"> cual se </w:t>
      </w:r>
      <w:r>
        <w:rPr>
          <w:rFonts w:cs="Arial"/>
          <w:szCs w:val="24"/>
        </w:rPr>
        <w:t>tramita</w:t>
      </w:r>
      <w:r w:rsidRPr="005E432D">
        <w:rPr>
          <w:rFonts w:cs="Arial"/>
          <w:szCs w:val="24"/>
        </w:rPr>
        <w:t xml:space="preserve"> judicialmente.</w:t>
      </w:r>
    </w:p>
    <w:p w:rsidR="001D2594" w:rsidRPr="005E432D" w:rsidRDefault="001D2594" w:rsidP="00ED6474">
      <w:pPr>
        <w:keepNext/>
        <w:widowControl w:val="0"/>
        <w:tabs>
          <w:tab w:val="left" w:pos="1701"/>
        </w:tabs>
        <w:spacing w:after="0" w:line="360" w:lineRule="auto"/>
        <w:ind w:left="426"/>
        <w:rPr>
          <w:rFonts w:cs="Arial"/>
          <w:szCs w:val="24"/>
        </w:rPr>
      </w:pPr>
    </w:p>
    <w:p w:rsidR="001D2594" w:rsidRDefault="001D2594" w:rsidP="00ED6474">
      <w:pPr>
        <w:keepNext/>
        <w:widowControl w:val="0"/>
        <w:spacing w:after="0" w:line="360" w:lineRule="auto"/>
        <w:ind w:left="426"/>
        <w:rPr>
          <w:rFonts w:cs="Arial"/>
          <w:szCs w:val="24"/>
        </w:rPr>
      </w:pPr>
      <w:r w:rsidRPr="005E432D">
        <w:rPr>
          <w:rFonts w:cs="Arial"/>
          <w:b/>
          <w:szCs w:val="24"/>
        </w:rPr>
        <w:t xml:space="preserve">2.2 </w:t>
      </w:r>
      <w:r w:rsidRPr="005E432D">
        <w:rPr>
          <w:rFonts w:cs="Arial"/>
          <w:szCs w:val="24"/>
        </w:rPr>
        <w:t xml:space="preserve">La empresa CEMENTOS DEL PLATA S.A. de la cual ANCAP es propietaria del 99.80% del paquete accionario, cuyo valor patrimonial proporcional </w:t>
      </w:r>
      <w:r>
        <w:rPr>
          <w:rFonts w:cs="Arial"/>
          <w:szCs w:val="24"/>
        </w:rPr>
        <w:t xml:space="preserve">al 31/12/2016 </w:t>
      </w:r>
      <w:r w:rsidRPr="005E432D">
        <w:rPr>
          <w:rFonts w:cs="Arial"/>
          <w:szCs w:val="24"/>
        </w:rPr>
        <w:t>es de $ 1.262.864.982, present</w:t>
      </w:r>
      <w:r>
        <w:rPr>
          <w:rFonts w:cs="Arial"/>
          <w:szCs w:val="24"/>
        </w:rPr>
        <w:t>ó</w:t>
      </w:r>
      <w:r w:rsidRPr="005E432D">
        <w:rPr>
          <w:rFonts w:cs="Arial"/>
          <w:szCs w:val="24"/>
        </w:rPr>
        <w:t xml:space="preserve"> un índice EBITDA negativo de $ 82.774.582. </w:t>
      </w:r>
      <w:r w:rsidRPr="00074E7C">
        <w:rPr>
          <w:rFonts w:cs="Arial"/>
          <w:szCs w:val="24"/>
        </w:rPr>
        <w:t xml:space="preserve">Si bien en la nota 19 a los Estados Financieros Individuales se expresa que fue evaluado el Valor Presente </w:t>
      </w:r>
      <w:r>
        <w:rPr>
          <w:rFonts w:cs="Arial"/>
          <w:szCs w:val="24"/>
        </w:rPr>
        <w:t>N</w:t>
      </w:r>
      <w:r w:rsidRPr="00074E7C">
        <w:rPr>
          <w:rFonts w:cs="Arial"/>
          <w:szCs w:val="24"/>
        </w:rPr>
        <w:t xml:space="preserve">eto de los flujos de fondos de la Unidad Generadora de Efectivo, no se revelan los importes de los flujos netos de fondos, ni el período considerado </w:t>
      </w:r>
      <w:r>
        <w:rPr>
          <w:rFonts w:cs="Arial"/>
          <w:szCs w:val="24"/>
        </w:rPr>
        <w:t>para</w:t>
      </w:r>
      <w:r w:rsidRPr="00074E7C">
        <w:rPr>
          <w:rFonts w:cs="Arial"/>
          <w:szCs w:val="24"/>
        </w:rPr>
        <w:t xml:space="preserve"> realizar la evaluación.</w:t>
      </w:r>
    </w:p>
    <w:p w:rsidR="001D2594" w:rsidRPr="005E432D" w:rsidRDefault="001D2594" w:rsidP="00ED6474">
      <w:pPr>
        <w:keepNext/>
        <w:widowControl w:val="0"/>
        <w:spacing w:after="260" w:line="360" w:lineRule="auto"/>
        <w:ind w:left="426"/>
        <w:rPr>
          <w:rFonts w:cs="Arial"/>
          <w:szCs w:val="24"/>
        </w:rPr>
      </w:pPr>
      <w:r w:rsidRPr="005E432D">
        <w:rPr>
          <w:rFonts w:cs="Arial"/>
          <w:b/>
          <w:szCs w:val="24"/>
        </w:rPr>
        <w:t>2.3</w:t>
      </w:r>
      <w:r w:rsidRPr="005E432D">
        <w:rPr>
          <w:rFonts w:cs="Arial"/>
          <w:szCs w:val="24"/>
        </w:rPr>
        <w:t xml:space="preserve"> La empresa asociada A</w:t>
      </w:r>
      <w:r>
        <w:rPr>
          <w:rFonts w:cs="Arial"/>
          <w:szCs w:val="24"/>
        </w:rPr>
        <w:t xml:space="preserve">sistencia </w:t>
      </w:r>
      <w:r w:rsidRPr="005E432D">
        <w:rPr>
          <w:rFonts w:cs="Arial"/>
          <w:szCs w:val="24"/>
        </w:rPr>
        <w:t>T</w:t>
      </w:r>
      <w:r>
        <w:rPr>
          <w:rFonts w:cs="Arial"/>
          <w:szCs w:val="24"/>
        </w:rPr>
        <w:t xml:space="preserve">écnica y </w:t>
      </w:r>
      <w:r w:rsidRPr="005E432D">
        <w:rPr>
          <w:rFonts w:cs="Arial"/>
          <w:szCs w:val="24"/>
        </w:rPr>
        <w:t>S</w:t>
      </w:r>
      <w:r>
        <w:rPr>
          <w:rFonts w:cs="Arial"/>
          <w:szCs w:val="24"/>
        </w:rPr>
        <w:t>ervicios</w:t>
      </w:r>
      <w:r w:rsidRPr="005E432D">
        <w:rPr>
          <w:rFonts w:cs="Arial"/>
          <w:szCs w:val="24"/>
        </w:rPr>
        <w:t xml:space="preserve"> S.A. </w:t>
      </w:r>
      <w:r>
        <w:rPr>
          <w:rFonts w:cs="Arial"/>
          <w:szCs w:val="24"/>
        </w:rPr>
        <w:t xml:space="preserve">(ATS S.A.), </w:t>
      </w:r>
      <w:r w:rsidRPr="005E432D">
        <w:rPr>
          <w:rFonts w:cs="Arial"/>
          <w:szCs w:val="24"/>
        </w:rPr>
        <w:t>de la cual ANCAP es propietaria del 99% del paquete accionario, cuyo valor patrimonial proporci</w:t>
      </w:r>
      <w:r>
        <w:rPr>
          <w:rFonts w:cs="Arial"/>
          <w:szCs w:val="24"/>
        </w:rPr>
        <w:t>onal es de $ 9.310.795, presentó</w:t>
      </w:r>
      <w:r w:rsidRPr="005E432D">
        <w:rPr>
          <w:rFonts w:cs="Arial"/>
          <w:szCs w:val="24"/>
        </w:rPr>
        <w:t xml:space="preserve"> un índice EBITDA negativo de $ 2.068.856. Est</w:t>
      </w:r>
      <w:r>
        <w:rPr>
          <w:rFonts w:cs="Arial"/>
          <w:szCs w:val="24"/>
        </w:rPr>
        <w:t>e</w:t>
      </w:r>
      <w:r w:rsidRPr="005E432D">
        <w:rPr>
          <w:rFonts w:cs="Arial"/>
          <w:szCs w:val="24"/>
        </w:rPr>
        <w:t xml:space="preserve"> indicio</w:t>
      </w:r>
      <w:r>
        <w:rPr>
          <w:rFonts w:cs="Arial"/>
          <w:szCs w:val="24"/>
        </w:rPr>
        <w:t xml:space="preserve"> de deterioro y los efectos contables del</w:t>
      </w:r>
      <w:r w:rsidRPr="005E432D">
        <w:rPr>
          <w:rFonts w:cs="Arial"/>
          <w:szCs w:val="24"/>
        </w:rPr>
        <w:t xml:space="preserve"> mismo no fue</w:t>
      </w:r>
      <w:r>
        <w:rPr>
          <w:rFonts w:cs="Arial"/>
          <w:szCs w:val="24"/>
        </w:rPr>
        <w:t xml:space="preserve">ron </w:t>
      </w:r>
      <w:proofErr w:type="gramStart"/>
      <w:r>
        <w:rPr>
          <w:rFonts w:cs="Arial"/>
          <w:szCs w:val="24"/>
        </w:rPr>
        <w:t>evaluado</w:t>
      </w:r>
      <w:proofErr w:type="gramEnd"/>
      <w:r w:rsidRPr="005E432D">
        <w:rPr>
          <w:rFonts w:cs="Arial"/>
          <w:szCs w:val="24"/>
        </w:rPr>
        <w:t xml:space="preserve"> por el Ente en sus Estados Fin</w:t>
      </w:r>
      <w:r>
        <w:rPr>
          <w:rFonts w:cs="Arial"/>
          <w:szCs w:val="24"/>
        </w:rPr>
        <w:t>ancieros Individuales al 31/12/2016</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2.4</w:t>
      </w:r>
      <w:r w:rsidRPr="005E432D">
        <w:rPr>
          <w:rFonts w:cs="Arial"/>
          <w:szCs w:val="24"/>
        </w:rPr>
        <w:t xml:space="preserve"> La empresa asociada CABA S.A. de la cual ANCAP es propietaria del</w:t>
      </w:r>
      <w:r>
        <w:rPr>
          <w:rFonts w:cs="Arial"/>
          <w:szCs w:val="24"/>
        </w:rPr>
        <w:t xml:space="preserve"> 100% del paquete accionario, </w:t>
      </w:r>
      <w:r w:rsidRPr="005E432D">
        <w:rPr>
          <w:rFonts w:cs="Arial"/>
          <w:szCs w:val="24"/>
        </w:rPr>
        <w:t>cuyo valor patrimonial proporcio</w:t>
      </w:r>
      <w:r w:rsidR="00E92853">
        <w:rPr>
          <w:rFonts w:cs="Arial"/>
          <w:szCs w:val="24"/>
        </w:rPr>
        <w:t>nal es de $</w:t>
      </w:r>
      <w:r>
        <w:rPr>
          <w:rFonts w:cs="Arial"/>
          <w:szCs w:val="24"/>
        </w:rPr>
        <w:t>42.665.111, presentó</w:t>
      </w:r>
      <w:r w:rsidRPr="005E432D">
        <w:rPr>
          <w:rFonts w:cs="Arial"/>
          <w:szCs w:val="24"/>
        </w:rPr>
        <w:t xml:space="preserve"> un índice EBIT</w:t>
      </w:r>
      <w:r>
        <w:rPr>
          <w:rFonts w:cs="Arial"/>
          <w:szCs w:val="24"/>
        </w:rPr>
        <w:t>DA negativo de $ 1.520.873. Este</w:t>
      </w:r>
      <w:r w:rsidRPr="005E432D">
        <w:rPr>
          <w:rFonts w:cs="Arial"/>
          <w:szCs w:val="24"/>
        </w:rPr>
        <w:t xml:space="preserve"> indicio de deterioro y los efectos </w:t>
      </w:r>
      <w:r>
        <w:rPr>
          <w:rFonts w:cs="Arial"/>
          <w:szCs w:val="24"/>
        </w:rPr>
        <w:t>contables</w:t>
      </w:r>
      <w:r w:rsidRPr="005E432D">
        <w:rPr>
          <w:rFonts w:cs="Arial"/>
          <w:szCs w:val="24"/>
        </w:rPr>
        <w:t xml:space="preserve"> del mismo</w:t>
      </w:r>
      <w:r>
        <w:rPr>
          <w:rFonts w:cs="Arial"/>
          <w:szCs w:val="24"/>
        </w:rPr>
        <w:t xml:space="preserve"> no fueron</w:t>
      </w:r>
      <w:r w:rsidRPr="005E432D">
        <w:rPr>
          <w:rFonts w:cs="Arial"/>
          <w:szCs w:val="24"/>
        </w:rPr>
        <w:t xml:space="preserve"> </w:t>
      </w:r>
      <w:proofErr w:type="gramStart"/>
      <w:r w:rsidRPr="005E432D">
        <w:rPr>
          <w:rFonts w:cs="Arial"/>
          <w:szCs w:val="24"/>
        </w:rPr>
        <w:t>evaluado</w:t>
      </w:r>
      <w:proofErr w:type="gramEnd"/>
      <w:r w:rsidRPr="005E432D">
        <w:rPr>
          <w:rFonts w:cs="Arial"/>
          <w:szCs w:val="24"/>
        </w:rPr>
        <w:t xml:space="preserve"> por el </w:t>
      </w:r>
      <w:r>
        <w:rPr>
          <w:rFonts w:cs="Arial"/>
          <w:szCs w:val="24"/>
        </w:rPr>
        <w:t>Ente en sus Estados Financieros Individuales al 31/12/2016</w:t>
      </w:r>
      <w:r w:rsidRPr="005E432D">
        <w:rPr>
          <w:rFonts w:cs="Arial"/>
          <w:szCs w:val="24"/>
        </w:rPr>
        <w:t>.</w:t>
      </w:r>
    </w:p>
    <w:p w:rsidR="001D2594" w:rsidRDefault="001D2594" w:rsidP="00ED6474">
      <w:pPr>
        <w:keepNext/>
        <w:widowControl w:val="0"/>
        <w:tabs>
          <w:tab w:val="left" w:pos="1701"/>
        </w:tabs>
        <w:spacing w:after="0" w:line="360" w:lineRule="auto"/>
        <w:ind w:left="426"/>
        <w:rPr>
          <w:rFonts w:cs="Arial"/>
          <w:szCs w:val="24"/>
        </w:rPr>
      </w:pPr>
      <w:r w:rsidRPr="005E432D">
        <w:rPr>
          <w:rFonts w:cs="Arial"/>
          <w:szCs w:val="24"/>
        </w:rPr>
        <w:t>S</w:t>
      </w:r>
      <w:r>
        <w:rPr>
          <w:rFonts w:cs="Arial"/>
          <w:szCs w:val="24"/>
        </w:rPr>
        <w:t>egún se expresa en la Nota 32.3 de los Estados Financieros Individuales, s</w:t>
      </w:r>
      <w:r w:rsidRPr="005E432D">
        <w:rPr>
          <w:rFonts w:cs="Arial"/>
          <w:szCs w:val="24"/>
        </w:rPr>
        <w:t xml:space="preserve">e ha iniciado un proceso tendiente a una nueva estructuración del negocio, particularmente en lo que refiere a la integración en ALUR S.A. del negocio industrial de CABA S.A., desprendiéndose de lo que se entiende como productos de consumo masivo (bebidas alcohólicas, cuidado personal, artículos de ferretería). Esta situación evidencia incertidumbre  </w:t>
      </w:r>
      <w:r>
        <w:rPr>
          <w:rFonts w:cs="Arial"/>
          <w:szCs w:val="24"/>
        </w:rPr>
        <w:t xml:space="preserve">que podría afectar </w:t>
      </w:r>
      <w:r w:rsidRPr="005E432D">
        <w:rPr>
          <w:rFonts w:cs="Arial"/>
          <w:szCs w:val="24"/>
        </w:rPr>
        <w:t xml:space="preserve">el valor en libros de </w:t>
      </w:r>
      <w:r>
        <w:rPr>
          <w:rFonts w:cs="Arial"/>
          <w:szCs w:val="24"/>
        </w:rPr>
        <w:t>los</w:t>
      </w:r>
      <w:r w:rsidRPr="005E432D">
        <w:rPr>
          <w:rFonts w:cs="Arial"/>
          <w:szCs w:val="24"/>
        </w:rPr>
        <w:t xml:space="preserve"> activos y pasivos significativos </w:t>
      </w:r>
      <w:r>
        <w:rPr>
          <w:rFonts w:cs="Arial"/>
          <w:szCs w:val="24"/>
        </w:rPr>
        <w:t>de CABA S.A.</w:t>
      </w:r>
      <w:r w:rsidRPr="005E432D">
        <w:rPr>
          <w:rFonts w:cs="Arial"/>
          <w:szCs w:val="24"/>
        </w:rPr>
        <w:t xml:space="preserve"> El valor contable de la inversión </w:t>
      </w:r>
      <w:r>
        <w:rPr>
          <w:rFonts w:cs="Arial"/>
          <w:szCs w:val="24"/>
        </w:rPr>
        <w:t xml:space="preserve">de ANCAP en dicha empresa, no recoge </w:t>
      </w:r>
      <w:r w:rsidRPr="005E432D">
        <w:rPr>
          <w:rFonts w:cs="Arial"/>
          <w:szCs w:val="24"/>
        </w:rPr>
        <w:t>eventual</w:t>
      </w:r>
      <w:r>
        <w:rPr>
          <w:rFonts w:cs="Arial"/>
          <w:szCs w:val="24"/>
        </w:rPr>
        <w:t>es</w:t>
      </w:r>
      <w:r w:rsidRPr="005E432D">
        <w:rPr>
          <w:rFonts w:cs="Arial"/>
          <w:szCs w:val="24"/>
        </w:rPr>
        <w:t xml:space="preserve"> ajuste</w:t>
      </w:r>
      <w:r>
        <w:rPr>
          <w:rFonts w:cs="Arial"/>
          <w:szCs w:val="24"/>
        </w:rPr>
        <w:t>s</w:t>
      </w:r>
      <w:r w:rsidRPr="005E432D">
        <w:rPr>
          <w:rFonts w:cs="Arial"/>
          <w:szCs w:val="24"/>
        </w:rPr>
        <w:t xml:space="preserve"> que podría</w:t>
      </w:r>
      <w:r>
        <w:rPr>
          <w:rFonts w:cs="Arial"/>
          <w:szCs w:val="24"/>
        </w:rPr>
        <w:t>n</w:t>
      </w:r>
      <w:r w:rsidRPr="005E432D">
        <w:rPr>
          <w:rFonts w:cs="Arial"/>
          <w:szCs w:val="24"/>
        </w:rPr>
        <w:t xml:space="preserve"> ser necesario</w:t>
      </w:r>
      <w:r>
        <w:rPr>
          <w:rFonts w:cs="Arial"/>
          <w:szCs w:val="24"/>
        </w:rPr>
        <w:t>s</w:t>
      </w:r>
      <w:r w:rsidRPr="005E432D">
        <w:rPr>
          <w:rFonts w:cs="Arial"/>
          <w:szCs w:val="24"/>
        </w:rPr>
        <w:t xml:space="preserve"> de la </w:t>
      </w:r>
      <w:r>
        <w:rPr>
          <w:rFonts w:cs="Arial"/>
          <w:szCs w:val="24"/>
        </w:rPr>
        <w:t>resolución final de dicha situación, en los Estados Financieros Individuales del Ente al 31/12/2016.</w:t>
      </w:r>
    </w:p>
    <w:p w:rsidR="001D2594" w:rsidRPr="005E432D" w:rsidRDefault="001D2594" w:rsidP="00ED6474">
      <w:pPr>
        <w:keepNext/>
        <w:widowControl w:val="0"/>
        <w:tabs>
          <w:tab w:val="left" w:pos="1701"/>
        </w:tabs>
        <w:spacing w:after="0" w:line="360" w:lineRule="auto"/>
        <w:rPr>
          <w:rFonts w:cs="Arial"/>
          <w:szCs w:val="24"/>
        </w:rPr>
      </w:pPr>
    </w:p>
    <w:p w:rsidR="001D2594" w:rsidRDefault="001D2594" w:rsidP="00ED6474">
      <w:pPr>
        <w:keepNext/>
        <w:widowControl w:val="0"/>
        <w:spacing w:after="0" w:line="360" w:lineRule="auto"/>
        <w:ind w:left="426"/>
        <w:rPr>
          <w:rFonts w:cs="Arial"/>
          <w:szCs w:val="24"/>
        </w:rPr>
      </w:pPr>
      <w:r w:rsidRPr="005E432D">
        <w:rPr>
          <w:rFonts w:cs="Arial"/>
          <w:b/>
          <w:szCs w:val="24"/>
        </w:rPr>
        <w:t>2.5</w:t>
      </w:r>
      <w:r w:rsidRPr="005E432D">
        <w:rPr>
          <w:rFonts w:cs="Arial"/>
          <w:szCs w:val="24"/>
        </w:rPr>
        <w:t xml:space="preserve"> La empresa PAMACOR S.A. de la cual ANCAP es propietaria del 99% del paquete accionario,</w:t>
      </w:r>
      <w:r>
        <w:rPr>
          <w:rFonts w:cs="Arial"/>
          <w:szCs w:val="24"/>
        </w:rPr>
        <w:t xml:space="preserve"> </w:t>
      </w:r>
      <w:r w:rsidRPr="005E432D">
        <w:rPr>
          <w:rFonts w:cs="Arial"/>
          <w:szCs w:val="24"/>
        </w:rPr>
        <w:t>cuyo valor patrimonial proporci</w:t>
      </w:r>
      <w:r w:rsidR="00ED6474">
        <w:rPr>
          <w:rFonts w:cs="Arial"/>
          <w:szCs w:val="24"/>
        </w:rPr>
        <w:t>onal es de $</w:t>
      </w:r>
      <w:r>
        <w:rPr>
          <w:rFonts w:cs="Arial"/>
          <w:szCs w:val="24"/>
        </w:rPr>
        <w:t>6.688.181, presentó</w:t>
      </w:r>
      <w:r w:rsidRPr="005E432D">
        <w:rPr>
          <w:rFonts w:cs="Arial"/>
          <w:szCs w:val="24"/>
        </w:rPr>
        <w:t xml:space="preserve"> un índice EBITDA negativo de $13.883</w:t>
      </w:r>
      <w:r>
        <w:rPr>
          <w:rFonts w:cs="Arial"/>
          <w:szCs w:val="24"/>
        </w:rPr>
        <w:t>, registrando muy bajo nivel de actividad durante el ejercicio 2016. Estos</w:t>
      </w:r>
      <w:r w:rsidRPr="005E432D">
        <w:rPr>
          <w:rFonts w:cs="Arial"/>
          <w:szCs w:val="24"/>
        </w:rPr>
        <w:t xml:space="preserve"> indicios de deterioro y los efectos </w:t>
      </w:r>
      <w:r>
        <w:rPr>
          <w:rFonts w:cs="Arial"/>
          <w:szCs w:val="24"/>
        </w:rPr>
        <w:t>contables</w:t>
      </w:r>
      <w:r w:rsidRPr="005E432D">
        <w:rPr>
          <w:rFonts w:cs="Arial"/>
          <w:szCs w:val="24"/>
        </w:rPr>
        <w:t xml:space="preserve"> de los mismos no fueron evaluados por el Ente en sus Estados Financieros</w:t>
      </w:r>
      <w:r>
        <w:rPr>
          <w:rFonts w:cs="Arial"/>
          <w:szCs w:val="24"/>
        </w:rPr>
        <w:t xml:space="preserve"> Individuales al 31/12/2016</w:t>
      </w:r>
      <w:r w:rsidRPr="005E432D">
        <w:rPr>
          <w:rFonts w:cs="Arial"/>
          <w:szCs w:val="24"/>
        </w:rPr>
        <w:t>.</w:t>
      </w:r>
    </w:p>
    <w:p w:rsidR="00E92853" w:rsidRDefault="00E92853" w:rsidP="00ED6474">
      <w:pPr>
        <w:keepNext/>
        <w:widowControl w:val="0"/>
        <w:spacing w:after="0" w:line="360" w:lineRule="auto"/>
        <w:ind w:left="426"/>
        <w:rPr>
          <w:rFonts w:cs="Arial"/>
          <w:szCs w:val="24"/>
        </w:rPr>
      </w:pPr>
    </w:p>
    <w:p w:rsidR="001D2594" w:rsidRPr="005E432D" w:rsidRDefault="001D2594" w:rsidP="00E92853">
      <w:pPr>
        <w:keepNext/>
        <w:widowControl w:val="0"/>
        <w:tabs>
          <w:tab w:val="left" w:pos="1701"/>
        </w:tabs>
        <w:spacing w:after="260" w:line="360" w:lineRule="auto"/>
        <w:ind w:left="425"/>
        <w:rPr>
          <w:rFonts w:cs="Arial"/>
          <w:szCs w:val="24"/>
        </w:rPr>
      </w:pPr>
      <w:r w:rsidRPr="005E432D">
        <w:rPr>
          <w:rFonts w:cs="Arial"/>
          <w:b/>
          <w:szCs w:val="24"/>
        </w:rPr>
        <w:t xml:space="preserve">2.6 </w:t>
      </w:r>
      <w:r w:rsidRPr="005E432D">
        <w:rPr>
          <w:rFonts w:cs="Arial"/>
          <w:szCs w:val="24"/>
        </w:rPr>
        <w:t>La empresa asociada CONECTA S.A. de la cual ANCAP es propietaria d</w:t>
      </w:r>
      <w:r>
        <w:rPr>
          <w:rFonts w:cs="Arial"/>
          <w:szCs w:val="24"/>
        </w:rPr>
        <w:t>el  45%  del  paquete accionario,</w:t>
      </w:r>
      <w:r w:rsidRPr="005E432D">
        <w:rPr>
          <w:rFonts w:cs="Arial"/>
          <w:szCs w:val="24"/>
        </w:rPr>
        <w:t xml:space="preserve"> cuyo valor patrimonial proporcional es de $ 87.179.287, no cuenta con Estados Financieros au</w:t>
      </w:r>
      <w:r>
        <w:rPr>
          <w:rFonts w:cs="Arial"/>
          <w:szCs w:val="24"/>
        </w:rPr>
        <w:t>ditados al 31/12/2016 y presentó</w:t>
      </w:r>
      <w:r w:rsidRPr="005E432D">
        <w:rPr>
          <w:rFonts w:cs="Arial"/>
          <w:szCs w:val="24"/>
        </w:rPr>
        <w:t xml:space="preserve"> un índice EBITDA negativo de $ 29.741.152. Est</w:t>
      </w:r>
      <w:r>
        <w:rPr>
          <w:rFonts w:cs="Arial"/>
          <w:szCs w:val="24"/>
        </w:rPr>
        <w:t>e</w:t>
      </w:r>
      <w:r w:rsidRPr="005E432D">
        <w:rPr>
          <w:rFonts w:cs="Arial"/>
          <w:szCs w:val="24"/>
        </w:rPr>
        <w:t xml:space="preserve"> indicio de deterioro y los efectos </w:t>
      </w:r>
      <w:r>
        <w:rPr>
          <w:rFonts w:cs="Arial"/>
          <w:szCs w:val="24"/>
        </w:rPr>
        <w:t>contables</w:t>
      </w:r>
      <w:r w:rsidRPr="005E432D">
        <w:rPr>
          <w:rFonts w:cs="Arial"/>
          <w:szCs w:val="24"/>
        </w:rPr>
        <w:t xml:space="preserve"> del mismo no fueron evaluados por el </w:t>
      </w:r>
      <w:r>
        <w:rPr>
          <w:rFonts w:cs="Arial"/>
          <w:szCs w:val="24"/>
        </w:rPr>
        <w:t>Ente en sus Estados Financieros Individuales al 31/12/2016, y no se cuenta con evidencia suficiente sobre el valor de la inversión en dicha empresa asociada.</w:t>
      </w:r>
    </w:p>
    <w:p w:rsidR="001D2594" w:rsidRDefault="001D2594" w:rsidP="00ED6474">
      <w:pPr>
        <w:keepNext/>
        <w:widowControl w:val="0"/>
        <w:tabs>
          <w:tab w:val="left" w:pos="426"/>
        </w:tabs>
        <w:spacing w:after="260" w:line="360" w:lineRule="auto"/>
        <w:ind w:left="426"/>
        <w:rPr>
          <w:rFonts w:cs="Arial"/>
          <w:szCs w:val="24"/>
        </w:rPr>
      </w:pPr>
      <w:r w:rsidRPr="005E432D">
        <w:rPr>
          <w:rFonts w:cs="Arial"/>
          <w:b/>
          <w:szCs w:val="24"/>
        </w:rPr>
        <w:t xml:space="preserve">2.7 </w:t>
      </w:r>
      <w:r w:rsidRPr="005E432D">
        <w:rPr>
          <w:rFonts w:cs="Arial"/>
          <w:szCs w:val="24"/>
        </w:rPr>
        <w:t>La empresa asociada Gasoducto Cruz del Sur S.A. de la cual ANCAP es propietaria del 20% del paquete accionario, está expuesta por un valor patrimonial</w:t>
      </w:r>
      <w:r>
        <w:rPr>
          <w:rFonts w:cs="Arial"/>
          <w:szCs w:val="24"/>
        </w:rPr>
        <w:t xml:space="preserve"> proporcional de $ 535.470.844. En la nota 19</w:t>
      </w:r>
      <w:r w:rsidRPr="005E432D">
        <w:rPr>
          <w:rFonts w:cs="Arial"/>
          <w:szCs w:val="24"/>
        </w:rPr>
        <w:t xml:space="preserve">.1  de los Estados Financieros </w:t>
      </w:r>
      <w:r>
        <w:rPr>
          <w:rFonts w:cs="Arial"/>
          <w:szCs w:val="24"/>
        </w:rPr>
        <w:t xml:space="preserve">Individuales </w:t>
      </w:r>
      <w:r w:rsidRPr="005E432D">
        <w:rPr>
          <w:rFonts w:cs="Arial"/>
          <w:szCs w:val="24"/>
        </w:rPr>
        <w:t xml:space="preserve">se expresa que </w:t>
      </w:r>
      <w:r w:rsidRPr="00DE6721">
        <w:rPr>
          <w:rFonts w:cs="Arial"/>
          <w:szCs w:val="24"/>
        </w:rPr>
        <w:t>Gasoducto Cruz del Sur S.A. actualmente</w:t>
      </w:r>
      <w:r>
        <w:rPr>
          <w:rFonts w:cs="Arial"/>
          <w:b/>
          <w:szCs w:val="24"/>
        </w:rPr>
        <w:t xml:space="preserve"> </w:t>
      </w:r>
      <w:r w:rsidRPr="00ED4119">
        <w:rPr>
          <w:rFonts w:cs="Arial"/>
          <w:szCs w:val="24"/>
        </w:rPr>
        <w:t>se</w:t>
      </w:r>
      <w:r>
        <w:rPr>
          <w:rFonts w:cs="Arial"/>
          <w:b/>
          <w:szCs w:val="24"/>
        </w:rPr>
        <w:t xml:space="preserve"> </w:t>
      </w:r>
      <w:r w:rsidRPr="005E432D">
        <w:rPr>
          <w:rFonts w:cs="Arial"/>
          <w:szCs w:val="24"/>
        </w:rPr>
        <w:t>financia con contratos de reserva de capacidad con Argentina firmados en 2002 y que vencen en noviembre de 2017</w:t>
      </w:r>
      <w:r>
        <w:rPr>
          <w:rFonts w:cs="Arial"/>
          <w:szCs w:val="24"/>
        </w:rPr>
        <w:t>. La</w:t>
      </w:r>
      <w:r w:rsidRPr="005E432D">
        <w:rPr>
          <w:rFonts w:cs="Arial"/>
          <w:szCs w:val="24"/>
        </w:rPr>
        <w:t xml:space="preserve"> cancelación </w:t>
      </w:r>
      <w:r>
        <w:rPr>
          <w:rFonts w:cs="Arial"/>
          <w:szCs w:val="24"/>
        </w:rPr>
        <w:t xml:space="preserve">de los contratos </w:t>
      </w:r>
      <w:r w:rsidRPr="005E432D">
        <w:rPr>
          <w:rFonts w:cs="Arial"/>
          <w:szCs w:val="24"/>
        </w:rPr>
        <w:t xml:space="preserve">podría eventualmente </w:t>
      </w:r>
      <w:r>
        <w:rPr>
          <w:rFonts w:cs="Arial"/>
          <w:szCs w:val="24"/>
        </w:rPr>
        <w:t>afecta</w:t>
      </w:r>
      <w:r w:rsidRPr="005E432D">
        <w:rPr>
          <w:rFonts w:cs="Arial"/>
          <w:szCs w:val="24"/>
        </w:rPr>
        <w:t>r el valor en libros de  algunos activos y pasivos significativos</w:t>
      </w:r>
      <w:r>
        <w:rPr>
          <w:rFonts w:cs="Arial"/>
          <w:szCs w:val="24"/>
        </w:rPr>
        <w:t>. Expresa además que persiste una situación de escasez de gas natural en Uruguay  manteniendo</w:t>
      </w:r>
      <w:r w:rsidRPr="005E432D">
        <w:rPr>
          <w:rFonts w:cs="Arial"/>
          <w:szCs w:val="24"/>
        </w:rPr>
        <w:t xml:space="preserve"> </w:t>
      </w:r>
      <w:r>
        <w:rPr>
          <w:rFonts w:cs="Arial"/>
          <w:szCs w:val="24"/>
        </w:rPr>
        <w:t>un</w:t>
      </w:r>
      <w:r w:rsidRPr="005E432D">
        <w:rPr>
          <w:rFonts w:cs="Arial"/>
          <w:szCs w:val="24"/>
        </w:rPr>
        <w:t xml:space="preserve"> bajo desarrollo del mercado ante la  incertidumbre respecto a la disponib</w:t>
      </w:r>
      <w:r>
        <w:rPr>
          <w:rFonts w:cs="Arial"/>
          <w:szCs w:val="24"/>
        </w:rPr>
        <w:t xml:space="preserve">ilidad y el precio del producto, lo que no permitió obtener evidencia suficiente del valor contable de la inversión antes mencionada. </w:t>
      </w:r>
      <w:r w:rsidRPr="005E432D">
        <w:rPr>
          <w:rFonts w:cs="Arial"/>
          <w:szCs w:val="24"/>
        </w:rPr>
        <w:t>En consecuencia, el valor contable de las inversiones no recoge los eventuales ajustes que podrían s</w:t>
      </w:r>
      <w:r>
        <w:rPr>
          <w:rFonts w:cs="Arial"/>
          <w:szCs w:val="24"/>
        </w:rPr>
        <w:t>er necesarios de la resolución</w:t>
      </w:r>
      <w:r w:rsidRPr="005E432D">
        <w:rPr>
          <w:rFonts w:cs="Arial"/>
          <w:szCs w:val="24"/>
        </w:rPr>
        <w:t xml:space="preserve"> final de dicha</w:t>
      </w:r>
      <w:r>
        <w:rPr>
          <w:rFonts w:cs="Arial"/>
          <w:szCs w:val="24"/>
        </w:rPr>
        <w:t>s</w:t>
      </w:r>
      <w:r w:rsidRPr="005E432D">
        <w:rPr>
          <w:rFonts w:cs="Arial"/>
          <w:szCs w:val="24"/>
        </w:rPr>
        <w:t xml:space="preserve"> incertidumbre</w:t>
      </w:r>
      <w:r>
        <w:rPr>
          <w:rFonts w:cs="Arial"/>
          <w:szCs w:val="24"/>
        </w:rPr>
        <w:t>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 xml:space="preserve">2.8 </w:t>
      </w:r>
      <w:r w:rsidRPr="005E432D">
        <w:rPr>
          <w:rFonts w:cs="Arial"/>
          <w:szCs w:val="24"/>
        </w:rPr>
        <w:t>UTE y ANCAP mantienen un negocio conjunto en la empresa Gas Sayago S.A. al compartir ambas el control y la influencia en la toma de decisiones de políticas operativas y financiera</w:t>
      </w:r>
      <w:r>
        <w:rPr>
          <w:rFonts w:cs="Arial"/>
          <w:szCs w:val="24"/>
        </w:rPr>
        <w:t>s</w:t>
      </w:r>
      <w:r w:rsidRPr="005E432D">
        <w:rPr>
          <w:rFonts w:cs="Arial"/>
          <w:szCs w:val="24"/>
        </w:rPr>
        <w:t xml:space="preserve"> de la Sociedad.</w:t>
      </w:r>
      <w:r>
        <w:rPr>
          <w:rFonts w:cs="Arial"/>
          <w:szCs w:val="24"/>
        </w:rPr>
        <w:t xml:space="preserve"> ANCAP es</w:t>
      </w:r>
      <w:r w:rsidRPr="005E432D">
        <w:rPr>
          <w:rFonts w:cs="Arial"/>
          <w:szCs w:val="24"/>
        </w:rPr>
        <w:t xml:space="preserve"> propietaria del 20.65% del capi</w:t>
      </w:r>
      <w:r>
        <w:rPr>
          <w:rFonts w:cs="Arial"/>
          <w:szCs w:val="24"/>
        </w:rPr>
        <w:t>tal accionario de dicha empresa y</w:t>
      </w:r>
      <w:r w:rsidRPr="005E432D">
        <w:rPr>
          <w:rFonts w:cs="Arial"/>
          <w:szCs w:val="24"/>
        </w:rPr>
        <w:t xml:space="preserve"> </w:t>
      </w:r>
      <w:r>
        <w:rPr>
          <w:rFonts w:cs="Arial"/>
          <w:szCs w:val="24"/>
        </w:rPr>
        <w:t>s</w:t>
      </w:r>
      <w:r w:rsidRPr="005E432D">
        <w:rPr>
          <w:rFonts w:cs="Arial"/>
          <w:szCs w:val="24"/>
        </w:rPr>
        <w:t>u valor patrimonial proporcional totaliza $ 90.108.417.</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Gas Sayago S.A. reconoció pérdidas por deterioro de sus activos en el ejercicio 2016 por un importe de $ 184:640.217</w:t>
      </w:r>
      <w:r>
        <w:rPr>
          <w:rFonts w:cs="Arial"/>
          <w:szCs w:val="24"/>
        </w:rPr>
        <w:t>,</w:t>
      </w:r>
      <w:r w:rsidRPr="005E432D">
        <w:rPr>
          <w:rFonts w:cs="Arial"/>
          <w:szCs w:val="24"/>
        </w:rPr>
        <w:t xml:space="preserve"> ajuste que fue considerado por ANCAP en sus Estados Financieros </w:t>
      </w:r>
      <w:r>
        <w:rPr>
          <w:rFonts w:cs="Arial"/>
          <w:szCs w:val="24"/>
        </w:rPr>
        <w:t>Individuales</w:t>
      </w:r>
      <w:r w:rsidRPr="005E432D">
        <w:rPr>
          <w:rFonts w:cs="Arial"/>
          <w:szCs w:val="24"/>
        </w:rPr>
        <w:t xml:space="preserve">. A pesar de </w:t>
      </w:r>
      <w:r>
        <w:rPr>
          <w:rFonts w:cs="Arial"/>
          <w:szCs w:val="24"/>
        </w:rPr>
        <w:t>dicho reconocimiento</w:t>
      </w:r>
      <w:r w:rsidRPr="005E432D">
        <w:rPr>
          <w:rFonts w:cs="Arial"/>
          <w:szCs w:val="24"/>
        </w:rPr>
        <w:t>, Gas Sayago S.A. presentó un índice EBITDA negativo de $ 78.606.955</w:t>
      </w:r>
      <w:r>
        <w:rPr>
          <w:rFonts w:cs="Arial"/>
          <w:szCs w:val="24"/>
        </w:rPr>
        <w:t>. Este indicio de deterioro y los</w:t>
      </w:r>
      <w:r w:rsidRPr="005E432D">
        <w:rPr>
          <w:rFonts w:cs="Arial"/>
          <w:szCs w:val="24"/>
        </w:rPr>
        <w:t xml:space="preserve"> efectos </w:t>
      </w:r>
      <w:r>
        <w:rPr>
          <w:rFonts w:cs="Arial"/>
          <w:szCs w:val="24"/>
        </w:rPr>
        <w:t xml:space="preserve">del mismo </w:t>
      </w:r>
      <w:r w:rsidRPr="005E432D">
        <w:rPr>
          <w:rFonts w:cs="Arial"/>
          <w:szCs w:val="24"/>
        </w:rPr>
        <w:t>no fue</w:t>
      </w:r>
      <w:r>
        <w:rPr>
          <w:rFonts w:cs="Arial"/>
          <w:szCs w:val="24"/>
        </w:rPr>
        <w:t xml:space="preserve"> evaluado</w:t>
      </w:r>
      <w:r w:rsidRPr="005E432D">
        <w:rPr>
          <w:rFonts w:cs="Arial"/>
          <w:szCs w:val="24"/>
        </w:rPr>
        <w:t xml:space="preserve"> por el Ente en sus estados Financieros </w:t>
      </w:r>
      <w:r>
        <w:rPr>
          <w:rFonts w:cs="Arial"/>
          <w:szCs w:val="24"/>
        </w:rPr>
        <w:t>Individuale</w:t>
      </w:r>
      <w:r w:rsidRPr="005E432D">
        <w:rPr>
          <w:rFonts w:cs="Arial"/>
          <w:szCs w:val="24"/>
        </w:rPr>
        <w:t>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Los auditores externos se abstuvieron de emitir opinión sobre los Estados Financieros de Gas Sayago S.A. al 31/12/2016, dada la incertidumbre actual de continuar con el proyecto de regasific</w:t>
      </w:r>
      <w:r>
        <w:rPr>
          <w:rFonts w:cs="Arial"/>
          <w:szCs w:val="24"/>
        </w:rPr>
        <w:t>ación, hecho que podría afectar</w:t>
      </w:r>
      <w:r w:rsidRPr="005E432D">
        <w:rPr>
          <w:rFonts w:cs="Arial"/>
          <w:szCs w:val="24"/>
        </w:rPr>
        <w:t xml:space="preserve"> el valor en libros de los activos y pasivos de dicha empresa.</w:t>
      </w:r>
    </w:p>
    <w:p w:rsidR="001D2594" w:rsidRDefault="001D2594" w:rsidP="00ED6474">
      <w:pPr>
        <w:keepNext/>
        <w:widowControl w:val="0"/>
        <w:tabs>
          <w:tab w:val="left" w:pos="1701"/>
        </w:tabs>
        <w:spacing w:after="0" w:line="360" w:lineRule="auto"/>
        <w:ind w:left="426"/>
        <w:rPr>
          <w:rFonts w:cs="Arial"/>
          <w:szCs w:val="24"/>
        </w:rPr>
      </w:pPr>
    </w:p>
    <w:p w:rsidR="001D2594" w:rsidRDefault="001D2594" w:rsidP="00ED6474">
      <w:pPr>
        <w:keepNext/>
        <w:widowControl w:val="0"/>
        <w:tabs>
          <w:tab w:val="left" w:pos="1701"/>
        </w:tabs>
        <w:spacing w:after="0" w:line="360" w:lineRule="auto"/>
        <w:ind w:left="426"/>
        <w:rPr>
          <w:rFonts w:cs="Arial"/>
          <w:szCs w:val="24"/>
        </w:rPr>
      </w:pPr>
      <w:r>
        <w:rPr>
          <w:rFonts w:cs="Arial"/>
          <w:b/>
          <w:szCs w:val="24"/>
        </w:rPr>
        <w:t xml:space="preserve">2.9 </w:t>
      </w:r>
      <w:r>
        <w:rPr>
          <w:rFonts w:cs="Arial"/>
          <w:szCs w:val="24"/>
        </w:rPr>
        <w:t xml:space="preserve">Por lo expresado en los numerales que anteceden 2.1 a 2.8, </w:t>
      </w:r>
      <w:r w:rsidRPr="005E432D">
        <w:rPr>
          <w:rFonts w:cs="Arial"/>
          <w:szCs w:val="24"/>
        </w:rPr>
        <w:t xml:space="preserve">no se dispone de evidencia de auditoría suficiente </w:t>
      </w:r>
      <w:r>
        <w:rPr>
          <w:rFonts w:cs="Arial"/>
          <w:szCs w:val="24"/>
        </w:rPr>
        <w:t xml:space="preserve">sobre el importe </w:t>
      </w:r>
      <w:r w:rsidRPr="005E432D">
        <w:rPr>
          <w:rFonts w:cs="Arial"/>
          <w:szCs w:val="24"/>
        </w:rPr>
        <w:t xml:space="preserve">de los activos y pasivos expuestos en los Estados </w:t>
      </w:r>
      <w:r>
        <w:rPr>
          <w:rFonts w:cs="Arial"/>
          <w:szCs w:val="24"/>
        </w:rPr>
        <w:t>Financieros</w:t>
      </w:r>
      <w:r w:rsidRPr="005E432D">
        <w:rPr>
          <w:rFonts w:cs="Arial"/>
          <w:szCs w:val="24"/>
        </w:rPr>
        <w:t xml:space="preserve"> </w:t>
      </w:r>
      <w:r>
        <w:rPr>
          <w:rFonts w:cs="Arial"/>
          <w:szCs w:val="24"/>
        </w:rPr>
        <w:t>Individuales</w:t>
      </w:r>
      <w:r w:rsidRPr="005E432D">
        <w:rPr>
          <w:rFonts w:cs="Arial"/>
          <w:szCs w:val="24"/>
        </w:rPr>
        <w:t xml:space="preserve"> de ANCAP</w:t>
      </w:r>
      <w:r>
        <w:rPr>
          <w:rFonts w:cs="Arial"/>
          <w:szCs w:val="24"/>
        </w:rPr>
        <w:t xml:space="preserve"> al 31/12/2016, relacionada con dichas inversiones</w:t>
      </w:r>
      <w:r w:rsidRPr="005E432D">
        <w:rPr>
          <w:rFonts w:cs="Arial"/>
          <w:szCs w:val="24"/>
        </w:rPr>
        <w:t>.</w:t>
      </w:r>
    </w:p>
    <w:p w:rsidR="001D2594" w:rsidRDefault="001D2594" w:rsidP="00ED6474">
      <w:pPr>
        <w:keepNext/>
        <w:widowControl w:val="0"/>
        <w:spacing w:after="0" w:line="360" w:lineRule="auto"/>
        <w:ind w:left="426"/>
        <w:rPr>
          <w:rFonts w:cs="Arial"/>
          <w:b/>
          <w:szCs w:val="24"/>
        </w:rPr>
      </w:pPr>
    </w:p>
    <w:p w:rsidR="001D2594" w:rsidRPr="005E432D" w:rsidRDefault="001D2594" w:rsidP="00ED6474">
      <w:pPr>
        <w:keepNext/>
        <w:widowControl w:val="0"/>
        <w:spacing w:after="0" w:line="360" w:lineRule="auto"/>
        <w:ind w:left="426"/>
        <w:rPr>
          <w:rFonts w:cs="Arial"/>
          <w:b/>
          <w:szCs w:val="24"/>
        </w:rPr>
      </w:pPr>
      <w:r w:rsidRPr="005E432D">
        <w:rPr>
          <w:rFonts w:cs="Arial"/>
          <w:b/>
          <w:szCs w:val="24"/>
        </w:rPr>
        <w:t>Opinión calificada</w:t>
      </w:r>
    </w:p>
    <w:p w:rsidR="001D2594" w:rsidRDefault="001D2594" w:rsidP="00ED6474">
      <w:pPr>
        <w:keepNext/>
        <w:widowControl w:val="0"/>
        <w:spacing w:after="0" w:line="360" w:lineRule="auto"/>
        <w:rPr>
          <w:rFonts w:cs="Arial"/>
          <w:szCs w:val="24"/>
        </w:rPr>
      </w:pPr>
    </w:p>
    <w:p w:rsidR="001D2594" w:rsidRDefault="001D2594" w:rsidP="00ED6474">
      <w:pPr>
        <w:keepNext/>
        <w:widowControl w:val="0"/>
        <w:spacing w:after="0" w:line="360" w:lineRule="auto"/>
        <w:ind w:left="426"/>
        <w:rPr>
          <w:rFonts w:cs="Arial"/>
          <w:szCs w:val="24"/>
        </w:rPr>
      </w:pPr>
      <w:r w:rsidRPr="005E432D">
        <w:rPr>
          <w:rFonts w:cs="Arial"/>
          <w:szCs w:val="24"/>
        </w:rPr>
        <w:t xml:space="preserve">En opinión del Tribunal de Cuentas,  excepto por lo expresado en la sección “Bases para la calificación de opinión”,  los </w:t>
      </w:r>
      <w:r>
        <w:rPr>
          <w:rFonts w:cs="Arial"/>
          <w:szCs w:val="24"/>
        </w:rPr>
        <w:t>E</w:t>
      </w:r>
      <w:r w:rsidRPr="005E432D">
        <w:rPr>
          <w:rFonts w:cs="Arial"/>
          <w:szCs w:val="24"/>
        </w:rPr>
        <w:t xml:space="preserve">stados </w:t>
      </w:r>
      <w:r>
        <w:rPr>
          <w:rFonts w:cs="Arial"/>
          <w:szCs w:val="24"/>
        </w:rPr>
        <w:t>F</w:t>
      </w:r>
      <w:r w:rsidRPr="005E432D">
        <w:rPr>
          <w:rFonts w:cs="Arial"/>
          <w:szCs w:val="24"/>
        </w:rPr>
        <w:t xml:space="preserve">inancieros </w:t>
      </w:r>
      <w:r>
        <w:rPr>
          <w:rFonts w:cs="Arial"/>
          <w:szCs w:val="24"/>
        </w:rPr>
        <w:t xml:space="preserve">Individuales </w:t>
      </w:r>
      <w:r w:rsidRPr="005E432D">
        <w:rPr>
          <w:rFonts w:cs="Arial"/>
          <w:szCs w:val="24"/>
        </w:rPr>
        <w:t>referidos precedentemente presentan razonablemente, en todos sus aspectos importantes, la situación financiera de ANCAP al 31 de diciembre 2016, los resultados de sus operaciones y los flujos de efectivo correspondientes al ejercicio anual terminado en esa fecha, de acuerdo con las normas contables adecuadas en Uruguay y la Ordenanza Nº 81 del Tribunal de Cuentas.</w:t>
      </w:r>
    </w:p>
    <w:p w:rsidR="001B6541" w:rsidRPr="005E432D" w:rsidRDefault="001B6541" w:rsidP="00ED6474">
      <w:pPr>
        <w:keepNext/>
        <w:widowControl w:val="0"/>
        <w:spacing w:after="0" w:line="360" w:lineRule="auto"/>
        <w:ind w:left="426"/>
        <w:rPr>
          <w:rFonts w:cs="Arial"/>
          <w:szCs w:val="24"/>
        </w:rPr>
      </w:pPr>
    </w:p>
    <w:p w:rsidR="001D2594" w:rsidRPr="005E432D" w:rsidRDefault="001D2594" w:rsidP="00ED6474">
      <w:pPr>
        <w:keepNext/>
        <w:widowControl w:val="0"/>
        <w:spacing w:after="260" w:line="200" w:lineRule="atLeast"/>
        <w:ind w:left="426"/>
        <w:rPr>
          <w:rFonts w:cs="Arial"/>
          <w:b/>
          <w:szCs w:val="24"/>
        </w:rPr>
      </w:pPr>
      <w:r w:rsidRPr="005E432D">
        <w:rPr>
          <w:rFonts w:cs="Arial"/>
          <w:b/>
          <w:szCs w:val="24"/>
        </w:rPr>
        <w:t>Párrafo</w:t>
      </w:r>
      <w:r>
        <w:rPr>
          <w:rFonts w:cs="Arial"/>
          <w:b/>
          <w:szCs w:val="24"/>
        </w:rPr>
        <w:t>s</w:t>
      </w:r>
      <w:r w:rsidRPr="005E432D">
        <w:rPr>
          <w:rFonts w:cs="Arial"/>
          <w:b/>
          <w:szCs w:val="24"/>
        </w:rPr>
        <w:t xml:space="preserve"> de énfasis de asuntos</w:t>
      </w:r>
    </w:p>
    <w:p w:rsidR="001D2594" w:rsidRPr="005E432D" w:rsidRDefault="001D2594" w:rsidP="00ED6474">
      <w:pPr>
        <w:keepNext/>
        <w:widowControl w:val="0"/>
        <w:spacing w:after="0" w:line="360" w:lineRule="auto"/>
        <w:ind w:left="426"/>
        <w:rPr>
          <w:rFonts w:cs="Arial"/>
          <w:szCs w:val="24"/>
        </w:rPr>
      </w:pPr>
      <w:r w:rsidRPr="005E432D">
        <w:rPr>
          <w:rFonts w:cs="Arial"/>
          <w:szCs w:val="24"/>
        </w:rPr>
        <w:t>Sin afectar nuestra opinión hacemos énfasis respecto de</w:t>
      </w:r>
      <w:r w:rsidR="00ED6474">
        <w:rPr>
          <w:rFonts w:cs="Arial"/>
          <w:szCs w:val="24"/>
        </w:rPr>
        <w:t xml:space="preserve"> la situación que se revela en:</w:t>
      </w:r>
    </w:p>
    <w:p w:rsidR="001D2594" w:rsidRPr="005E432D" w:rsidRDefault="001D2594" w:rsidP="00ED6474">
      <w:pPr>
        <w:keepNext/>
        <w:widowControl w:val="0"/>
        <w:spacing w:after="0" w:line="360" w:lineRule="auto"/>
        <w:ind w:left="426"/>
      </w:pPr>
      <w:r>
        <w:rPr>
          <w:rFonts w:cs="Arial"/>
          <w:szCs w:val="24"/>
        </w:rPr>
        <w:t>1- En la N</w:t>
      </w:r>
      <w:r w:rsidRPr="005E432D">
        <w:rPr>
          <w:rFonts w:cs="Arial"/>
          <w:szCs w:val="24"/>
        </w:rPr>
        <w:t xml:space="preserve">ota N° 12 a los Estados Financieros </w:t>
      </w:r>
      <w:r>
        <w:rPr>
          <w:rFonts w:cs="Arial"/>
          <w:szCs w:val="24"/>
        </w:rPr>
        <w:t xml:space="preserve">Individuales referente al </w:t>
      </w:r>
      <w:r w:rsidRPr="005E432D">
        <w:rPr>
          <w:rFonts w:cs="Arial"/>
          <w:szCs w:val="24"/>
        </w:rPr>
        <w:t xml:space="preserve">Impuesto a la Renta, se expone una </w:t>
      </w:r>
      <w:r>
        <w:rPr>
          <w:rFonts w:cs="Arial"/>
          <w:szCs w:val="24"/>
        </w:rPr>
        <w:t>disminución</w:t>
      </w:r>
      <w:r w:rsidRPr="005E432D">
        <w:rPr>
          <w:rFonts w:cs="Arial"/>
          <w:szCs w:val="24"/>
        </w:rPr>
        <w:t xml:space="preserve"> del activo por impuesto diferido de $ 3.173.513.207  registrado con cargo al rubro Capital Social en cumplimiento del tratamiento contable de excepción establecido en el párrafo 61.A de la NIC 12- Impuesto a las Ganancias, que establece que: “</w:t>
      </w:r>
      <w:r w:rsidRPr="005E432D">
        <w:t xml:space="preserve">Los impuestos corrientes y los impuestos diferidos deberán reconocerse fuera del resultado si se relacionan con partidas que se reconocen, en el mismo periodo o en otro diferente, fuera del resultado. Por lo tanto, los impuestos corrientes y los impuestos diferidos que se relacionan con partidas que se reconocen, en el mismo periodo o en otro diferente: (a) en otro resultado integral, deberán reconocerse en otro resultado integral. (b) </w:t>
      </w:r>
      <w:proofErr w:type="gramStart"/>
      <w:r w:rsidRPr="005E432D">
        <w:t>directamente</w:t>
      </w:r>
      <w:proofErr w:type="gramEnd"/>
      <w:r w:rsidRPr="005E432D">
        <w:t xml:space="preserve"> en patrimonio, deberán reconocerse</w:t>
      </w:r>
      <w:r w:rsidR="00ED6474">
        <w:t xml:space="preserve"> directamente en el patrimonio”</w:t>
      </w:r>
      <w:r w:rsidR="001B6541">
        <w:t>.</w:t>
      </w:r>
    </w:p>
    <w:p w:rsidR="001D2594" w:rsidRPr="005E432D" w:rsidRDefault="001D2594" w:rsidP="00ED6474">
      <w:pPr>
        <w:keepNext/>
        <w:widowControl w:val="0"/>
        <w:spacing w:after="0" w:line="360" w:lineRule="auto"/>
        <w:ind w:left="426"/>
      </w:pPr>
      <w:r w:rsidRPr="005E432D">
        <w:t xml:space="preserve">Este tratamiento contable no es consistente con los adoptados en los ejercicios anteriores por el </w:t>
      </w:r>
      <w:r>
        <w:t>Ente</w:t>
      </w:r>
      <w:r w:rsidRPr="005E432D">
        <w:t xml:space="preserve"> ante cambios en los activos y pasivos por </w:t>
      </w:r>
      <w:r w:rsidRPr="005E432D">
        <w:rPr>
          <w:rFonts w:cs="Arial"/>
          <w:szCs w:val="24"/>
        </w:rPr>
        <w:t>Impuesto Diferido a la Renta, los cuales se registraban con cargo al Resultado del Ejercicio de cada período.</w:t>
      </w:r>
    </w:p>
    <w:p w:rsidR="001D2594" w:rsidRDefault="001D2594" w:rsidP="00ED6474">
      <w:pPr>
        <w:keepNext/>
        <w:widowControl w:val="0"/>
        <w:spacing w:after="0" w:line="360" w:lineRule="auto"/>
        <w:ind w:left="426"/>
        <w:rPr>
          <w:rFonts w:cs="Arial"/>
          <w:szCs w:val="24"/>
        </w:rPr>
      </w:pPr>
      <w:r w:rsidRPr="005E432D">
        <w:rPr>
          <w:rFonts w:cs="Arial"/>
          <w:b/>
          <w:szCs w:val="24"/>
        </w:rPr>
        <w:t>2-</w:t>
      </w:r>
      <w:r w:rsidRPr="005E432D">
        <w:t xml:space="preserve"> </w:t>
      </w:r>
      <w:r w:rsidRPr="005E432D">
        <w:rPr>
          <w:rFonts w:cs="Arial"/>
          <w:szCs w:val="24"/>
        </w:rPr>
        <w:t xml:space="preserve">Las Notas 8, 17.d y 18.c a los Estados Financieros </w:t>
      </w:r>
      <w:r>
        <w:rPr>
          <w:rFonts w:cs="Arial"/>
          <w:szCs w:val="24"/>
        </w:rPr>
        <w:t xml:space="preserve">Individuales </w:t>
      </w:r>
      <w:r w:rsidRPr="005E432D">
        <w:rPr>
          <w:rFonts w:cs="Arial"/>
          <w:szCs w:val="24"/>
        </w:rPr>
        <w:t>exponen las pérdidas por  deterioro reconocidas sobre los activos del segmento de Negocio Portland de ANCAP por un total de $ 3.620:759.155</w:t>
      </w:r>
      <w:r>
        <w:rPr>
          <w:rFonts w:cs="Arial"/>
          <w:szCs w:val="24"/>
        </w:rPr>
        <w:t xml:space="preserve"> en el ejercicio 2016 y</w:t>
      </w:r>
      <w:r w:rsidRPr="005E432D">
        <w:rPr>
          <w:rFonts w:cs="Arial"/>
          <w:szCs w:val="24"/>
        </w:rPr>
        <w:t xml:space="preserve"> </w:t>
      </w:r>
      <w:r>
        <w:rPr>
          <w:rFonts w:cs="Arial"/>
          <w:szCs w:val="24"/>
        </w:rPr>
        <w:t xml:space="preserve">$ 4.043.000.000 en el ejercicio 2015, </w:t>
      </w:r>
      <w:r w:rsidRPr="005E432D">
        <w:rPr>
          <w:rFonts w:cs="Arial"/>
          <w:szCs w:val="24"/>
        </w:rPr>
        <w:t xml:space="preserve">y sobre los activos </w:t>
      </w:r>
      <w:proofErr w:type="gramStart"/>
      <w:r w:rsidRPr="005E432D">
        <w:rPr>
          <w:rFonts w:cs="Arial"/>
          <w:szCs w:val="24"/>
        </w:rPr>
        <w:t>intangibles ”</w:t>
      </w:r>
      <w:proofErr w:type="gramEnd"/>
      <w:r w:rsidRPr="005E432D">
        <w:rPr>
          <w:rFonts w:cs="Arial"/>
          <w:szCs w:val="24"/>
        </w:rPr>
        <w:t>Exploración Plataforma Sísmica”, por un total de $ 100:000.000</w:t>
      </w:r>
      <w:r>
        <w:rPr>
          <w:rFonts w:cs="Arial"/>
          <w:szCs w:val="24"/>
        </w:rPr>
        <w:t xml:space="preserve"> al 31/12/2016.</w:t>
      </w:r>
    </w:p>
    <w:p w:rsidR="001D2594" w:rsidRPr="00741E75" w:rsidRDefault="001D2594" w:rsidP="00ED6474">
      <w:pPr>
        <w:keepNext/>
        <w:widowControl w:val="0"/>
        <w:spacing w:after="0" w:line="360" w:lineRule="auto"/>
        <w:ind w:left="426"/>
        <w:rPr>
          <w:rFonts w:cs="Arial"/>
          <w:szCs w:val="24"/>
        </w:rPr>
      </w:pPr>
      <w:r w:rsidRPr="00741E75">
        <w:rPr>
          <w:rFonts w:cs="Arial"/>
          <w:b/>
          <w:szCs w:val="24"/>
        </w:rPr>
        <w:t>3-</w:t>
      </w:r>
      <w:r w:rsidR="001B6541">
        <w:rPr>
          <w:rFonts w:cs="Arial"/>
          <w:b/>
          <w:szCs w:val="24"/>
        </w:rPr>
        <w:t xml:space="preserve"> </w:t>
      </w:r>
      <w:r w:rsidRPr="00741E75">
        <w:rPr>
          <w:rFonts w:cs="Arial"/>
          <w:szCs w:val="24"/>
        </w:rPr>
        <w:t>La Nota 19 a los estados Financieros Individuales, expone las pérdidas por deterioro reconocidas por ANCAP, las cuales fueron de $ 838:882.444 en relación al deterioro del negocio de “Cañ</w:t>
      </w:r>
      <w:r w:rsidR="00ED6474">
        <w:rPr>
          <w:rFonts w:cs="Arial"/>
          <w:szCs w:val="24"/>
        </w:rPr>
        <w:t>a, Cereales y Oleaginosos”, y $</w:t>
      </w:r>
      <w:r w:rsidRPr="00741E75">
        <w:rPr>
          <w:rFonts w:cs="Arial"/>
          <w:szCs w:val="24"/>
        </w:rPr>
        <w:t>2:342.596 de activos intangibles por “Gastos de Investigación y exploración”, que gestiona ALUR S.A.</w:t>
      </w:r>
    </w:p>
    <w:p w:rsidR="001D2594" w:rsidRPr="005E432D" w:rsidRDefault="001D2594" w:rsidP="00ED6474">
      <w:pPr>
        <w:keepNext/>
        <w:widowControl w:val="0"/>
        <w:spacing w:after="0" w:line="360" w:lineRule="auto"/>
        <w:rPr>
          <w:rFonts w:cs="Arial"/>
          <w:szCs w:val="24"/>
        </w:rPr>
      </w:pPr>
      <w:r w:rsidRPr="005E432D">
        <w:rPr>
          <w:rFonts w:cs="Arial"/>
          <w:szCs w:val="24"/>
        </w:rPr>
        <w:t>El cumplimiento de las disposiciones legales y reglamentarias vigentes relacionadas con los estados financieros que fueron objeto de examen en el transcurso de la auditoría, se expresa en el Dictamen sobre los Estados Financieros Consolidados.</w:t>
      </w:r>
    </w:p>
    <w:p w:rsidR="001D2594" w:rsidRDefault="001D2594" w:rsidP="00ED6474">
      <w:pPr>
        <w:keepNext/>
        <w:widowControl w:val="0"/>
        <w:spacing w:after="0" w:line="360" w:lineRule="auto"/>
        <w:jc w:val="right"/>
        <w:rPr>
          <w:rFonts w:cs="Arial"/>
          <w:szCs w:val="24"/>
        </w:rPr>
      </w:pPr>
      <w:r w:rsidRPr="005E432D">
        <w:rPr>
          <w:rFonts w:cs="Arial"/>
          <w:szCs w:val="24"/>
        </w:rPr>
        <w:t>Montevideo,</w:t>
      </w:r>
      <w:r>
        <w:rPr>
          <w:rFonts w:cs="Arial"/>
          <w:szCs w:val="24"/>
        </w:rPr>
        <w:t xml:space="preserve"> 31 de</w:t>
      </w:r>
      <w:r w:rsidRPr="005E432D">
        <w:rPr>
          <w:rFonts w:cs="Arial"/>
          <w:szCs w:val="24"/>
        </w:rPr>
        <w:t xml:space="preserve"> octubre  de 2017</w:t>
      </w:r>
    </w:p>
    <w:p w:rsidR="001D2594" w:rsidRPr="005E432D" w:rsidRDefault="001D2594" w:rsidP="00ED6474">
      <w:pPr>
        <w:keepNext/>
        <w:widowControl w:val="0"/>
        <w:spacing w:after="0" w:line="360" w:lineRule="auto"/>
        <w:jc w:val="left"/>
        <w:rPr>
          <w:rFonts w:cs="Arial"/>
          <w:szCs w:val="24"/>
        </w:rPr>
      </w:pPr>
      <w:proofErr w:type="spellStart"/>
      <w:proofErr w:type="gramStart"/>
      <w:r>
        <w:rPr>
          <w:rFonts w:cs="Arial"/>
          <w:szCs w:val="24"/>
        </w:rPr>
        <w:t>cr</w:t>
      </w:r>
      <w:proofErr w:type="spellEnd"/>
      <w:proofErr w:type="gramEnd"/>
    </w:p>
    <w:p w:rsidR="001D2594" w:rsidRPr="005E432D" w:rsidRDefault="001D2594" w:rsidP="00ED6474">
      <w:pPr>
        <w:pStyle w:val="Ttulo1"/>
        <w:keepLines w:val="0"/>
        <w:widowControl w:val="0"/>
        <w:jc w:val="center"/>
        <w:rPr>
          <w:rFonts w:ascii="Arial" w:hAnsi="Arial" w:cs="Arial"/>
          <w:color w:val="auto"/>
          <w:sz w:val="24"/>
          <w:szCs w:val="24"/>
        </w:rPr>
      </w:pPr>
      <w:r w:rsidRPr="005E432D">
        <w:rPr>
          <w:rFonts w:ascii="Arial" w:hAnsi="Arial" w:cs="Arial"/>
          <w:color w:val="auto"/>
          <w:sz w:val="24"/>
          <w:szCs w:val="24"/>
        </w:rPr>
        <w:t>DICTAMEN</w:t>
      </w:r>
      <w:bookmarkStart w:id="1" w:name="_Toc442341997"/>
    </w:p>
    <w:bookmarkEnd w:id="1"/>
    <w:p w:rsidR="001D2594" w:rsidRPr="005E432D" w:rsidRDefault="001D2594" w:rsidP="00ED6474">
      <w:pPr>
        <w:pStyle w:val="Textoindependiente"/>
        <w:keepNext/>
        <w:widowControl w:val="0"/>
        <w:spacing w:line="360" w:lineRule="auto"/>
        <w:rPr>
          <w:rFonts w:ascii="Arial" w:hAnsi="Arial" w:cs="Arial"/>
          <w:sz w:val="24"/>
          <w:szCs w:val="24"/>
        </w:rPr>
      </w:pPr>
    </w:p>
    <w:p w:rsidR="001D2594" w:rsidRPr="005E432D"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El Tribunal de Cuentas ha examinado los Estados Financieros Consolidados de la Administración Nacional de Combustibles, Alcohol y Portland (ANCAP) y sus subsidiarias que comprenden el Estado de Situación Financiera Consolidado al 31 de diciembre de 2016, los correspondientes Estados Consolidados de Resultados, de Pérdidas o Ganancias y Otros Resultados Integrales, de Cambios en el Patrimonio y de Flujos de Efectivo, por el ejercicio anual finalizado en esa fecha, los Anexos y las Notas de políticas contables significativas a los estados financieros.</w:t>
      </w:r>
    </w:p>
    <w:p w:rsidR="001D2594" w:rsidRPr="005E432D"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También se presentan, en caso de corresponder, los incumplimientos legales constatados por el Tribunal de Cuentas en el curso de la auditoría efectuada.</w:t>
      </w:r>
    </w:p>
    <w:p w:rsidR="001D2594" w:rsidRDefault="001D2594" w:rsidP="00ED6474">
      <w:pPr>
        <w:pStyle w:val="Textoindependiente"/>
        <w:keepNext/>
        <w:widowControl w:val="0"/>
        <w:tabs>
          <w:tab w:val="num" w:pos="142"/>
        </w:tabs>
        <w:spacing w:line="360" w:lineRule="auto"/>
        <w:rPr>
          <w:rFonts w:ascii="Arial" w:hAnsi="Arial" w:cs="Arial"/>
          <w:b/>
          <w:bCs/>
          <w:sz w:val="24"/>
          <w:szCs w:val="24"/>
        </w:rPr>
      </w:pPr>
    </w:p>
    <w:p w:rsidR="001D2594" w:rsidRPr="005E432D" w:rsidRDefault="001D2594" w:rsidP="00ED6474">
      <w:pPr>
        <w:pStyle w:val="Textoindependiente"/>
        <w:keepNext/>
        <w:widowControl w:val="0"/>
        <w:tabs>
          <w:tab w:val="num" w:pos="142"/>
        </w:tabs>
        <w:spacing w:line="360" w:lineRule="auto"/>
        <w:rPr>
          <w:rFonts w:ascii="Arial" w:hAnsi="Arial" w:cs="Arial"/>
          <w:b/>
          <w:bCs/>
          <w:sz w:val="24"/>
          <w:szCs w:val="24"/>
        </w:rPr>
      </w:pPr>
      <w:r w:rsidRPr="005E432D">
        <w:rPr>
          <w:rFonts w:ascii="Arial" w:hAnsi="Arial" w:cs="Arial"/>
          <w:b/>
          <w:bCs/>
          <w:sz w:val="24"/>
          <w:szCs w:val="24"/>
        </w:rPr>
        <w:t>Responsabilidad de la Dirección por los Estados Financieros</w:t>
      </w:r>
    </w:p>
    <w:p w:rsidR="001D2594"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La Dirección de ANCAP es responsable por la preparación y la razonable presentación de estos estados financieros consolidados de acuerdo con normas contables adecuadas en 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D6474" w:rsidRPr="005E432D" w:rsidRDefault="00ED6474" w:rsidP="00ED6474">
      <w:pPr>
        <w:pStyle w:val="Textoindependiente"/>
        <w:keepNext/>
        <w:widowControl w:val="0"/>
        <w:spacing w:line="360" w:lineRule="auto"/>
        <w:rPr>
          <w:rFonts w:ascii="Arial" w:hAnsi="Arial" w:cs="Arial"/>
          <w:sz w:val="24"/>
          <w:szCs w:val="24"/>
        </w:rPr>
      </w:pPr>
    </w:p>
    <w:p w:rsidR="001D2594" w:rsidRPr="005E432D" w:rsidRDefault="001D2594" w:rsidP="00ED6474">
      <w:pPr>
        <w:keepNext/>
        <w:widowControl w:val="0"/>
        <w:spacing w:after="0" w:line="360" w:lineRule="auto"/>
        <w:rPr>
          <w:rFonts w:cs="Arial"/>
          <w:b/>
          <w:szCs w:val="24"/>
        </w:rPr>
      </w:pPr>
      <w:r w:rsidRPr="005E432D">
        <w:rPr>
          <w:rFonts w:cs="Arial"/>
          <w:b/>
          <w:szCs w:val="24"/>
        </w:rPr>
        <w:t>Responsabilidad del Auditor</w:t>
      </w:r>
    </w:p>
    <w:p w:rsidR="001D2594" w:rsidRDefault="001D2594" w:rsidP="00ED6474">
      <w:pPr>
        <w:pStyle w:val="Textonormal"/>
        <w:keepNext/>
        <w:tabs>
          <w:tab w:val="clear" w:pos="-720"/>
        </w:tabs>
        <w:suppressAutoHyphens w:val="0"/>
        <w:spacing w:line="360" w:lineRule="auto"/>
        <w:rPr>
          <w:rFonts w:ascii="Arial" w:hAnsi="Arial" w:cs="Arial"/>
        </w:rPr>
      </w:pPr>
      <w:r w:rsidRPr="005E432D">
        <w:rPr>
          <w:rFonts w:ascii="Arial" w:hAnsi="Arial" w:cs="Arial"/>
        </w:rPr>
        <w:t>La responsabilidad del Tribunal de Cuentas es expresar una opinión sobre dichos estados financieros consolidados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1D2594" w:rsidRPr="005E432D" w:rsidRDefault="001D2594" w:rsidP="00ED6474">
      <w:pPr>
        <w:pStyle w:val="Sangradetindependiente"/>
        <w:keepNext/>
        <w:widowControl w:val="0"/>
        <w:tabs>
          <w:tab w:val="clear" w:pos="860"/>
        </w:tabs>
        <w:spacing w:line="360" w:lineRule="auto"/>
        <w:rPr>
          <w:rFonts w:ascii="Arial" w:hAnsi="Arial" w:cs="Arial"/>
          <w:sz w:val="24"/>
          <w:szCs w:val="24"/>
        </w:rPr>
      </w:pPr>
      <w:r w:rsidRPr="005E432D">
        <w:rPr>
          <w:rFonts w:ascii="Arial" w:hAnsi="Arial" w:cs="Arial"/>
          <w:sz w:val="24"/>
          <w:szCs w:val="24"/>
        </w:rPr>
        <w:t>Estas normas requieren que se cumpla con requisitos éticos, se planifique y se realice la auditoría para obtener seguridad razonable acerca de si los estados financieros están libres de errores significativos.</w:t>
      </w:r>
    </w:p>
    <w:p w:rsidR="001D2594" w:rsidRPr="005E432D" w:rsidRDefault="001D2594" w:rsidP="00ED6474">
      <w:pPr>
        <w:keepNext/>
        <w:widowControl w:val="0"/>
        <w:spacing w:after="0" w:line="360" w:lineRule="auto"/>
        <w:rPr>
          <w:rFonts w:cs="Arial"/>
          <w:szCs w:val="24"/>
        </w:rPr>
      </w:pPr>
      <w:r w:rsidRPr="005E432D">
        <w:rPr>
          <w:rFonts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1D2594" w:rsidRPr="005E432D" w:rsidRDefault="001D2594" w:rsidP="00ED6474">
      <w:pPr>
        <w:keepNext/>
        <w:widowControl w:val="0"/>
        <w:spacing w:after="260" w:line="360" w:lineRule="auto"/>
        <w:rPr>
          <w:rFonts w:cs="Arial"/>
          <w:szCs w:val="24"/>
        </w:rPr>
      </w:pPr>
      <w:r w:rsidRPr="005E432D">
        <w:rPr>
          <w:rFonts w:cs="Arial"/>
          <w:szCs w:val="24"/>
        </w:rPr>
        <w:t>Se considera que la evidencia de auditoría obtenida brinda una base suficiente y apropiada para sustentar la opinión.</w:t>
      </w:r>
    </w:p>
    <w:p w:rsidR="001D2594" w:rsidRPr="005E432D" w:rsidRDefault="001D2594" w:rsidP="00ED6474">
      <w:pPr>
        <w:keepNext/>
        <w:widowControl w:val="0"/>
        <w:spacing w:after="130" w:line="260" w:lineRule="atLeast"/>
        <w:rPr>
          <w:rFonts w:cs="Arial"/>
          <w:b/>
          <w:szCs w:val="24"/>
        </w:rPr>
      </w:pPr>
      <w:r w:rsidRPr="005E432D">
        <w:rPr>
          <w:rFonts w:cs="Arial"/>
          <w:b/>
          <w:szCs w:val="24"/>
        </w:rPr>
        <w:t xml:space="preserve">Bases </w:t>
      </w:r>
      <w:r w:rsidR="00ED6474">
        <w:rPr>
          <w:rFonts w:cs="Arial"/>
          <w:b/>
          <w:szCs w:val="24"/>
        </w:rPr>
        <w:t>para la calificación de opinión</w:t>
      </w:r>
    </w:p>
    <w:p w:rsidR="001D2594" w:rsidRPr="005E432D" w:rsidRDefault="001D2594" w:rsidP="00ED6474">
      <w:pPr>
        <w:pStyle w:val="Prrafodelista"/>
        <w:keepNext/>
        <w:widowControl w:val="0"/>
        <w:numPr>
          <w:ilvl w:val="0"/>
          <w:numId w:val="12"/>
        </w:numPr>
        <w:spacing w:after="0" w:line="360" w:lineRule="auto"/>
        <w:ind w:left="426" w:hanging="426"/>
        <w:jc w:val="both"/>
        <w:rPr>
          <w:rFonts w:ascii="Arial" w:hAnsi="Arial" w:cs="Arial"/>
          <w:sz w:val="24"/>
          <w:szCs w:val="24"/>
        </w:rPr>
      </w:pPr>
      <w:r w:rsidRPr="0017553B">
        <w:rPr>
          <w:rFonts w:ascii="Arial" w:hAnsi="Arial" w:cs="Arial"/>
          <w:sz w:val="24"/>
          <w:szCs w:val="24"/>
        </w:rPr>
        <w:t>Con relación a determinadas ventas  de combustible a UTE efectuadas por ANCAP en los ejercicios 2009 - 2014, se realizaron ajustes de precios cuya información estaba</w:t>
      </w:r>
      <w:r>
        <w:rPr>
          <w:rFonts w:ascii="Arial" w:hAnsi="Arial" w:cs="Arial"/>
          <w:sz w:val="24"/>
          <w:szCs w:val="24"/>
        </w:rPr>
        <w:t xml:space="preserve"> disponible</w:t>
      </w:r>
      <w:r w:rsidRPr="0017553B">
        <w:rPr>
          <w:rFonts w:ascii="Arial" w:hAnsi="Arial" w:cs="Arial"/>
          <w:sz w:val="24"/>
          <w:szCs w:val="24"/>
        </w:rPr>
        <w:t xml:space="preserve"> en dichos ejercicios</w:t>
      </w:r>
      <w:r>
        <w:rPr>
          <w:rFonts w:ascii="Arial" w:hAnsi="Arial" w:cs="Arial"/>
          <w:sz w:val="24"/>
          <w:szCs w:val="24"/>
        </w:rPr>
        <w:t>,</w:t>
      </w:r>
      <w:r w:rsidRPr="0017553B">
        <w:rPr>
          <w:rFonts w:ascii="Arial" w:hAnsi="Arial" w:cs="Arial"/>
          <w:sz w:val="24"/>
          <w:szCs w:val="24"/>
        </w:rPr>
        <w:t xml:space="preserve"> los cuales se contabilizaron con cargo a los Ingresos Operativos del ejercicio bajo examen por la suma de U$S 32.490.679,18 equivalentes  a $ 931.164.717, contraviniendo lo dispuesto en el párrafo 19 de la NIC 18</w:t>
      </w:r>
      <w:r>
        <w:rPr>
          <w:rFonts w:ascii="Arial" w:hAnsi="Arial" w:cs="Arial"/>
          <w:sz w:val="24"/>
          <w:szCs w:val="24"/>
        </w:rPr>
        <w:t>,</w:t>
      </w:r>
      <w:r w:rsidRPr="0017553B">
        <w:rPr>
          <w:rFonts w:ascii="Arial" w:hAnsi="Arial" w:cs="Arial"/>
          <w:sz w:val="24"/>
          <w:szCs w:val="24"/>
        </w:rPr>
        <w:t xml:space="preserve"> y </w:t>
      </w:r>
      <w:r>
        <w:rPr>
          <w:rFonts w:ascii="Arial" w:hAnsi="Arial" w:cs="Arial"/>
          <w:sz w:val="24"/>
          <w:szCs w:val="24"/>
        </w:rPr>
        <w:t>en</w:t>
      </w:r>
      <w:r w:rsidRPr="0017553B">
        <w:rPr>
          <w:rFonts w:ascii="Arial" w:hAnsi="Arial" w:cs="Arial"/>
          <w:sz w:val="24"/>
          <w:szCs w:val="24"/>
        </w:rPr>
        <w:t xml:space="preserve"> el párrafo 4.50 del Marco Conceptual para la Información Financiera. </w:t>
      </w:r>
      <w:r>
        <w:rPr>
          <w:rFonts w:ascii="Arial" w:hAnsi="Arial" w:cs="Arial"/>
          <w:sz w:val="24"/>
          <w:szCs w:val="24"/>
        </w:rPr>
        <w:t>Dichas normas contables establecen que los ingresos de actividades ordinarias y los gastos relacionados con una misma transacción o evento se reconocerán en forma simultánea, proceso que se denomina correlación de gastos con ingresos.</w:t>
      </w:r>
    </w:p>
    <w:p w:rsidR="001D2594" w:rsidRPr="0017553B" w:rsidRDefault="001D2594" w:rsidP="00ED6474">
      <w:pPr>
        <w:pStyle w:val="Prrafodelista"/>
        <w:keepNext/>
        <w:widowControl w:val="0"/>
        <w:spacing w:after="0" w:line="360" w:lineRule="auto"/>
        <w:ind w:left="426"/>
        <w:jc w:val="both"/>
        <w:rPr>
          <w:rFonts w:ascii="Arial" w:hAnsi="Arial" w:cs="Arial"/>
          <w:sz w:val="24"/>
          <w:szCs w:val="24"/>
        </w:rPr>
      </w:pPr>
      <w:r w:rsidRPr="0017553B">
        <w:rPr>
          <w:rFonts w:ascii="Arial" w:hAnsi="Arial" w:cs="Arial"/>
          <w:sz w:val="24"/>
          <w:szCs w:val="24"/>
        </w:rPr>
        <w:t>Esta situación significó la sobrevaluación de los Ingresos Operativos y del Resultado del Ejercicio en $  931.164.717,</w:t>
      </w:r>
      <w:r>
        <w:rPr>
          <w:rFonts w:ascii="Arial" w:hAnsi="Arial" w:cs="Arial"/>
          <w:sz w:val="24"/>
          <w:szCs w:val="24"/>
        </w:rPr>
        <w:t xml:space="preserve"> por lo que este último hubiera significado</w:t>
      </w:r>
      <w:r w:rsidRPr="0017553B">
        <w:rPr>
          <w:rFonts w:ascii="Arial" w:hAnsi="Arial" w:cs="Arial"/>
          <w:sz w:val="24"/>
          <w:szCs w:val="24"/>
        </w:rPr>
        <w:t xml:space="preserve"> una pérdida de $ 617.18</w:t>
      </w:r>
      <w:r>
        <w:rPr>
          <w:rFonts w:ascii="Arial" w:hAnsi="Arial" w:cs="Arial"/>
          <w:sz w:val="24"/>
          <w:szCs w:val="24"/>
        </w:rPr>
        <w:t>3</w:t>
      </w:r>
      <w:r w:rsidRPr="0017553B">
        <w:rPr>
          <w:rFonts w:ascii="Arial" w:hAnsi="Arial" w:cs="Arial"/>
          <w:sz w:val="24"/>
          <w:szCs w:val="24"/>
        </w:rPr>
        <w:t>.204.</w:t>
      </w:r>
    </w:p>
    <w:p w:rsidR="001D2594" w:rsidRPr="005E432D" w:rsidRDefault="001D2594" w:rsidP="00ED6474">
      <w:pPr>
        <w:pStyle w:val="Prrafodelista"/>
        <w:keepNext/>
        <w:widowControl w:val="0"/>
        <w:spacing w:after="0" w:line="360" w:lineRule="auto"/>
        <w:ind w:left="426"/>
        <w:jc w:val="both"/>
        <w:rPr>
          <w:rFonts w:ascii="Arial" w:hAnsi="Arial" w:cs="Arial"/>
          <w:sz w:val="24"/>
          <w:szCs w:val="24"/>
        </w:rPr>
      </w:pPr>
    </w:p>
    <w:p w:rsidR="001D2594" w:rsidRPr="005E432D" w:rsidRDefault="001D2594" w:rsidP="00ED6474">
      <w:pPr>
        <w:keepNext/>
        <w:widowControl w:val="0"/>
        <w:spacing w:after="0" w:line="360" w:lineRule="auto"/>
        <w:ind w:left="426" w:hanging="426"/>
        <w:rPr>
          <w:rFonts w:cs="Arial"/>
          <w:szCs w:val="24"/>
        </w:rPr>
      </w:pPr>
      <w:r w:rsidRPr="005E432D">
        <w:rPr>
          <w:rFonts w:cs="Arial"/>
          <w:b/>
          <w:szCs w:val="24"/>
        </w:rPr>
        <w:t>2-</w:t>
      </w:r>
      <w:r w:rsidRPr="005E432D">
        <w:rPr>
          <w:rFonts w:cs="Arial"/>
          <w:b/>
          <w:szCs w:val="24"/>
        </w:rPr>
        <w:tab/>
      </w:r>
      <w:r w:rsidRPr="005E432D">
        <w:rPr>
          <w:rFonts w:cs="Arial"/>
          <w:szCs w:val="24"/>
        </w:rPr>
        <w:t>En la Nota 21 a los Estados Financie</w:t>
      </w:r>
      <w:r w:rsidR="00ED6474">
        <w:rPr>
          <w:rFonts w:cs="Arial"/>
          <w:szCs w:val="24"/>
        </w:rPr>
        <w:t>ros Consolidados se expone que:</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2.1</w:t>
      </w:r>
      <w:r w:rsidRPr="005E432D">
        <w:rPr>
          <w:rFonts w:cs="Arial"/>
          <w:szCs w:val="24"/>
        </w:rPr>
        <w:t xml:space="preserve"> La empresa ANCSOL S.A. de la cual ANCAP es propietaria del 100% del paquete accionario, presenta al 31/12/2016 un índice EBITDA (beneficio antes de </w:t>
      </w:r>
      <w:hyperlink r:id="rId9" w:tooltip="Intereses" w:history="1">
        <w:r w:rsidRPr="005E432D">
          <w:rPr>
            <w:rFonts w:cs="Arial"/>
            <w:szCs w:val="24"/>
          </w:rPr>
          <w:t>intereses</w:t>
        </w:r>
      </w:hyperlink>
      <w:r w:rsidRPr="005E432D">
        <w:rPr>
          <w:rFonts w:cs="Arial"/>
          <w:szCs w:val="24"/>
        </w:rPr>
        <w:t>, </w:t>
      </w:r>
      <w:hyperlink r:id="rId10" w:tooltip="Impuestos" w:history="1">
        <w:r w:rsidRPr="005E432D">
          <w:rPr>
            <w:rFonts w:cs="Arial"/>
            <w:szCs w:val="24"/>
          </w:rPr>
          <w:t>impuestos</w:t>
        </w:r>
      </w:hyperlink>
      <w:r w:rsidRPr="005E432D">
        <w:rPr>
          <w:rFonts w:cs="Arial"/>
          <w:szCs w:val="24"/>
        </w:rPr>
        <w:t>, </w:t>
      </w:r>
      <w:hyperlink r:id="rId11" w:history="1">
        <w:r w:rsidRPr="005E432D">
          <w:rPr>
            <w:rFonts w:cs="Arial"/>
            <w:szCs w:val="24"/>
          </w:rPr>
          <w:t>depreciaciones</w:t>
        </w:r>
      </w:hyperlink>
      <w:r w:rsidRPr="005E432D">
        <w:rPr>
          <w:rFonts w:cs="Arial"/>
          <w:szCs w:val="24"/>
        </w:rPr>
        <w:t> y </w:t>
      </w:r>
      <w:hyperlink r:id="rId12" w:tooltip="Amortización" w:history="1">
        <w:r w:rsidRPr="005E432D">
          <w:rPr>
            <w:rFonts w:cs="Arial"/>
            <w:szCs w:val="24"/>
          </w:rPr>
          <w:t>amortizaciones</w:t>
        </w:r>
      </w:hyperlink>
      <w:r w:rsidRPr="005E432D">
        <w:rPr>
          <w:rFonts w:cs="Arial"/>
          <w:szCs w:val="24"/>
        </w:rPr>
        <w:t>) negativo de $ 95.801.935. Est</w:t>
      </w:r>
      <w:r>
        <w:rPr>
          <w:rFonts w:cs="Arial"/>
          <w:szCs w:val="24"/>
        </w:rPr>
        <w:t>e</w:t>
      </w:r>
      <w:r w:rsidRPr="005E432D">
        <w:rPr>
          <w:rFonts w:cs="Arial"/>
          <w:szCs w:val="24"/>
        </w:rPr>
        <w:t xml:space="preserve"> indicio de deterioro no fue evaluado por el Ente</w:t>
      </w:r>
      <w:r>
        <w:rPr>
          <w:rFonts w:cs="Arial"/>
          <w:szCs w:val="24"/>
        </w:rPr>
        <w:t xml:space="preserve">, ni tenido </w:t>
      </w:r>
      <w:r w:rsidRPr="005E432D">
        <w:rPr>
          <w:rFonts w:cs="Arial"/>
          <w:szCs w:val="24"/>
        </w:rPr>
        <w:t xml:space="preserve">en cuenta sus posibles efectos </w:t>
      </w:r>
      <w:r>
        <w:rPr>
          <w:rFonts w:cs="Arial"/>
          <w:szCs w:val="24"/>
        </w:rPr>
        <w:t xml:space="preserve">contables </w:t>
      </w:r>
      <w:r w:rsidRPr="005E432D">
        <w:rPr>
          <w:rFonts w:cs="Arial"/>
          <w:szCs w:val="24"/>
        </w:rPr>
        <w:t>en los Estados Financieros Consolidados.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Los auditores externos de ANCSOL S.A. se abstuvieron de emitir opinión sobre sus Estados Financieros debido a la situación financiera de CARBOCLOR S.A., que con fecha 29/12/2016 solicitó  la apertura de un concurso preventivo de acreedores el cual se tramita judicialmente.</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074E7C" w:rsidRDefault="001D2594" w:rsidP="00ED6474">
      <w:pPr>
        <w:keepNext/>
        <w:widowControl w:val="0"/>
        <w:spacing w:after="0" w:line="360" w:lineRule="auto"/>
        <w:ind w:left="426"/>
        <w:rPr>
          <w:rFonts w:cs="Arial"/>
          <w:szCs w:val="24"/>
        </w:rPr>
      </w:pPr>
      <w:r w:rsidRPr="005E432D">
        <w:rPr>
          <w:rFonts w:cs="Arial"/>
          <w:b/>
          <w:szCs w:val="24"/>
        </w:rPr>
        <w:t>2.2</w:t>
      </w:r>
      <w:r w:rsidRPr="005E432D">
        <w:rPr>
          <w:rFonts w:cs="Arial"/>
          <w:szCs w:val="24"/>
        </w:rPr>
        <w:t xml:space="preserve"> La empresa CEMENTOS DEL PLATA S.A. de la cual ANCAP es propietaria del 99.80% del paquete accionario, present</w:t>
      </w:r>
      <w:r>
        <w:rPr>
          <w:rFonts w:cs="Arial"/>
          <w:szCs w:val="24"/>
        </w:rPr>
        <w:t>ó</w:t>
      </w:r>
      <w:r w:rsidRPr="005E432D">
        <w:rPr>
          <w:rFonts w:cs="Arial"/>
          <w:szCs w:val="24"/>
        </w:rPr>
        <w:t xml:space="preserve"> un índice EBITDA negativo de $ 82.774.582. </w:t>
      </w:r>
      <w:r w:rsidRPr="00074E7C">
        <w:rPr>
          <w:rFonts w:cs="Arial"/>
          <w:szCs w:val="24"/>
        </w:rPr>
        <w:t xml:space="preserve">Si bien en las notas a los Estados </w:t>
      </w:r>
      <w:r>
        <w:rPr>
          <w:rFonts w:cs="Arial"/>
          <w:szCs w:val="24"/>
        </w:rPr>
        <w:t xml:space="preserve">Financieros Consolidados ANCAP </w:t>
      </w:r>
      <w:r w:rsidRPr="00074E7C">
        <w:rPr>
          <w:rFonts w:cs="Arial"/>
          <w:szCs w:val="24"/>
        </w:rPr>
        <w:t xml:space="preserve">expresa que fue evaluado el Valor Presente </w:t>
      </w:r>
      <w:r>
        <w:rPr>
          <w:rFonts w:cs="Arial"/>
          <w:szCs w:val="24"/>
        </w:rPr>
        <w:t>N</w:t>
      </w:r>
      <w:r w:rsidRPr="00074E7C">
        <w:rPr>
          <w:rFonts w:cs="Arial"/>
          <w:szCs w:val="24"/>
        </w:rPr>
        <w:t>eto de los flujos de fondos de la Unidad Generadora de Efectivo,  n</w:t>
      </w:r>
      <w:r>
        <w:rPr>
          <w:rFonts w:cs="Arial"/>
          <w:szCs w:val="24"/>
        </w:rPr>
        <w:t>o</w:t>
      </w:r>
      <w:r w:rsidRPr="00074E7C">
        <w:rPr>
          <w:rFonts w:cs="Arial"/>
          <w:szCs w:val="24"/>
        </w:rPr>
        <w:t xml:space="preserve"> se revelan los importes de los flujos netos de fondos, ni el período considerado </w:t>
      </w:r>
      <w:r>
        <w:rPr>
          <w:rFonts w:cs="Arial"/>
          <w:szCs w:val="24"/>
        </w:rPr>
        <w:t>para</w:t>
      </w:r>
      <w:r w:rsidRPr="00074E7C">
        <w:rPr>
          <w:rFonts w:cs="Arial"/>
          <w:szCs w:val="24"/>
        </w:rPr>
        <w:t xml:space="preserve"> realizar la evaluación</w:t>
      </w:r>
      <w:r w:rsidR="00ED6474">
        <w:rPr>
          <w:rFonts w:cs="Arial"/>
          <w:szCs w:val="24"/>
        </w:rPr>
        <w:t>.</w:t>
      </w:r>
    </w:p>
    <w:p w:rsidR="001D2594" w:rsidRPr="005E432D" w:rsidRDefault="001D2594" w:rsidP="00ED6474">
      <w:pPr>
        <w:keepNext/>
        <w:widowControl w:val="0"/>
        <w:tabs>
          <w:tab w:val="left" w:pos="1701"/>
        </w:tabs>
        <w:spacing w:after="0" w:line="360" w:lineRule="auto"/>
        <w:ind w:left="426"/>
        <w:rPr>
          <w:rFonts w:cs="Arial"/>
          <w:b/>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2.3</w:t>
      </w:r>
      <w:r w:rsidRPr="005E432D">
        <w:rPr>
          <w:rFonts w:cs="Arial"/>
          <w:szCs w:val="24"/>
        </w:rPr>
        <w:t xml:space="preserve"> UTE y ANCAP mantienen un negocio conjunto en la empresa Gas Sayago S.A. al compartir ambas el control y la influencia en la toma de decisiones de políticas operativas y financiera</w:t>
      </w:r>
      <w:r>
        <w:rPr>
          <w:rFonts w:cs="Arial"/>
          <w:szCs w:val="24"/>
        </w:rPr>
        <w:t>s</w:t>
      </w:r>
      <w:r w:rsidRPr="005E432D">
        <w:rPr>
          <w:rFonts w:cs="Arial"/>
          <w:szCs w:val="24"/>
        </w:rPr>
        <w:t xml:space="preserve"> de la Sociedad.</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 xml:space="preserve">Gas Sayago S.A. reconoció pérdidas por deterioro de sus activos en el ejercicio 2016 por un importe de $ 184:640.217 ajuste que fue considerado por ANCAP en sus Estados Financieros Consolidados. A pesar de haber reconocido dicho importe de deterioro en el valor de sus activos, Gas Sayago S.A. presentó un índice EBITDA negativo de $ 78.606.955, lo que </w:t>
      </w:r>
      <w:r>
        <w:rPr>
          <w:rFonts w:cs="Arial"/>
          <w:szCs w:val="24"/>
        </w:rPr>
        <w:t>indica indicios de deterioro cuy</w:t>
      </w:r>
      <w:r w:rsidRPr="005E432D">
        <w:rPr>
          <w:rFonts w:cs="Arial"/>
          <w:szCs w:val="24"/>
        </w:rPr>
        <w:t xml:space="preserve">os efectos </w:t>
      </w:r>
      <w:r>
        <w:rPr>
          <w:rFonts w:cs="Arial"/>
          <w:szCs w:val="24"/>
        </w:rPr>
        <w:t>contables</w:t>
      </w:r>
      <w:r w:rsidRPr="005E432D">
        <w:rPr>
          <w:rFonts w:cs="Arial"/>
          <w:szCs w:val="24"/>
        </w:rPr>
        <w:t xml:space="preserve"> no fueron evaluados por el Ente en sus estados Financieros Consolidados.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 xml:space="preserve">Los auditores externos se abstuvieron de emitir opinión sobre los Estados Financieros de Gas Sayago S.A. al 31/12/2016, dada la incertidumbre actual de continuar con el proyecto de regasificación, hecho que podría </w:t>
      </w:r>
      <w:r>
        <w:rPr>
          <w:rFonts w:cs="Arial"/>
          <w:szCs w:val="24"/>
        </w:rPr>
        <w:t>afectar</w:t>
      </w:r>
      <w:r w:rsidRPr="005E432D">
        <w:rPr>
          <w:rFonts w:cs="Arial"/>
          <w:szCs w:val="24"/>
        </w:rPr>
        <w:t xml:space="preserve"> el valor en libros de los activos y pasivos de dicha empresa.</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2.4</w:t>
      </w:r>
      <w:r w:rsidRPr="005E432D">
        <w:rPr>
          <w:rFonts w:cs="Arial"/>
          <w:szCs w:val="24"/>
        </w:rPr>
        <w:t xml:space="preserve"> La empresa asociada CONECTA S.A. de la cual ANCAP es propietaria del 45% del paquete accionario, no cuenta con Estados Financieros auditados al 31/12/2016</w:t>
      </w:r>
      <w:r>
        <w:rPr>
          <w:rFonts w:cs="Arial"/>
          <w:szCs w:val="24"/>
        </w:rPr>
        <w:t xml:space="preserve"> y presentó</w:t>
      </w:r>
      <w:r w:rsidR="00ED6474">
        <w:rPr>
          <w:rFonts w:cs="Arial"/>
          <w:szCs w:val="24"/>
        </w:rPr>
        <w:t xml:space="preserve"> un índice EBITDA negativo de $</w:t>
      </w:r>
      <w:r w:rsidRPr="005E432D">
        <w:rPr>
          <w:rFonts w:cs="Arial"/>
          <w:szCs w:val="24"/>
        </w:rPr>
        <w:t>29.741.152. Est</w:t>
      </w:r>
      <w:r>
        <w:rPr>
          <w:rFonts w:cs="Arial"/>
          <w:szCs w:val="24"/>
        </w:rPr>
        <w:t>e</w:t>
      </w:r>
      <w:r w:rsidRPr="005E432D">
        <w:rPr>
          <w:rFonts w:cs="Arial"/>
          <w:szCs w:val="24"/>
        </w:rPr>
        <w:t xml:space="preserve"> indicio de deterioro y los efectos </w:t>
      </w:r>
      <w:r>
        <w:rPr>
          <w:rFonts w:cs="Arial"/>
          <w:szCs w:val="24"/>
        </w:rPr>
        <w:t>contables</w:t>
      </w:r>
      <w:r w:rsidRPr="005E432D">
        <w:rPr>
          <w:rFonts w:cs="Arial"/>
          <w:szCs w:val="24"/>
        </w:rPr>
        <w:t xml:space="preserve"> del mismo no fueron evaluados por el Ente en sus Estados Financieros Consolidados</w:t>
      </w:r>
      <w:r>
        <w:rPr>
          <w:rFonts w:cs="Arial"/>
          <w:szCs w:val="24"/>
        </w:rPr>
        <w:t xml:space="preserve"> al 31/12/2016</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b/>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2.5</w:t>
      </w:r>
      <w:r>
        <w:rPr>
          <w:rFonts w:cs="Arial"/>
          <w:szCs w:val="24"/>
        </w:rPr>
        <w:t xml:space="preserve"> La empresa asociada Asistencia Técnica y Servicios </w:t>
      </w:r>
      <w:r w:rsidRPr="005E432D">
        <w:rPr>
          <w:rFonts w:cs="Arial"/>
          <w:szCs w:val="24"/>
        </w:rPr>
        <w:t>S.A.</w:t>
      </w:r>
      <w:r w:rsidR="001B6541">
        <w:rPr>
          <w:rFonts w:cs="Arial"/>
          <w:szCs w:val="24"/>
        </w:rPr>
        <w:t xml:space="preserve"> </w:t>
      </w:r>
      <w:r>
        <w:rPr>
          <w:rFonts w:cs="Arial"/>
          <w:szCs w:val="24"/>
        </w:rPr>
        <w:t>(ATS S.A.)</w:t>
      </w:r>
      <w:r w:rsidRPr="005E432D">
        <w:rPr>
          <w:rFonts w:cs="Arial"/>
          <w:szCs w:val="24"/>
        </w:rPr>
        <w:t xml:space="preserve"> de la cual ANCAP es propietaria del 99% del paquete accionario, present</w:t>
      </w:r>
      <w:r>
        <w:rPr>
          <w:rFonts w:cs="Arial"/>
          <w:szCs w:val="24"/>
        </w:rPr>
        <w:t>ó</w:t>
      </w:r>
      <w:r w:rsidRPr="005E432D">
        <w:rPr>
          <w:rFonts w:cs="Arial"/>
          <w:szCs w:val="24"/>
        </w:rPr>
        <w:t xml:space="preserve"> un índice EBITDA negativo de $ 2.068.856. Est</w:t>
      </w:r>
      <w:r>
        <w:rPr>
          <w:rFonts w:cs="Arial"/>
          <w:szCs w:val="24"/>
        </w:rPr>
        <w:t>e</w:t>
      </w:r>
      <w:r w:rsidRPr="005E432D">
        <w:rPr>
          <w:rFonts w:cs="Arial"/>
          <w:szCs w:val="24"/>
        </w:rPr>
        <w:t xml:space="preserve"> indicio de deterioro y los efectos </w:t>
      </w:r>
      <w:r>
        <w:rPr>
          <w:rFonts w:cs="Arial"/>
          <w:szCs w:val="24"/>
        </w:rPr>
        <w:t>contables</w:t>
      </w:r>
      <w:r w:rsidRPr="005E432D">
        <w:rPr>
          <w:rFonts w:cs="Arial"/>
          <w:szCs w:val="24"/>
        </w:rPr>
        <w:t xml:space="preserve"> del mismo no fueron evaluados por el Ente en sus Estados Financieros Consolidados.</w:t>
      </w:r>
    </w:p>
    <w:p w:rsidR="001D2594" w:rsidRPr="005E432D" w:rsidRDefault="001D2594" w:rsidP="00ED6474">
      <w:pPr>
        <w:keepNext/>
        <w:widowControl w:val="0"/>
        <w:tabs>
          <w:tab w:val="left" w:pos="1701"/>
        </w:tabs>
        <w:spacing w:after="0" w:line="360" w:lineRule="auto"/>
        <w:ind w:left="426"/>
        <w:rPr>
          <w:rFonts w:cs="Arial"/>
          <w:szCs w:val="24"/>
        </w:rPr>
      </w:pPr>
    </w:p>
    <w:p w:rsidR="001D2594" w:rsidRDefault="001D2594" w:rsidP="00ED6474">
      <w:pPr>
        <w:keepNext/>
        <w:widowControl w:val="0"/>
        <w:tabs>
          <w:tab w:val="left" w:pos="1701"/>
        </w:tabs>
        <w:spacing w:after="0" w:line="360" w:lineRule="auto"/>
        <w:ind w:left="426"/>
        <w:rPr>
          <w:rFonts w:cs="Arial"/>
          <w:szCs w:val="24"/>
        </w:rPr>
      </w:pPr>
      <w:r w:rsidRPr="005E432D">
        <w:rPr>
          <w:rFonts w:cs="Arial"/>
          <w:b/>
          <w:szCs w:val="24"/>
        </w:rPr>
        <w:t>2.6</w:t>
      </w:r>
      <w:r w:rsidRPr="005E432D">
        <w:rPr>
          <w:rFonts w:cs="Arial"/>
          <w:szCs w:val="24"/>
        </w:rPr>
        <w:t xml:space="preserve"> La empresa asociada CABA S.A. de la cual ANCAP es propietaria del 100% </w:t>
      </w:r>
      <w:r>
        <w:rPr>
          <w:rFonts w:cs="Arial"/>
          <w:szCs w:val="24"/>
        </w:rPr>
        <w:t xml:space="preserve">  </w:t>
      </w:r>
      <w:r w:rsidRPr="005E432D">
        <w:rPr>
          <w:rFonts w:cs="Arial"/>
          <w:szCs w:val="24"/>
        </w:rPr>
        <w:t xml:space="preserve">del </w:t>
      </w:r>
      <w:r>
        <w:rPr>
          <w:rFonts w:cs="Arial"/>
          <w:szCs w:val="24"/>
        </w:rPr>
        <w:t xml:space="preserve">  </w:t>
      </w:r>
      <w:r w:rsidRPr="005E432D">
        <w:rPr>
          <w:rFonts w:cs="Arial"/>
          <w:szCs w:val="24"/>
        </w:rPr>
        <w:t xml:space="preserve">paquete </w:t>
      </w:r>
      <w:r>
        <w:rPr>
          <w:rFonts w:cs="Arial"/>
          <w:szCs w:val="24"/>
        </w:rPr>
        <w:t xml:space="preserve">  </w:t>
      </w:r>
      <w:r w:rsidRPr="005E432D">
        <w:rPr>
          <w:rFonts w:cs="Arial"/>
          <w:szCs w:val="24"/>
        </w:rPr>
        <w:t xml:space="preserve">accionario, </w:t>
      </w:r>
      <w:r>
        <w:rPr>
          <w:rFonts w:cs="Arial"/>
          <w:szCs w:val="24"/>
        </w:rPr>
        <w:t xml:space="preserve"> </w:t>
      </w:r>
      <w:r w:rsidRPr="005E432D">
        <w:rPr>
          <w:rFonts w:cs="Arial"/>
          <w:szCs w:val="24"/>
        </w:rPr>
        <w:t xml:space="preserve">presenta </w:t>
      </w:r>
      <w:r>
        <w:rPr>
          <w:rFonts w:cs="Arial"/>
          <w:szCs w:val="24"/>
        </w:rPr>
        <w:t xml:space="preserve"> </w:t>
      </w:r>
      <w:r w:rsidRPr="005E432D">
        <w:rPr>
          <w:rFonts w:cs="Arial"/>
          <w:szCs w:val="24"/>
        </w:rPr>
        <w:t xml:space="preserve">un </w:t>
      </w:r>
      <w:r>
        <w:rPr>
          <w:rFonts w:cs="Arial"/>
          <w:szCs w:val="24"/>
        </w:rPr>
        <w:t xml:space="preserve"> </w:t>
      </w:r>
      <w:r w:rsidRPr="005E432D">
        <w:rPr>
          <w:rFonts w:cs="Arial"/>
          <w:szCs w:val="24"/>
        </w:rPr>
        <w:t xml:space="preserve">índice EBITDA negativo de </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$ 1.520.873. Est</w:t>
      </w:r>
      <w:r>
        <w:rPr>
          <w:rFonts w:cs="Arial"/>
          <w:szCs w:val="24"/>
        </w:rPr>
        <w:t>e</w:t>
      </w:r>
      <w:r w:rsidRPr="005E432D">
        <w:rPr>
          <w:rFonts w:cs="Arial"/>
          <w:szCs w:val="24"/>
        </w:rPr>
        <w:t xml:space="preserve"> indicio de deterioro y los efectos </w:t>
      </w:r>
      <w:r>
        <w:rPr>
          <w:rFonts w:cs="Arial"/>
          <w:szCs w:val="24"/>
        </w:rPr>
        <w:t>contables</w:t>
      </w:r>
      <w:r w:rsidRPr="005E432D">
        <w:rPr>
          <w:rFonts w:cs="Arial"/>
          <w:szCs w:val="24"/>
        </w:rPr>
        <w:t xml:space="preserve"> del</w:t>
      </w:r>
      <w:r>
        <w:rPr>
          <w:rFonts w:cs="Arial"/>
          <w:szCs w:val="24"/>
        </w:rPr>
        <w:t xml:space="preserve"> mismo</w:t>
      </w:r>
      <w:r w:rsidRPr="005E432D">
        <w:rPr>
          <w:rFonts w:cs="Arial"/>
          <w:szCs w:val="24"/>
        </w:rPr>
        <w:t xml:space="preserve"> no fueron evaluados por el Ente en sus Estados Financieros Consolidados.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S</w:t>
      </w:r>
      <w:r>
        <w:rPr>
          <w:rFonts w:cs="Arial"/>
          <w:szCs w:val="24"/>
        </w:rPr>
        <w:t>egún se expresa en la Nota 34.3 de los Estados Financieros Consolidados, s</w:t>
      </w:r>
      <w:r w:rsidRPr="005E432D">
        <w:rPr>
          <w:rFonts w:cs="Arial"/>
          <w:szCs w:val="24"/>
        </w:rPr>
        <w:t>e ha iniciado un proceso tendiente a una nueva estructuración del negocio, particularmente en lo que refiere a la integración en ALUR S.A. del negocio industrial de CABA S.A., desprendiéndose de lo que se entiende como productos de consumo masivo (bebidas alcohólicas, cuidado personal, artículos de ferretería). Esta situación evidencia incertidumbr</w:t>
      </w:r>
      <w:r>
        <w:rPr>
          <w:rFonts w:cs="Arial"/>
          <w:szCs w:val="24"/>
        </w:rPr>
        <w:t xml:space="preserve">e  que podría afectar </w:t>
      </w:r>
      <w:r w:rsidRPr="005E432D">
        <w:rPr>
          <w:rFonts w:cs="Arial"/>
          <w:szCs w:val="24"/>
        </w:rPr>
        <w:t xml:space="preserve">el valor en libros de los activos y pasivos significativos de la empresa. El valor contable consolidado de la inversión no recoge eventuales ajustes que podrían ser necesarios de la </w:t>
      </w:r>
      <w:r>
        <w:rPr>
          <w:rFonts w:cs="Arial"/>
          <w:szCs w:val="24"/>
        </w:rPr>
        <w:t>resolución</w:t>
      </w:r>
      <w:r w:rsidRPr="005E432D">
        <w:rPr>
          <w:rFonts w:cs="Arial"/>
          <w:szCs w:val="24"/>
        </w:rPr>
        <w:t xml:space="preserve"> final de dicha situación</w:t>
      </w:r>
      <w:r>
        <w:rPr>
          <w:rFonts w:cs="Arial"/>
          <w:szCs w:val="24"/>
        </w:rPr>
        <w:t>, en los Estados Financieros Consolidados del Ente al 31/12/2016</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2.7</w:t>
      </w:r>
      <w:r w:rsidRPr="005E432D">
        <w:rPr>
          <w:rFonts w:cs="Arial"/>
          <w:szCs w:val="24"/>
        </w:rPr>
        <w:t xml:space="preserve"> La empresa PAMACOR S.A. de la cual ANCAP es propietaria del 99% del paquete accionario, present</w:t>
      </w:r>
      <w:r>
        <w:rPr>
          <w:rFonts w:cs="Arial"/>
          <w:szCs w:val="24"/>
        </w:rPr>
        <w:t>ó</w:t>
      </w:r>
      <w:r w:rsidRPr="005E432D">
        <w:rPr>
          <w:rFonts w:cs="Arial"/>
          <w:szCs w:val="24"/>
        </w:rPr>
        <w:t xml:space="preserve"> un índice EBITDA negativo de</w:t>
      </w:r>
      <w:r>
        <w:rPr>
          <w:rFonts w:cs="Arial"/>
          <w:szCs w:val="24"/>
        </w:rPr>
        <w:t xml:space="preserve"> $13.883, registrando bajo nivel de actividad durante el ejercicio 2016. </w:t>
      </w:r>
      <w:r w:rsidRPr="005E432D">
        <w:rPr>
          <w:rFonts w:cs="Arial"/>
          <w:szCs w:val="24"/>
        </w:rPr>
        <w:t>Esto</w:t>
      </w:r>
      <w:r>
        <w:rPr>
          <w:rFonts w:cs="Arial"/>
          <w:szCs w:val="24"/>
        </w:rPr>
        <w:t>s</w:t>
      </w:r>
      <w:r w:rsidRPr="005E432D">
        <w:rPr>
          <w:rFonts w:cs="Arial"/>
          <w:szCs w:val="24"/>
        </w:rPr>
        <w:t xml:space="preserve"> indicios de deterioro y los efectos </w:t>
      </w:r>
      <w:r>
        <w:rPr>
          <w:rFonts w:cs="Arial"/>
          <w:szCs w:val="24"/>
        </w:rPr>
        <w:t>contables</w:t>
      </w:r>
      <w:r w:rsidRPr="005E432D">
        <w:rPr>
          <w:rFonts w:cs="Arial"/>
          <w:szCs w:val="24"/>
        </w:rPr>
        <w:t xml:space="preserve"> de los mismos no fueron evaluados por el Ente en sus Estados Financieros</w:t>
      </w:r>
      <w:r>
        <w:rPr>
          <w:rFonts w:cs="Arial"/>
          <w:szCs w:val="24"/>
        </w:rPr>
        <w:t xml:space="preserve"> Consolidados al 31/12/2016</w:t>
      </w:r>
      <w:r w:rsidRPr="005E432D">
        <w:rPr>
          <w:rFonts w:cs="Arial"/>
          <w:szCs w:val="24"/>
        </w:rPr>
        <w:t>.</w:t>
      </w:r>
    </w:p>
    <w:p w:rsidR="001D2594" w:rsidRDefault="001D2594" w:rsidP="00ED6474">
      <w:pPr>
        <w:keepNext/>
        <w:widowControl w:val="0"/>
        <w:tabs>
          <w:tab w:val="left" w:pos="1701"/>
        </w:tabs>
        <w:spacing w:after="0" w:line="360" w:lineRule="auto"/>
        <w:rPr>
          <w:rFonts w:cs="Arial"/>
          <w:b/>
          <w:szCs w:val="24"/>
        </w:rPr>
      </w:pPr>
    </w:p>
    <w:p w:rsidR="001D2594" w:rsidRDefault="001D2594" w:rsidP="00ED6474">
      <w:pPr>
        <w:keepNext/>
        <w:widowControl w:val="0"/>
        <w:tabs>
          <w:tab w:val="left" w:pos="1701"/>
        </w:tabs>
        <w:spacing w:after="0" w:line="360" w:lineRule="auto"/>
        <w:ind w:left="426"/>
        <w:rPr>
          <w:rFonts w:cs="Arial"/>
          <w:szCs w:val="24"/>
        </w:rPr>
      </w:pPr>
      <w:r w:rsidRPr="005E432D">
        <w:rPr>
          <w:rFonts w:cs="Arial"/>
          <w:b/>
          <w:szCs w:val="24"/>
        </w:rPr>
        <w:t xml:space="preserve">2.8 </w:t>
      </w:r>
      <w:r w:rsidRPr="005E432D">
        <w:rPr>
          <w:rFonts w:cs="Arial"/>
          <w:szCs w:val="24"/>
        </w:rPr>
        <w:t>En la nota 21.1 de los Estados Financieros Consolidados referente a la empresa asociada Gasoducto Cruz del Sur S.A.</w:t>
      </w:r>
      <w:r>
        <w:rPr>
          <w:rFonts w:cs="Arial"/>
          <w:szCs w:val="24"/>
        </w:rPr>
        <w:t>,</w:t>
      </w:r>
      <w:r w:rsidRPr="005E432D">
        <w:rPr>
          <w:rFonts w:cs="Arial"/>
          <w:szCs w:val="24"/>
        </w:rPr>
        <w:t xml:space="preserve"> de la cual ANCAP es propietaria del 20% del paquete accionario, se expresa que </w:t>
      </w:r>
      <w:r w:rsidRPr="00DE6721">
        <w:rPr>
          <w:rFonts w:cs="Arial"/>
          <w:szCs w:val="24"/>
        </w:rPr>
        <w:t>Gasoducto Cruz del Sur S.A. actualmente</w:t>
      </w:r>
      <w:r>
        <w:rPr>
          <w:rFonts w:cs="Arial"/>
          <w:b/>
          <w:szCs w:val="24"/>
        </w:rPr>
        <w:t xml:space="preserve"> </w:t>
      </w:r>
      <w:r w:rsidRPr="00ED4119">
        <w:rPr>
          <w:rFonts w:cs="Arial"/>
          <w:szCs w:val="24"/>
        </w:rPr>
        <w:t>se</w:t>
      </w:r>
      <w:r>
        <w:rPr>
          <w:rFonts w:cs="Arial"/>
          <w:b/>
          <w:szCs w:val="24"/>
        </w:rPr>
        <w:t xml:space="preserve"> </w:t>
      </w:r>
      <w:r w:rsidRPr="005E432D">
        <w:rPr>
          <w:rFonts w:cs="Arial"/>
          <w:szCs w:val="24"/>
        </w:rPr>
        <w:t>financia con contratos de reserva de capacidad con Argentina firmados en 2002 y que vencen en noviembre de 2017</w:t>
      </w:r>
      <w:r>
        <w:rPr>
          <w:rFonts w:cs="Arial"/>
          <w:szCs w:val="24"/>
        </w:rPr>
        <w:t>. La</w:t>
      </w:r>
      <w:r w:rsidRPr="005E432D">
        <w:rPr>
          <w:rFonts w:cs="Arial"/>
          <w:szCs w:val="24"/>
        </w:rPr>
        <w:t xml:space="preserve"> cancelación </w:t>
      </w:r>
      <w:r>
        <w:rPr>
          <w:rFonts w:cs="Arial"/>
          <w:szCs w:val="24"/>
        </w:rPr>
        <w:t xml:space="preserve">de los contratos </w:t>
      </w:r>
      <w:r w:rsidRPr="005E432D">
        <w:rPr>
          <w:rFonts w:cs="Arial"/>
          <w:szCs w:val="24"/>
        </w:rPr>
        <w:t xml:space="preserve">podría eventualmente </w:t>
      </w:r>
      <w:r>
        <w:rPr>
          <w:rFonts w:cs="Arial"/>
          <w:szCs w:val="24"/>
        </w:rPr>
        <w:t>afectar</w:t>
      </w:r>
      <w:r w:rsidRPr="005E432D">
        <w:rPr>
          <w:rFonts w:cs="Arial"/>
          <w:szCs w:val="24"/>
        </w:rPr>
        <w:t xml:space="preserve"> el valor en libros de  algunos activos y pasivos significativos</w:t>
      </w:r>
      <w:r>
        <w:rPr>
          <w:rFonts w:cs="Arial"/>
          <w:szCs w:val="24"/>
        </w:rPr>
        <w:t>. Expresa además que persiste una situación de escasez de gas natural en Uruguay  manteniendo</w:t>
      </w:r>
      <w:r w:rsidRPr="005E432D">
        <w:rPr>
          <w:rFonts w:cs="Arial"/>
          <w:szCs w:val="24"/>
        </w:rPr>
        <w:t xml:space="preserve"> </w:t>
      </w:r>
      <w:r>
        <w:rPr>
          <w:rFonts w:cs="Arial"/>
          <w:szCs w:val="24"/>
        </w:rPr>
        <w:t>un</w:t>
      </w:r>
      <w:r w:rsidRPr="005E432D">
        <w:rPr>
          <w:rFonts w:cs="Arial"/>
          <w:szCs w:val="24"/>
        </w:rPr>
        <w:t xml:space="preserve"> bajo desarrollo del mercado ante la incertidumbre respecto a la disponib</w:t>
      </w:r>
      <w:r>
        <w:rPr>
          <w:rFonts w:cs="Arial"/>
          <w:szCs w:val="24"/>
        </w:rPr>
        <w:t xml:space="preserve">ilidad y el precio del producto, lo que no permitió obtener evidencia suficiente del valor contable de la inversión antes mencionada. </w:t>
      </w:r>
      <w:r w:rsidRPr="005E432D">
        <w:rPr>
          <w:rFonts w:cs="Arial"/>
          <w:szCs w:val="24"/>
        </w:rPr>
        <w:t>En consecuencia, el valor contable de las inversiones no recoge los eventuales ajustes que podrían ser necesarios de la</w:t>
      </w:r>
      <w:r>
        <w:rPr>
          <w:rFonts w:cs="Arial"/>
          <w:szCs w:val="24"/>
        </w:rPr>
        <w:t xml:space="preserve"> resolución</w:t>
      </w:r>
      <w:r w:rsidRPr="005E432D">
        <w:rPr>
          <w:rFonts w:cs="Arial"/>
          <w:szCs w:val="24"/>
        </w:rPr>
        <w:t xml:space="preserve"> final de dicha</w:t>
      </w:r>
      <w:r>
        <w:rPr>
          <w:rFonts w:cs="Arial"/>
          <w:szCs w:val="24"/>
        </w:rPr>
        <w:t>s</w:t>
      </w:r>
      <w:r w:rsidRPr="005E432D">
        <w:rPr>
          <w:rFonts w:cs="Arial"/>
          <w:szCs w:val="24"/>
        </w:rPr>
        <w:t xml:space="preserve"> incertidumbre</w:t>
      </w:r>
      <w:r>
        <w:rPr>
          <w:rFonts w:cs="Arial"/>
          <w:szCs w:val="24"/>
        </w:rPr>
        <w:t>s.</w:t>
      </w:r>
    </w:p>
    <w:p w:rsidR="001D2594"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tabs>
          <w:tab w:val="left" w:pos="1701"/>
        </w:tabs>
        <w:spacing w:after="0" w:line="360" w:lineRule="auto"/>
        <w:ind w:left="426"/>
        <w:rPr>
          <w:rFonts w:cs="Arial"/>
          <w:szCs w:val="24"/>
        </w:rPr>
      </w:pPr>
      <w:r>
        <w:rPr>
          <w:rFonts w:cs="Arial"/>
          <w:b/>
          <w:szCs w:val="24"/>
        </w:rPr>
        <w:t xml:space="preserve">2.9 </w:t>
      </w:r>
      <w:r>
        <w:rPr>
          <w:rFonts w:cs="Arial"/>
          <w:szCs w:val="24"/>
        </w:rPr>
        <w:t xml:space="preserve">Por lo expresado en los numerales que anteceden 2.1 a 2.8, </w:t>
      </w:r>
      <w:r w:rsidRPr="005E432D">
        <w:rPr>
          <w:rFonts w:cs="Arial"/>
          <w:szCs w:val="24"/>
        </w:rPr>
        <w:t xml:space="preserve">no se dispone de evidencia de auditoría suficiente </w:t>
      </w:r>
      <w:r>
        <w:rPr>
          <w:rFonts w:cs="Arial"/>
          <w:szCs w:val="24"/>
        </w:rPr>
        <w:t xml:space="preserve">sobre el importe </w:t>
      </w:r>
      <w:r w:rsidRPr="005E432D">
        <w:rPr>
          <w:rFonts w:cs="Arial"/>
          <w:szCs w:val="24"/>
        </w:rPr>
        <w:t xml:space="preserve">de los activos y pasivos expuestos en los Estados </w:t>
      </w:r>
      <w:r>
        <w:rPr>
          <w:rFonts w:cs="Arial"/>
          <w:szCs w:val="24"/>
        </w:rPr>
        <w:t>Financieros</w:t>
      </w:r>
      <w:r w:rsidRPr="005E432D">
        <w:rPr>
          <w:rFonts w:cs="Arial"/>
          <w:szCs w:val="24"/>
        </w:rPr>
        <w:t xml:space="preserve"> Consolidados de ANCAP y sus subsidiarias</w:t>
      </w:r>
      <w:r>
        <w:rPr>
          <w:rFonts w:cs="Arial"/>
          <w:szCs w:val="24"/>
        </w:rPr>
        <w:t xml:space="preserve"> al 31/12/2016, relacionada con dichas inversiones</w:t>
      </w:r>
      <w:r w:rsidRPr="005E432D">
        <w:rPr>
          <w:rFonts w:cs="Arial"/>
          <w:szCs w:val="24"/>
        </w:rPr>
        <w:t>.</w:t>
      </w:r>
    </w:p>
    <w:p w:rsidR="001D2594" w:rsidRDefault="001D2594" w:rsidP="00ED6474">
      <w:pPr>
        <w:keepNext/>
        <w:widowControl w:val="0"/>
        <w:tabs>
          <w:tab w:val="left" w:pos="1701"/>
        </w:tabs>
        <w:spacing w:after="0" w:line="360" w:lineRule="auto"/>
        <w:rPr>
          <w:rFonts w:cs="Arial"/>
          <w:b/>
          <w:szCs w:val="24"/>
        </w:rPr>
      </w:pPr>
    </w:p>
    <w:p w:rsidR="001D2594" w:rsidRDefault="001D2594" w:rsidP="00ED6474">
      <w:pPr>
        <w:keepNext/>
        <w:widowControl w:val="0"/>
        <w:tabs>
          <w:tab w:val="left" w:pos="1701"/>
        </w:tabs>
        <w:spacing w:after="0" w:line="360" w:lineRule="auto"/>
        <w:rPr>
          <w:rFonts w:cs="Arial"/>
          <w:b/>
          <w:szCs w:val="24"/>
        </w:rPr>
      </w:pPr>
      <w:r w:rsidRPr="005E432D">
        <w:rPr>
          <w:rFonts w:cs="Arial"/>
          <w:b/>
          <w:szCs w:val="24"/>
        </w:rPr>
        <w:t>Opinión calificada</w:t>
      </w:r>
    </w:p>
    <w:p w:rsidR="001D2594" w:rsidRDefault="001D2594" w:rsidP="00ED6474">
      <w:pPr>
        <w:keepNext/>
        <w:widowControl w:val="0"/>
        <w:tabs>
          <w:tab w:val="left" w:pos="1701"/>
        </w:tabs>
        <w:spacing w:after="0" w:line="360" w:lineRule="auto"/>
        <w:rPr>
          <w:rFonts w:cs="Arial"/>
          <w:b/>
          <w:szCs w:val="24"/>
        </w:rPr>
      </w:pPr>
    </w:p>
    <w:p w:rsidR="001D2594" w:rsidRDefault="001D2594" w:rsidP="00ED6474">
      <w:pPr>
        <w:keepNext/>
        <w:widowControl w:val="0"/>
        <w:tabs>
          <w:tab w:val="left" w:pos="1701"/>
        </w:tabs>
        <w:spacing w:after="0" w:line="360" w:lineRule="auto"/>
        <w:rPr>
          <w:rFonts w:cs="Arial"/>
          <w:szCs w:val="24"/>
        </w:rPr>
      </w:pPr>
      <w:r w:rsidRPr="005E432D">
        <w:rPr>
          <w:rFonts w:cs="Arial"/>
          <w:szCs w:val="24"/>
        </w:rPr>
        <w:t xml:space="preserve">En opinión del Tribunal de Cuentas,  excepto por lo expresado en la sección “Bases para la calificación de opinión”,  los </w:t>
      </w:r>
      <w:r>
        <w:rPr>
          <w:rFonts w:cs="Arial"/>
          <w:szCs w:val="24"/>
        </w:rPr>
        <w:t>E</w:t>
      </w:r>
      <w:r w:rsidRPr="005E432D">
        <w:rPr>
          <w:rFonts w:cs="Arial"/>
          <w:szCs w:val="24"/>
        </w:rPr>
        <w:t xml:space="preserve">stados </w:t>
      </w:r>
      <w:r>
        <w:rPr>
          <w:rFonts w:cs="Arial"/>
          <w:szCs w:val="24"/>
        </w:rPr>
        <w:t>F</w:t>
      </w:r>
      <w:r w:rsidRPr="005E432D">
        <w:rPr>
          <w:rFonts w:cs="Arial"/>
          <w:szCs w:val="24"/>
        </w:rPr>
        <w:t xml:space="preserve">inancieros </w:t>
      </w:r>
      <w:r>
        <w:rPr>
          <w:rFonts w:cs="Arial"/>
          <w:szCs w:val="24"/>
        </w:rPr>
        <w:t xml:space="preserve">Consolidados </w:t>
      </w:r>
      <w:r w:rsidRPr="005E432D">
        <w:rPr>
          <w:rFonts w:cs="Arial"/>
          <w:szCs w:val="24"/>
        </w:rPr>
        <w:t>referidos precedentemente presentan razonablemente, en todos sus aspectos importantes, la situación financiera consolidada de ANCAP y sus subsidiarias al 31 de diciembre 2016, los resultados consolidados de sus operaciones y los flujos de efectivo consolidados correspondientes al ejercicio anual terminado en esa fecha, de acuerdo con las normas contables adecuadas en Uruguay y la Ordenanza Nº 81 del Tribunal de Cuentas.</w:t>
      </w:r>
    </w:p>
    <w:p w:rsidR="00120C95" w:rsidRPr="005A6A37" w:rsidRDefault="00120C95" w:rsidP="00ED6474">
      <w:pPr>
        <w:keepNext/>
        <w:widowControl w:val="0"/>
        <w:tabs>
          <w:tab w:val="left" w:pos="1701"/>
        </w:tabs>
        <w:spacing w:after="0" w:line="360" w:lineRule="auto"/>
        <w:rPr>
          <w:rFonts w:cs="Arial"/>
          <w:b/>
          <w:szCs w:val="24"/>
        </w:rPr>
      </w:pPr>
    </w:p>
    <w:p w:rsidR="001D2594" w:rsidRPr="005E432D" w:rsidRDefault="001D2594" w:rsidP="00ED6474">
      <w:pPr>
        <w:keepNext/>
        <w:widowControl w:val="0"/>
        <w:spacing w:after="0" w:line="360" w:lineRule="auto"/>
        <w:rPr>
          <w:rFonts w:cs="Arial"/>
          <w:b/>
          <w:szCs w:val="24"/>
        </w:rPr>
      </w:pPr>
      <w:r w:rsidRPr="005E432D">
        <w:rPr>
          <w:rFonts w:cs="Arial"/>
          <w:b/>
          <w:szCs w:val="24"/>
        </w:rPr>
        <w:t>Párrafos de énfasis de asuntos</w:t>
      </w:r>
    </w:p>
    <w:p w:rsidR="001D2594" w:rsidRPr="005E432D" w:rsidRDefault="001D2594" w:rsidP="00ED6474">
      <w:pPr>
        <w:keepNext/>
        <w:widowControl w:val="0"/>
        <w:spacing w:after="0" w:line="360" w:lineRule="auto"/>
        <w:rPr>
          <w:rFonts w:cs="Arial"/>
          <w:szCs w:val="24"/>
        </w:rPr>
      </w:pPr>
      <w:r w:rsidRPr="005E432D">
        <w:rPr>
          <w:rFonts w:cs="Arial"/>
          <w:szCs w:val="24"/>
        </w:rPr>
        <w:t>Sin afectar nuestra opinión, hacemos énfasis respecto a las siguientes situaciones:</w:t>
      </w:r>
    </w:p>
    <w:p w:rsidR="001D2594" w:rsidRDefault="001D2594" w:rsidP="00ED6474">
      <w:pPr>
        <w:keepNext/>
        <w:widowControl w:val="0"/>
        <w:spacing w:after="0" w:line="360" w:lineRule="auto"/>
        <w:rPr>
          <w:rFonts w:cs="Arial"/>
          <w:szCs w:val="24"/>
        </w:rPr>
      </w:pPr>
    </w:p>
    <w:p w:rsidR="001D2594" w:rsidRPr="005E432D" w:rsidRDefault="001D2594" w:rsidP="00ED6474">
      <w:pPr>
        <w:keepNext/>
        <w:widowControl w:val="0"/>
        <w:spacing w:after="0" w:line="360" w:lineRule="auto"/>
        <w:ind w:left="426"/>
      </w:pPr>
      <w:r>
        <w:rPr>
          <w:rFonts w:cs="Arial"/>
          <w:szCs w:val="24"/>
        </w:rPr>
        <w:t xml:space="preserve">1- </w:t>
      </w:r>
      <w:r w:rsidRPr="005E432D">
        <w:rPr>
          <w:rFonts w:cs="Arial"/>
          <w:szCs w:val="24"/>
        </w:rPr>
        <w:t xml:space="preserve">En la </w:t>
      </w:r>
      <w:r>
        <w:rPr>
          <w:rFonts w:cs="Arial"/>
          <w:szCs w:val="24"/>
        </w:rPr>
        <w:t xml:space="preserve">Nota N° 12 </w:t>
      </w:r>
      <w:r w:rsidRPr="005E432D">
        <w:rPr>
          <w:rFonts w:cs="Arial"/>
          <w:szCs w:val="24"/>
        </w:rPr>
        <w:t xml:space="preserve">a los Estados Financieros Consolidados </w:t>
      </w:r>
      <w:r>
        <w:rPr>
          <w:rFonts w:cs="Arial"/>
          <w:szCs w:val="24"/>
        </w:rPr>
        <w:t xml:space="preserve">referente al </w:t>
      </w:r>
      <w:r w:rsidRPr="005E432D">
        <w:rPr>
          <w:rFonts w:cs="Arial"/>
          <w:szCs w:val="24"/>
        </w:rPr>
        <w:t xml:space="preserve">Impuesto a la Renta, se expone una </w:t>
      </w:r>
      <w:r>
        <w:rPr>
          <w:rFonts w:cs="Arial"/>
          <w:szCs w:val="24"/>
        </w:rPr>
        <w:t>disminución</w:t>
      </w:r>
      <w:r w:rsidRPr="005E432D">
        <w:rPr>
          <w:rFonts w:cs="Arial"/>
          <w:szCs w:val="24"/>
        </w:rPr>
        <w:t xml:space="preserve"> del activo por impuesto diferido de $ 3.173.513.207 registrado con cargo al rubro Capital Social (que significó una disminución del Patrimonio del grupo) en cumplimiento del tratamiento contable de excepción establecido en el párrafo 61.A de la NIC 12- Impuesto a las Ganancias, que establece que: “</w:t>
      </w:r>
      <w:r w:rsidRPr="005E432D">
        <w:t xml:space="preserve">Los impuestos corrientes y los impuestos diferidos deberán reconocerse fuera del resultado si se relacionan con partidas que se reconocen, en el mismo periodo o en otro diferente, fuera del resultado. Por lo tanto, los impuestos corrientes y los impuestos diferidos que se relacionan con partidas que se reconocen, en el mismo periodo o en otro diferente: (a) en otro resultado integral, deberán reconocerse en otro resultado integral. (b) </w:t>
      </w:r>
      <w:proofErr w:type="gramStart"/>
      <w:r w:rsidRPr="005E432D">
        <w:t>directamente</w:t>
      </w:r>
      <w:proofErr w:type="gramEnd"/>
      <w:r w:rsidRPr="005E432D">
        <w:t xml:space="preserve"> en patrimonio, deberán reconocerse directamente en el patrimonio”</w:t>
      </w:r>
      <w:r w:rsidR="00120C95">
        <w:t>.</w:t>
      </w:r>
    </w:p>
    <w:p w:rsidR="001D2594" w:rsidRPr="005E432D" w:rsidRDefault="001D2594" w:rsidP="00ED6474">
      <w:pPr>
        <w:keepNext/>
        <w:widowControl w:val="0"/>
        <w:spacing w:after="0" w:line="360" w:lineRule="auto"/>
        <w:ind w:left="426"/>
      </w:pPr>
      <w:r w:rsidRPr="005E432D">
        <w:t xml:space="preserve">Este tratamiento contable no es consistente con los adoptados en los ejercicios anteriores por el grupo ante cambios en los activos y pasivos por </w:t>
      </w:r>
      <w:r w:rsidRPr="005E432D">
        <w:rPr>
          <w:rFonts w:cs="Arial"/>
          <w:szCs w:val="24"/>
        </w:rPr>
        <w:t>Impuesto Diferido a la Renta, los cuales se registraban con cargo al Resultado del Ejercicio de cada período.</w:t>
      </w:r>
    </w:p>
    <w:p w:rsidR="001D2594" w:rsidRPr="005E432D" w:rsidRDefault="001D2594" w:rsidP="00ED6474">
      <w:pPr>
        <w:keepNext/>
        <w:widowControl w:val="0"/>
        <w:spacing w:after="0" w:line="360" w:lineRule="auto"/>
        <w:rPr>
          <w:b/>
        </w:rPr>
      </w:pPr>
    </w:p>
    <w:p w:rsidR="001D2594" w:rsidRPr="00686A60" w:rsidRDefault="001D2594" w:rsidP="00ED6474">
      <w:pPr>
        <w:keepNext/>
        <w:widowControl w:val="0"/>
        <w:spacing w:after="0" w:line="360" w:lineRule="auto"/>
        <w:ind w:left="360"/>
        <w:rPr>
          <w:rFonts w:cs="Arial"/>
          <w:szCs w:val="24"/>
        </w:rPr>
      </w:pPr>
      <w:r>
        <w:rPr>
          <w:rFonts w:cs="Arial"/>
          <w:szCs w:val="24"/>
        </w:rPr>
        <w:t xml:space="preserve">2- </w:t>
      </w:r>
      <w:r w:rsidRPr="00686A60">
        <w:rPr>
          <w:rFonts w:cs="Arial"/>
          <w:szCs w:val="24"/>
        </w:rPr>
        <w:t xml:space="preserve">Las Notas 8, 18.d y 19.d a los Estados Financieros Consolidados, exponen las pérdidas por deterioro reconocidas por ANCAP y sus subsidiarias, las cuales fueron de $ 3.620:759.155 en relación al Negocio Portland en el ejercicio 2016 y $ 4.043.000.000 en el ejercicio 2015, y $100:000.000 a activos </w:t>
      </w:r>
      <w:proofErr w:type="gramStart"/>
      <w:r w:rsidRPr="00686A60">
        <w:rPr>
          <w:rFonts w:cs="Arial"/>
          <w:szCs w:val="24"/>
        </w:rPr>
        <w:t>intangibles ”</w:t>
      </w:r>
      <w:proofErr w:type="gramEnd"/>
      <w:r w:rsidRPr="00686A60">
        <w:rPr>
          <w:rFonts w:cs="Arial"/>
          <w:szCs w:val="24"/>
        </w:rPr>
        <w:t>Exploración Plataforma Sísmica” en el ejercicio 2016, negocios son gestionados por ANCAP.</w:t>
      </w:r>
    </w:p>
    <w:p w:rsidR="001D2594" w:rsidRDefault="001D2594" w:rsidP="00ED6474">
      <w:pPr>
        <w:pStyle w:val="Prrafodelista"/>
        <w:keepNext/>
        <w:widowControl w:val="0"/>
        <w:spacing w:after="0" w:line="360" w:lineRule="auto"/>
        <w:ind w:left="426"/>
        <w:jc w:val="both"/>
        <w:rPr>
          <w:rFonts w:ascii="Arial" w:hAnsi="Arial" w:cs="Arial"/>
          <w:sz w:val="24"/>
          <w:szCs w:val="24"/>
        </w:rPr>
      </w:pPr>
    </w:p>
    <w:p w:rsidR="001D2594" w:rsidRPr="00686A60" w:rsidRDefault="001D2594" w:rsidP="00ED6474">
      <w:pPr>
        <w:keepNext/>
        <w:widowControl w:val="0"/>
        <w:spacing w:after="0" w:line="360" w:lineRule="auto"/>
        <w:ind w:left="360"/>
        <w:rPr>
          <w:rFonts w:cs="Arial"/>
          <w:szCs w:val="24"/>
        </w:rPr>
      </w:pPr>
      <w:r>
        <w:rPr>
          <w:rFonts w:cs="Arial"/>
          <w:szCs w:val="24"/>
        </w:rPr>
        <w:t xml:space="preserve">3- </w:t>
      </w:r>
      <w:r w:rsidRPr="00686A60">
        <w:rPr>
          <w:rFonts w:cs="Arial"/>
          <w:szCs w:val="24"/>
        </w:rPr>
        <w:t>Las Notas 8, 18.d y 19.e a los estados Financieros Consolidados, exponen las pérdidas por deterioro reconocidas por ANCAP y sus subsidiarias, las cuales fueron de $ 838:882.444 en relación al deterioro del negocio de “Caña, Cereales y Oleaginosos”, y $ 2:342.596 de activos intangibles por “Gastos de Investigación y exploración”, que gestiona ALUR S.A.</w:t>
      </w:r>
    </w:p>
    <w:p w:rsidR="001D2594" w:rsidRPr="005E432D" w:rsidRDefault="001D2594" w:rsidP="00ED6474">
      <w:pPr>
        <w:pStyle w:val="Prrafodelista"/>
        <w:keepNext/>
        <w:widowControl w:val="0"/>
        <w:spacing w:line="360" w:lineRule="auto"/>
        <w:ind w:left="0"/>
        <w:jc w:val="both"/>
        <w:rPr>
          <w:rFonts w:cs="Arial"/>
          <w:szCs w:val="24"/>
        </w:rPr>
      </w:pPr>
      <w:r w:rsidRPr="005E432D">
        <w:rPr>
          <w:rFonts w:ascii="Arial" w:hAnsi="Arial" w:cs="Arial"/>
          <w:sz w:val="24"/>
          <w:szCs w:val="24"/>
        </w:rPr>
        <w:t>Con relación a las disposiciones legales y reglamentarias vigentes, relacionadas con los estados financieros que fueron objeto de examen, en el transcurso de la auditoría se constataron los  siguientes incumplimientos:</w:t>
      </w:r>
    </w:p>
    <w:p w:rsidR="001D2594" w:rsidRPr="005E432D" w:rsidRDefault="001D2594" w:rsidP="00ED6474">
      <w:pPr>
        <w:keepNext/>
        <w:widowControl w:val="0"/>
        <w:spacing w:line="360" w:lineRule="auto"/>
        <w:rPr>
          <w:rFonts w:cs="Arial"/>
          <w:b/>
          <w:szCs w:val="24"/>
          <w:lang w:val="es-ES_tradnl"/>
        </w:rPr>
      </w:pPr>
      <w:r w:rsidRPr="005E432D">
        <w:rPr>
          <w:rFonts w:cs="Arial"/>
          <w:b/>
          <w:szCs w:val="24"/>
          <w:lang w:val="es-ES_tradnl"/>
        </w:rPr>
        <w:t>Artículo 191 de la Constitución de la República, Artículo 1° de la Ley 17.040, Artículo 5 de la Ley 18.381, y Numeral 30</w:t>
      </w:r>
      <w:r>
        <w:rPr>
          <w:rFonts w:cs="Arial"/>
          <w:b/>
          <w:szCs w:val="24"/>
          <w:lang w:val="es-ES_tradnl"/>
        </w:rPr>
        <w:t>)</w:t>
      </w:r>
      <w:r w:rsidRPr="005E432D">
        <w:rPr>
          <w:rFonts w:cs="Arial"/>
          <w:b/>
          <w:szCs w:val="24"/>
          <w:lang w:val="es-ES_tradnl"/>
        </w:rPr>
        <w:t xml:space="preserve"> de la Ordenanza 81 del Tribunal de Cuentas</w:t>
      </w:r>
      <w:r w:rsidRPr="005E432D">
        <w:rPr>
          <w:rFonts w:cs="Arial"/>
          <w:szCs w:val="24"/>
          <w:lang w:val="es-ES_tradnl"/>
        </w:rPr>
        <w:t>:</w:t>
      </w:r>
      <w:r w:rsidRPr="005E432D">
        <w:rPr>
          <w:rFonts w:cs="Arial"/>
          <w:b/>
          <w:szCs w:val="24"/>
          <w:lang w:val="es-ES_tradnl"/>
        </w:rPr>
        <w:t xml:space="preserve"> Publicación de los estados financieros.</w:t>
      </w:r>
    </w:p>
    <w:p w:rsidR="001D2594" w:rsidRDefault="001D2594" w:rsidP="00ED6474">
      <w:pPr>
        <w:keepNext/>
        <w:widowControl w:val="0"/>
        <w:spacing w:line="360" w:lineRule="auto"/>
        <w:rPr>
          <w:rFonts w:cs="Arial"/>
          <w:bCs/>
        </w:rPr>
      </w:pPr>
      <w:r w:rsidRPr="003E01CA">
        <w:rPr>
          <w:rFonts w:cs="Arial"/>
          <w:bCs/>
        </w:rPr>
        <w:t>ANCAP no dio cumplimiento a lo establecido en las citadas normas, al publicar en dos periódicos de circulación nacional los Estados Financieros Individuales y Consolidados sin el Dictamen de Auditoría del Tribunal de Cuentas correspondiente al ejercicio 201</w:t>
      </w:r>
      <w:r>
        <w:rPr>
          <w:rFonts w:cs="Arial"/>
          <w:bCs/>
        </w:rPr>
        <w:t>5</w:t>
      </w:r>
      <w:r w:rsidR="00120C95">
        <w:rPr>
          <w:rFonts w:cs="Arial"/>
          <w:bCs/>
        </w:rPr>
        <w:t>.</w:t>
      </w:r>
    </w:p>
    <w:p w:rsidR="001D2594" w:rsidRPr="005E432D" w:rsidRDefault="001D2594" w:rsidP="00ED6474">
      <w:pPr>
        <w:keepNext/>
        <w:widowControl w:val="0"/>
        <w:spacing w:line="360" w:lineRule="auto"/>
        <w:rPr>
          <w:rFonts w:cs="Arial"/>
          <w:szCs w:val="24"/>
          <w:lang w:val="es-ES_tradnl"/>
        </w:rPr>
      </w:pPr>
      <w:r w:rsidRPr="005E432D">
        <w:rPr>
          <w:rFonts w:cs="Arial"/>
          <w:b/>
          <w:szCs w:val="24"/>
          <w:lang w:val="es-ES_tradnl"/>
        </w:rPr>
        <w:t>Artículo 267 de la Ley 18.834</w:t>
      </w:r>
      <w:bookmarkStart w:id="2" w:name="art267"/>
      <w:r w:rsidRPr="005E432D">
        <w:rPr>
          <w:rFonts w:cs="Arial"/>
          <w:b/>
          <w:szCs w:val="24"/>
          <w:lang w:val="es-ES_tradnl"/>
        </w:rPr>
        <w:t xml:space="preserve">: </w:t>
      </w:r>
      <w:bookmarkEnd w:id="2"/>
      <w:r w:rsidRPr="005E432D">
        <w:rPr>
          <w:rFonts w:cs="Arial"/>
          <w:b/>
          <w:szCs w:val="24"/>
          <w:lang w:val="es-ES_tradnl"/>
        </w:rPr>
        <w:t>Autorización del Poder Ejecutivo para contratar financiamiento.</w:t>
      </w:r>
    </w:p>
    <w:p w:rsidR="001D2594" w:rsidRPr="005E432D" w:rsidRDefault="001D2594" w:rsidP="00ED6474">
      <w:pPr>
        <w:keepNext/>
        <w:widowControl w:val="0"/>
        <w:spacing w:line="360" w:lineRule="auto"/>
        <w:rPr>
          <w:rFonts w:cs="Arial"/>
          <w:szCs w:val="24"/>
          <w:lang w:val="es-ES_tradnl"/>
        </w:rPr>
      </w:pPr>
      <w:r w:rsidRPr="005E432D">
        <w:rPr>
          <w:rFonts w:cs="Arial"/>
          <w:szCs w:val="24"/>
          <w:lang w:val="es-ES_tradnl"/>
        </w:rPr>
        <w:t>Las fianzas solidarias suscritas por ANCAP para la financiación de la construcción de la Planta de Etanol de ALUR S.A. superan el importe de U$S107:000.000, autorizado por Resolución del Poder Ej</w:t>
      </w:r>
      <w:r w:rsidR="00120C95">
        <w:rPr>
          <w:rFonts w:cs="Arial"/>
          <w:szCs w:val="24"/>
          <w:lang w:val="es-ES_tradnl"/>
        </w:rPr>
        <w:t>ecutivo de 24 de abril de 2013.</w:t>
      </w:r>
    </w:p>
    <w:p w:rsidR="001D2594" w:rsidRPr="005E432D" w:rsidRDefault="001D2594" w:rsidP="00ED6474">
      <w:pPr>
        <w:keepNext/>
        <w:widowControl w:val="0"/>
        <w:spacing w:after="0" w:line="360" w:lineRule="auto"/>
        <w:rPr>
          <w:rFonts w:eastAsia="Times New Roman" w:cs="Arial"/>
          <w:szCs w:val="24"/>
          <w:lang w:val="es-ES" w:eastAsia="es-ES"/>
        </w:rPr>
      </w:pPr>
      <w:r w:rsidRPr="005E432D">
        <w:rPr>
          <w:rFonts w:eastAsia="Times New Roman" w:cs="Arial"/>
          <w:b/>
          <w:szCs w:val="24"/>
          <w:lang w:val="es-ES" w:eastAsia="es-ES"/>
        </w:rPr>
        <w:t>Numerales 15 y 27 de la Ordenanza 81 del Tribunal de Cuentas</w:t>
      </w:r>
    </w:p>
    <w:p w:rsidR="001D2594" w:rsidRPr="005E432D" w:rsidRDefault="001D2594" w:rsidP="00ED6474">
      <w:pPr>
        <w:keepNext/>
        <w:widowControl w:val="0"/>
        <w:spacing w:after="0" w:line="360" w:lineRule="auto"/>
        <w:rPr>
          <w:rFonts w:eastAsia="Times New Roman" w:cs="Arial"/>
          <w:szCs w:val="24"/>
          <w:lang w:val="es-ES" w:eastAsia="es-ES"/>
        </w:rPr>
      </w:pPr>
      <w:r w:rsidRPr="005E432D">
        <w:rPr>
          <w:rFonts w:eastAsia="Times New Roman" w:cs="Arial"/>
          <w:szCs w:val="24"/>
          <w:lang w:val="es-ES" w:eastAsia="es-ES"/>
        </w:rPr>
        <w:t xml:space="preserve"> El Organismo omitió adjuntar la </w:t>
      </w:r>
      <w:r>
        <w:rPr>
          <w:rFonts w:eastAsia="Times New Roman" w:cs="Arial"/>
          <w:szCs w:val="24"/>
          <w:lang w:val="es-ES" w:eastAsia="es-ES"/>
        </w:rPr>
        <w:t>M</w:t>
      </w:r>
      <w:r w:rsidRPr="005E432D">
        <w:rPr>
          <w:rFonts w:eastAsia="Times New Roman" w:cs="Arial"/>
          <w:szCs w:val="24"/>
          <w:lang w:val="es-ES" w:eastAsia="es-ES"/>
        </w:rPr>
        <w:t>emoria explicativa de los Estados Financieros Consolidados e Individuales remitidos al Tribunal de Cuentas con fecha 27/3/2017</w:t>
      </w:r>
      <w:r>
        <w:rPr>
          <w:rFonts w:eastAsia="Times New Roman" w:cs="Arial"/>
          <w:szCs w:val="24"/>
          <w:lang w:val="es-ES" w:eastAsia="es-ES"/>
        </w:rPr>
        <w:t>, los cuales n</w:t>
      </w:r>
      <w:r w:rsidRPr="005E432D">
        <w:rPr>
          <w:rFonts w:eastAsia="Times New Roman" w:cs="Arial"/>
          <w:szCs w:val="24"/>
          <w:lang w:val="es-ES" w:eastAsia="es-ES"/>
        </w:rPr>
        <w:t>o cuentan con la firma del Contador General o quien haga sus veces.</w:t>
      </w:r>
    </w:p>
    <w:p w:rsidR="001D2594" w:rsidRDefault="001D2594" w:rsidP="00ED6474">
      <w:pPr>
        <w:keepNext/>
        <w:widowControl w:val="0"/>
        <w:spacing w:line="360" w:lineRule="auto"/>
        <w:jc w:val="right"/>
        <w:rPr>
          <w:rFonts w:cs="Arial"/>
          <w:bCs/>
          <w:szCs w:val="24"/>
        </w:rPr>
      </w:pPr>
      <w:r w:rsidRPr="005E432D">
        <w:rPr>
          <w:rFonts w:cs="Arial"/>
          <w:bCs/>
          <w:szCs w:val="24"/>
        </w:rPr>
        <w:t xml:space="preserve">Montevideo, </w:t>
      </w:r>
      <w:r>
        <w:rPr>
          <w:rFonts w:cs="Arial"/>
          <w:bCs/>
          <w:szCs w:val="24"/>
        </w:rPr>
        <w:t>31</w:t>
      </w:r>
      <w:r w:rsidR="00120C95">
        <w:rPr>
          <w:rFonts w:cs="Arial"/>
          <w:bCs/>
          <w:szCs w:val="24"/>
        </w:rPr>
        <w:t xml:space="preserve"> octubre de 2017</w:t>
      </w:r>
    </w:p>
    <w:p w:rsidR="001D2594" w:rsidRDefault="001D2594" w:rsidP="00ED6474">
      <w:pPr>
        <w:keepNext/>
        <w:widowControl w:val="0"/>
        <w:spacing w:line="360" w:lineRule="auto"/>
        <w:jc w:val="left"/>
        <w:rPr>
          <w:rFonts w:cs="Arial"/>
          <w:bCs/>
          <w:szCs w:val="24"/>
        </w:rPr>
      </w:pPr>
      <w:proofErr w:type="spellStart"/>
      <w:proofErr w:type="gramStart"/>
      <w:r>
        <w:rPr>
          <w:rFonts w:cs="Arial"/>
          <w:bCs/>
          <w:szCs w:val="24"/>
        </w:rPr>
        <w:t>cr</w:t>
      </w:r>
      <w:proofErr w:type="spellEnd"/>
      <w:proofErr w:type="gramEnd"/>
    </w:p>
    <w:p w:rsidR="00120C95" w:rsidRDefault="00120C95" w:rsidP="00ED6474">
      <w:pPr>
        <w:keepNext/>
        <w:widowControl w:val="0"/>
        <w:spacing w:line="360" w:lineRule="auto"/>
        <w:jc w:val="left"/>
        <w:rPr>
          <w:rFonts w:cs="Arial"/>
          <w:bCs/>
          <w:szCs w:val="24"/>
        </w:rPr>
      </w:pPr>
    </w:p>
    <w:p w:rsidR="00120C95" w:rsidRDefault="00120C95" w:rsidP="00ED6474">
      <w:pPr>
        <w:keepNext/>
        <w:widowControl w:val="0"/>
        <w:spacing w:line="360" w:lineRule="auto"/>
        <w:jc w:val="left"/>
        <w:rPr>
          <w:rFonts w:cs="Arial"/>
          <w:bCs/>
          <w:szCs w:val="24"/>
        </w:rPr>
      </w:pPr>
    </w:p>
    <w:p w:rsidR="00120C95" w:rsidRDefault="00120C95" w:rsidP="00ED6474">
      <w:pPr>
        <w:keepNext/>
        <w:widowControl w:val="0"/>
        <w:spacing w:line="360" w:lineRule="auto"/>
        <w:jc w:val="left"/>
        <w:rPr>
          <w:rFonts w:cs="Arial"/>
          <w:bCs/>
          <w:szCs w:val="24"/>
        </w:rPr>
      </w:pPr>
    </w:p>
    <w:p w:rsidR="00120C95" w:rsidRDefault="00120C95" w:rsidP="00ED6474">
      <w:pPr>
        <w:keepNext/>
        <w:widowControl w:val="0"/>
        <w:spacing w:line="360" w:lineRule="auto"/>
        <w:jc w:val="left"/>
        <w:rPr>
          <w:rFonts w:cs="Arial"/>
          <w:bCs/>
          <w:szCs w:val="24"/>
        </w:rPr>
      </w:pPr>
    </w:p>
    <w:p w:rsidR="001D2594" w:rsidRPr="005E432D" w:rsidRDefault="001D2594" w:rsidP="00ED6474">
      <w:pPr>
        <w:keepNext/>
        <w:widowControl w:val="0"/>
        <w:spacing w:after="0" w:line="360" w:lineRule="auto"/>
        <w:jc w:val="center"/>
        <w:rPr>
          <w:rFonts w:cs="Arial"/>
          <w:b/>
          <w:bCs/>
          <w:szCs w:val="24"/>
        </w:rPr>
      </w:pPr>
      <w:r w:rsidRPr="005E432D">
        <w:rPr>
          <w:rFonts w:cs="Arial"/>
          <w:b/>
          <w:bCs/>
          <w:szCs w:val="24"/>
        </w:rPr>
        <w:t>INFORME A LA ADMINISTRACIÓN</w:t>
      </w:r>
    </w:p>
    <w:p w:rsidR="001D2594" w:rsidRPr="005E432D" w:rsidRDefault="001D2594" w:rsidP="00ED6474">
      <w:pPr>
        <w:pStyle w:val="Textoindependiente"/>
        <w:keepNext/>
        <w:widowControl w:val="0"/>
        <w:spacing w:line="360" w:lineRule="auto"/>
        <w:rPr>
          <w:rFonts w:ascii="Arial" w:hAnsi="Arial" w:cs="Arial"/>
          <w:sz w:val="24"/>
          <w:szCs w:val="24"/>
          <w:lang w:val="es-ES"/>
        </w:rPr>
      </w:pPr>
    </w:p>
    <w:p w:rsidR="001D2594" w:rsidRPr="005E432D"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El Tribunal de Cuentas ha examinado los estados financieros consolidados e individuales de la Administración Nacional de Combustibles, Alcohol y Portland (ANCAP), por el ejercicio finalizado el 31 de diciembre de 2016 y ha emitido su Dictamen.</w:t>
      </w:r>
    </w:p>
    <w:p w:rsidR="001D2594" w:rsidRPr="005E432D" w:rsidRDefault="001D2594" w:rsidP="00ED6474">
      <w:pPr>
        <w:keepNext/>
        <w:widowControl w:val="0"/>
        <w:spacing w:after="0" w:line="360" w:lineRule="auto"/>
        <w:rPr>
          <w:rFonts w:cs="Arial"/>
          <w:szCs w:val="24"/>
        </w:rPr>
      </w:pPr>
      <w:r w:rsidRPr="005E432D">
        <w:rPr>
          <w:rFonts w:cs="Arial"/>
          <w:szCs w:val="24"/>
        </w:rPr>
        <w:t>Este informe contiene consideraciones relativas a la evaluación de control interno efectuada para establecer la naturaleza, oportunidad y alcance de los procedimientos de auditoría orientados a emitir opinión sobre los referidos estados.</w:t>
      </w:r>
    </w:p>
    <w:p w:rsidR="001D2594" w:rsidRPr="005E432D"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Se incluyen, además, comentarios que se ha entendido conveniente exponer, relacionados a la situación de determinados capítulos y rubros de los estados examinados y al grado de cumplimiento de las disposiciones legales vigentes.</w:t>
      </w:r>
    </w:p>
    <w:p w:rsidR="001D2594" w:rsidRPr="005E432D" w:rsidRDefault="001D2594" w:rsidP="00ED6474">
      <w:pPr>
        <w:pStyle w:val="Textoindependiente"/>
        <w:keepNext/>
        <w:widowControl w:val="0"/>
        <w:spacing w:line="360" w:lineRule="auto"/>
        <w:rPr>
          <w:rFonts w:ascii="Arial" w:hAnsi="Arial" w:cs="Arial"/>
          <w:sz w:val="24"/>
          <w:szCs w:val="24"/>
        </w:rPr>
      </w:pPr>
      <w:r w:rsidRPr="005E432D">
        <w:rPr>
          <w:rFonts w:ascii="Arial" w:hAnsi="Arial" w:cs="Arial"/>
          <w:sz w:val="24"/>
          <w:szCs w:val="24"/>
        </w:rPr>
        <w:t>También se agregan recomendaciones que el Organismo deberá atender, y una evaluación del cumplimiento de las recomendaciones presentadas en el informe de auditoría del ejercicio anterior.</w:t>
      </w:r>
    </w:p>
    <w:p w:rsidR="001D2594" w:rsidRPr="005E432D" w:rsidRDefault="001D2594" w:rsidP="00ED6474">
      <w:pPr>
        <w:keepNext/>
        <w:widowControl w:val="0"/>
        <w:numPr>
          <w:ilvl w:val="0"/>
          <w:numId w:val="1"/>
        </w:numPr>
        <w:tabs>
          <w:tab w:val="clear" w:pos="720"/>
          <w:tab w:val="num" w:pos="426"/>
        </w:tabs>
        <w:spacing w:after="0" w:line="360" w:lineRule="auto"/>
        <w:ind w:left="426" w:hanging="426"/>
        <w:rPr>
          <w:rFonts w:cs="Arial"/>
          <w:b/>
          <w:szCs w:val="24"/>
        </w:rPr>
      </w:pPr>
      <w:r w:rsidRPr="005E432D">
        <w:rPr>
          <w:rFonts w:cs="Arial"/>
          <w:b/>
          <w:szCs w:val="24"/>
        </w:rPr>
        <w:t>Presentación de los estados financieros</w:t>
      </w:r>
    </w:p>
    <w:p w:rsidR="001D2594" w:rsidRPr="005E432D" w:rsidRDefault="001D2594" w:rsidP="00ED6474">
      <w:pPr>
        <w:pStyle w:val="Prrafodelista"/>
        <w:keepNext/>
        <w:widowControl w:val="0"/>
        <w:spacing w:line="360" w:lineRule="auto"/>
        <w:ind w:left="426"/>
        <w:jc w:val="both"/>
        <w:rPr>
          <w:rFonts w:ascii="Arial" w:hAnsi="Arial" w:cs="Arial"/>
          <w:spacing w:val="-3"/>
          <w:sz w:val="24"/>
          <w:szCs w:val="24"/>
          <w:lang w:val="es-ES_tradnl"/>
        </w:rPr>
      </w:pPr>
      <w:r w:rsidRPr="005E432D">
        <w:rPr>
          <w:rFonts w:ascii="Arial" w:hAnsi="Arial" w:cs="Arial"/>
          <w:bCs/>
          <w:sz w:val="24"/>
          <w:szCs w:val="24"/>
        </w:rPr>
        <w:t xml:space="preserve">Los estados financieros consolidados e individuales de ANCAP correspondientes al ejercicio finalizado el 31 de diciembre de 2016, fueron aprobados por Resolución de Directorio </w:t>
      </w:r>
      <w:r w:rsidRPr="005E432D">
        <w:rPr>
          <w:rFonts w:ascii="Arial" w:hAnsi="Arial" w:cs="Arial"/>
          <w:sz w:val="24"/>
          <w:szCs w:val="24"/>
          <w:lang w:val="es-ES_tradnl"/>
        </w:rPr>
        <w:t xml:space="preserve">Nº 282/03/2017 </w:t>
      </w:r>
      <w:r w:rsidRPr="005E432D">
        <w:rPr>
          <w:rFonts w:ascii="Arial" w:hAnsi="Arial" w:cs="Arial"/>
          <w:spacing w:val="-3"/>
          <w:sz w:val="24"/>
          <w:szCs w:val="24"/>
          <w:lang w:val="es-ES_tradnl"/>
        </w:rPr>
        <w:t>de fecha 27 de marzo de 2017 y remitidos al Tribunal de</w:t>
      </w:r>
      <w:r w:rsidR="00120C95">
        <w:rPr>
          <w:rFonts w:ascii="Arial" w:hAnsi="Arial" w:cs="Arial"/>
          <w:spacing w:val="-3"/>
          <w:sz w:val="24"/>
          <w:szCs w:val="24"/>
          <w:lang w:val="es-ES_tradnl"/>
        </w:rPr>
        <w:t xml:space="preserve"> Cuentas el 3 de abril de 2017.</w:t>
      </w:r>
    </w:p>
    <w:p w:rsidR="001D2594" w:rsidRPr="005E432D" w:rsidRDefault="001D2594" w:rsidP="00ED6474">
      <w:pPr>
        <w:keepNext/>
        <w:widowControl w:val="0"/>
        <w:spacing w:line="360" w:lineRule="auto"/>
        <w:ind w:left="426"/>
        <w:rPr>
          <w:rFonts w:cs="Arial"/>
          <w:spacing w:val="-3"/>
          <w:szCs w:val="24"/>
          <w:lang w:val="es-ES_tradnl"/>
        </w:rPr>
      </w:pPr>
      <w:r w:rsidRPr="005E432D">
        <w:rPr>
          <w:rFonts w:cs="Arial"/>
          <w:spacing w:val="-3"/>
          <w:szCs w:val="24"/>
          <w:lang w:val="es-ES_tradnl"/>
        </w:rPr>
        <w:t>Dichos estados financieros se presentan de acuerdo a las normas contables adecuadas en el Uruguay, los criterios establecidos por la Ordenanza N° 81 relativos a la remisión de los estados financieros consolidados.</w:t>
      </w:r>
    </w:p>
    <w:p w:rsidR="001D2594" w:rsidRPr="005E432D" w:rsidRDefault="001D2594" w:rsidP="00ED6474">
      <w:pPr>
        <w:keepNext/>
        <w:widowControl w:val="0"/>
        <w:spacing w:line="360" w:lineRule="auto"/>
        <w:ind w:left="426"/>
        <w:rPr>
          <w:rFonts w:cs="Arial"/>
          <w:spacing w:val="-3"/>
          <w:szCs w:val="24"/>
          <w:lang w:val="es-ES_tradnl"/>
        </w:rPr>
      </w:pPr>
      <w:r w:rsidRPr="005E432D">
        <w:rPr>
          <w:rFonts w:cs="Arial"/>
          <w:spacing w:val="-3"/>
          <w:szCs w:val="24"/>
          <w:lang w:val="es-ES_tradnl"/>
        </w:rPr>
        <w:t>Los estados financieros de ANCAP al 31 de diciembre de 2016 fueron consolidados con los corr</w:t>
      </w:r>
      <w:r>
        <w:rPr>
          <w:rFonts w:cs="Arial"/>
          <w:spacing w:val="-3"/>
          <w:szCs w:val="24"/>
          <w:lang w:val="es-ES_tradnl"/>
        </w:rPr>
        <w:t>espondientes a sus subsidiarias</w:t>
      </w:r>
      <w:r w:rsidRPr="005E432D">
        <w:rPr>
          <w:rFonts w:cs="Arial"/>
          <w:szCs w:val="24"/>
        </w:rPr>
        <w:t xml:space="preserve"> CABA S.A., P</w:t>
      </w:r>
      <w:r>
        <w:rPr>
          <w:rFonts w:cs="Arial"/>
          <w:szCs w:val="24"/>
        </w:rPr>
        <w:t>AMACOR</w:t>
      </w:r>
      <w:r w:rsidRPr="005E432D">
        <w:rPr>
          <w:rFonts w:cs="Arial"/>
          <w:szCs w:val="24"/>
        </w:rPr>
        <w:t xml:space="preserve"> S.A., DUCSA, ALUR S.A., C</w:t>
      </w:r>
      <w:r>
        <w:rPr>
          <w:rFonts w:cs="Arial"/>
          <w:szCs w:val="24"/>
        </w:rPr>
        <w:t xml:space="preserve">EMENTOS DEL PLATA </w:t>
      </w:r>
      <w:r w:rsidRPr="005E432D">
        <w:rPr>
          <w:rFonts w:cs="Arial"/>
          <w:szCs w:val="24"/>
        </w:rPr>
        <w:t xml:space="preserve">S.A., ANCSOL S.A. y </w:t>
      </w:r>
      <w:r w:rsidRPr="005E432D">
        <w:rPr>
          <w:rFonts w:cs="Arial"/>
          <w:spacing w:val="-3"/>
          <w:szCs w:val="24"/>
          <w:lang w:val="es-ES_tradnl"/>
        </w:rPr>
        <w:t xml:space="preserve"> ATS S.A.</w:t>
      </w:r>
    </w:p>
    <w:p w:rsidR="001D2594" w:rsidRPr="005E432D" w:rsidRDefault="001D2594" w:rsidP="00ED6474">
      <w:pPr>
        <w:keepNext/>
        <w:widowControl w:val="0"/>
        <w:numPr>
          <w:ilvl w:val="0"/>
          <w:numId w:val="1"/>
        </w:numPr>
        <w:tabs>
          <w:tab w:val="clear" w:pos="720"/>
          <w:tab w:val="num" w:pos="426"/>
        </w:tabs>
        <w:spacing w:after="0" w:line="360" w:lineRule="auto"/>
        <w:ind w:left="426" w:hanging="426"/>
        <w:rPr>
          <w:rFonts w:cs="Arial"/>
          <w:b/>
          <w:szCs w:val="24"/>
        </w:rPr>
      </w:pPr>
      <w:r w:rsidRPr="005E432D">
        <w:rPr>
          <w:rFonts w:cs="Arial"/>
          <w:b/>
          <w:szCs w:val="24"/>
        </w:rPr>
        <w:t>Motivos que dan origen a salvedades en</w:t>
      </w:r>
      <w:r>
        <w:rPr>
          <w:rFonts w:cs="Arial"/>
          <w:b/>
          <w:szCs w:val="24"/>
        </w:rPr>
        <w:t xml:space="preserve"> los</w:t>
      </w:r>
      <w:r w:rsidRPr="005E432D">
        <w:rPr>
          <w:rFonts w:cs="Arial"/>
          <w:b/>
          <w:szCs w:val="24"/>
        </w:rPr>
        <w:t xml:space="preserve"> Dict</w:t>
      </w:r>
      <w:r>
        <w:rPr>
          <w:rFonts w:cs="Arial"/>
          <w:b/>
          <w:szCs w:val="24"/>
        </w:rPr>
        <w:t>á</w:t>
      </w:r>
      <w:r w:rsidRPr="005E432D">
        <w:rPr>
          <w:rFonts w:cs="Arial"/>
          <w:b/>
          <w:szCs w:val="24"/>
        </w:rPr>
        <w:t>men</w:t>
      </w:r>
      <w:r>
        <w:rPr>
          <w:rFonts w:cs="Arial"/>
          <w:b/>
          <w:szCs w:val="24"/>
        </w:rPr>
        <w:t>es</w:t>
      </w:r>
    </w:p>
    <w:p w:rsidR="001D2594" w:rsidRPr="005E432D" w:rsidRDefault="001D2594" w:rsidP="00ED6474">
      <w:pPr>
        <w:pStyle w:val="Prrafodelista"/>
        <w:keepNext/>
        <w:widowControl w:val="0"/>
        <w:numPr>
          <w:ilvl w:val="1"/>
          <w:numId w:val="20"/>
        </w:numPr>
        <w:tabs>
          <w:tab w:val="left" w:pos="851"/>
        </w:tabs>
        <w:spacing w:line="360" w:lineRule="auto"/>
        <w:ind w:left="426" w:firstLine="0"/>
        <w:rPr>
          <w:rFonts w:ascii="Arial" w:hAnsi="Arial" w:cs="Arial"/>
          <w:b/>
          <w:bCs/>
          <w:sz w:val="24"/>
          <w:szCs w:val="24"/>
        </w:rPr>
      </w:pPr>
      <w:r w:rsidRPr="005E432D">
        <w:rPr>
          <w:rFonts w:ascii="Arial" w:hAnsi="Arial" w:cs="Arial"/>
          <w:b/>
          <w:bCs/>
          <w:sz w:val="24"/>
          <w:szCs w:val="24"/>
        </w:rPr>
        <w:t>Ajustes a precios de venta</w:t>
      </w:r>
      <w:r>
        <w:rPr>
          <w:rFonts w:ascii="Arial" w:hAnsi="Arial" w:cs="Arial"/>
          <w:b/>
          <w:bCs/>
          <w:sz w:val="24"/>
          <w:szCs w:val="24"/>
        </w:rPr>
        <w:t xml:space="preserve"> realizadas en ejercicios anteriores.</w:t>
      </w:r>
    </w:p>
    <w:p w:rsidR="001D2594" w:rsidRPr="005E432D" w:rsidRDefault="001D2594" w:rsidP="00ED6474">
      <w:pPr>
        <w:pStyle w:val="Prrafodelista"/>
        <w:keepNext/>
        <w:widowControl w:val="0"/>
        <w:spacing w:after="0" w:line="360" w:lineRule="auto"/>
        <w:ind w:left="360"/>
        <w:jc w:val="both"/>
        <w:rPr>
          <w:rFonts w:ascii="Arial" w:hAnsi="Arial" w:cs="Arial"/>
          <w:sz w:val="24"/>
          <w:szCs w:val="24"/>
        </w:rPr>
      </w:pPr>
      <w:r w:rsidRPr="0017553B">
        <w:rPr>
          <w:rFonts w:ascii="Arial" w:hAnsi="Arial" w:cs="Arial"/>
          <w:sz w:val="24"/>
          <w:szCs w:val="24"/>
        </w:rPr>
        <w:t>Con relación a determinadas ventas  de combustible a UTE efectuadas por ANCAP en los ejercicios 2009 - 2014, se realizaron ajustes de precios cuya información estaba</w:t>
      </w:r>
      <w:r>
        <w:rPr>
          <w:rFonts w:ascii="Arial" w:hAnsi="Arial" w:cs="Arial"/>
          <w:sz w:val="24"/>
          <w:szCs w:val="24"/>
        </w:rPr>
        <w:t xml:space="preserve"> disponible</w:t>
      </w:r>
      <w:r w:rsidRPr="0017553B">
        <w:rPr>
          <w:rFonts w:ascii="Arial" w:hAnsi="Arial" w:cs="Arial"/>
          <w:sz w:val="24"/>
          <w:szCs w:val="24"/>
        </w:rPr>
        <w:t xml:space="preserve"> en dichos ejercicios</w:t>
      </w:r>
      <w:r>
        <w:rPr>
          <w:rFonts w:ascii="Arial" w:hAnsi="Arial" w:cs="Arial"/>
          <w:sz w:val="24"/>
          <w:szCs w:val="24"/>
        </w:rPr>
        <w:t>,</w:t>
      </w:r>
      <w:r w:rsidRPr="0017553B">
        <w:rPr>
          <w:rFonts w:ascii="Arial" w:hAnsi="Arial" w:cs="Arial"/>
          <w:sz w:val="24"/>
          <w:szCs w:val="24"/>
        </w:rPr>
        <w:t xml:space="preserve"> los cuales se contabilizaron con cargo a los Ingresos Operativos del ejercicio bajo examen por la suma de U$S 32.490.679,18 equivalentes  a $ 931.164.717, contraviniendo lo dispuesto en el párrafo 19 de la NIC 18</w:t>
      </w:r>
      <w:r>
        <w:rPr>
          <w:rFonts w:ascii="Arial" w:hAnsi="Arial" w:cs="Arial"/>
          <w:sz w:val="24"/>
          <w:szCs w:val="24"/>
        </w:rPr>
        <w:t>,</w:t>
      </w:r>
      <w:r w:rsidRPr="0017553B">
        <w:rPr>
          <w:rFonts w:ascii="Arial" w:hAnsi="Arial" w:cs="Arial"/>
          <w:sz w:val="24"/>
          <w:szCs w:val="24"/>
        </w:rPr>
        <w:t xml:space="preserve"> y </w:t>
      </w:r>
      <w:r>
        <w:rPr>
          <w:rFonts w:ascii="Arial" w:hAnsi="Arial" w:cs="Arial"/>
          <w:sz w:val="24"/>
          <w:szCs w:val="24"/>
        </w:rPr>
        <w:t>en</w:t>
      </w:r>
      <w:r w:rsidRPr="0017553B">
        <w:rPr>
          <w:rFonts w:ascii="Arial" w:hAnsi="Arial" w:cs="Arial"/>
          <w:sz w:val="24"/>
          <w:szCs w:val="24"/>
        </w:rPr>
        <w:t xml:space="preserve"> el párrafo 4.50 del Marco Conceptual para la Información Financiera. </w:t>
      </w:r>
      <w:r>
        <w:rPr>
          <w:rFonts w:ascii="Arial" w:hAnsi="Arial" w:cs="Arial"/>
          <w:sz w:val="24"/>
          <w:szCs w:val="24"/>
        </w:rPr>
        <w:t>Dichas normas contables establecen que los ingresos de actividades ordinarias y los gastos relacionados con una misma transacción o evento se reconocerán en forma simultánea, proceso que se denomina correlación de gastos con ingresos.</w:t>
      </w:r>
    </w:p>
    <w:p w:rsidR="001D2594" w:rsidRPr="005E432D" w:rsidRDefault="001D2594" w:rsidP="00ED6474">
      <w:pPr>
        <w:pStyle w:val="Prrafodelista"/>
        <w:keepNext/>
        <w:widowControl w:val="0"/>
        <w:spacing w:after="0" w:line="360" w:lineRule="auto"/>
        <w:ind w:left="426"/>
        <w:jc w:val="both"/>
        <w:rPr>
          <w:rFonts w:ascii="Arial" w:hAnsi="Arial" w:cs="Arial"/>
          <w:sz w:val="24"/>
          <w:szCs w:val="24"/>
        </w:rPr>
      </w:pPr>
      <w:r w:rsidRPr="005E432D">
        <w:rPr>
          <w:rFonts w:ascii="Arial" w:hAnsi="Arial" w:cs="Arial"/>
          <w:sz w:val="24"/>
          <w:szCs w:val="24"/>
        </w:rPr>
        <w:t>Dichos ajustes a la facturación se incluye</w:t>
      </w:r>
      <w:r>
        <w:rPr>
          <w:rFonts w:ascii="Arial" w:hAnsi="Arial" w:cs="Arial"/>
          <w:sz w:val="24"/>
          <w:szCs w:val="24"/>
        </w:rPr>
        <w:t>ro</w:t>
      </w:r>
      <w:r w:rsidRPr="005E432D">
        <w:rPr>
          <w:rFonts w:ascii="Arial" w:hAnsi="Arial" w:cs="Arial"/>
          <w:sz w:val="24"/>
          <w:szCs w:val="24"/>
        </w:rPr>
        <w:t>n en los ingresos o</w:t>
      </w:r>
      <w:r>
        <w:rPr>
          <w:rFonts w:ascii="Arial" w:hAnsi="Arial" w:cs="Arial"/>
          <w:sz w:val="24"/>
          <w:szCs w:val="24"/>
        </w:rPr>
        <w:t xml:space="preserve">perativos del ejercicio </w:t>
      </w:r>
      <w:r w:rsidRPr="005E432D">
        <w:rPr>
          <w:rFonts w:ascii="Arial" w:hAnsi="Arial" w:cs="Arial"/>
          <w:sz w:val="24"/>
          <w:szCs w:val="24"/>
        </w:rPr>
        <w:t>debie</w:t>
      </w:r>
      <w:r>
        <w:rPr>
          <w:rFonts w:ascii="Arial" w:hAnsi="Arial" w:cs="Arial"/>
          <w:sz w:val="24"/>
          <w:szCs w:val="24"/>
        </w:rPr>
        <w:t>ndo</w:t>
      </w:r>
      <w:r w:rsidRPr="005E432D">
        <w:rPr>
          <w:rFonts w:ascii="Arial" w:hAnsi="Arial" w:cs="Arial"/>
          <w:sz w:val="24"/>
          <w:szCs w:val="24"/>
        </w:rPr>
        <w:t xml:space="preserve"> ser registrados con cargo a</w:t>
      </w:r>
      <w:r>
        <w:rPr>
          <w:rFonts w:ascii="Arial" w:hAnsi="Arial" w:cs="Arial"/>
          <w:sz w:val="24"/>
          <w:szCs w:val="24"/>
        </w:rPr>
        <w:t>l</w:t>
      </w:r>
      <w:r w:rsidRPr="005E432D">
        <w:rPr>
          <w:rFonts w:ascii="Arial" w:hAnsi="Arial" w:cs="Arial"/>
          <w:sz w:val="24"/>
          <w:szCs w:val="24"/>
        </w:rPr>
        <w:t xml:space="preserve"> rubro patrimonial</w:t>
      </w:r>
      <w:r>
        <w:rPr>
          <w:rFonts w:ascii="Arial" w:hAnsi="Arial" w:cs="Arial"/>
          <w:sz w:val="24"/>
          <w:szCs w:val="24"/>
        </w:rPr>
        <w:t xml:space="preserve"> Resultados Acumulados.</w:t>
      </w:r>
    </w:p>
    <w:p w:rsidR="001D2594" w:rsidRDefault="001D2594" w:rsidP="00ED6474">
      <w:pPr>
        <w:pStyle w:val="Prrafodelista"/>
        <w:keepNext/>
        <w:widowControl w:val="0"/>
        <w:spacing w:after="0" w:line="360" w:lineRule="auto"/>
        <w:ind w:left="426"/>
        <w:jc w:val="both"/>
        <w:rPr>
          <w:rFonts w:ascii="Arial" w:hAnsi="Arial" w:cs="Arial"/>
          <w:sz w:val="24"/>
          <w:szCs w:val="24"/>
        </w:rPr>
      </w:pPr>
      <w:r w:rsidRPr="005E432D">
        <w:rPr>
          <w:rFonts w:ascii="Arial" w:hAnsi="Arial" w:cs="Arial"/>
          <w:sz w:val="24"/>
          <w:szCs w:val="24"/>
        </w:rPr>
        <w:t>Esta situación origin</w:t>
      </w:r>
      <w:r>
        <w:rPr>
          <w:rFonts w:ascii="Arial" w:hAnsi="Arial" w:cs="Arial"/>
          <w:sz w:val="24"/>
          <w:szCs w:val="24"/>
        </w:rPr>
        <w:t>ó</w:t>
      </w:r>
      <w:r w:rsidRPr="005E432D">
        <w:rPr>
          <w:rFonts w:ascii="Arial" w:hAnsi="Arial" w:cs="Arial"/>
          <w:sz w:val="24"/>
          <w:szCs w:val="24"/>
        </w:rPr>
        <w:t xml:space="preserve"> una sobrevaluación de los Ingresos </w:t>
      </w:r>
      <w:r>
        <w:rPr>
          <w:rFonts w:ascii="Arial" w:hAnsi="Arial" w:cs="Arial"/>
          <w:sz w:val="24"/>
          <w:szCs w:val="24"/>
        </w:rPr>
        <w:t>Operativos</w:t>
      </w:r>
      <w:r w:rsidRPr="005E432D">
        <w:rPr>
          <w:rFonts w:ascii="Arial" w:hAnsi="Arial" w:cs="Arial"/>
          <w:sz w:val="24"/>
          <w:szCs w:val="24"/>
        </w:rPr>
        <w:t xml:space="preserve"> y del Resultado del Ejercicio </w:t>
      </w:r>
      <w:r>
        <w:rPr>
          <w:rFonts w:ascii="Arial" w:hAnsi="Arial" w:cs="Arial"/>
          <w:sz w:val="24"/>
          <w:szCs w:val="24"/>
        </w:rPr>
        <w:t>de</w:t>
      </w:r>
      <w:r w:rsidRPr="005E432D">
        <w:rPr>
          <w:rFonts w:ascii="Arial" w:hAnsi="Arial" w:cs="Arial"/>
          <w:sz w:val="24"/>
          <w:szCs w:val="24"/>
        </w:rPr>
        <w:t xml:space="preserve"> U$S 32.490.679,18 (equivalente a </w:t>
      </w:r>
      <w:r w:rsidR="00120C95">
        <w:rPr>
          <w:rFonts w:ascii="Arial" w:hAnsi="Arial" w:cs="Arial"/>
          <w:sz w:val="24"/>
          <w:szCs w:val="24"/>
        </w:rPr>
        <w:t>$</w:t>
      </w:r>
      <w:r w:rsidRPr="005E432D">
        <w:rPr>
          <w:rFonts w:ascii="Arial" w:hAnsi="Arial" w:cs="Arial"/>
          <w:sz w:val="24"/>
          <w:szCs w:val="24"/>
        </w:rPr>
        <w:t xml:space="preserve">931.164.717), por </w:t>
      </w:r>
      <w:r>
        <w:rPr>
          <w:rFonts w:ascii="Arial" w:hAnsi="Arial" w:cs="Arial"/>
          <w:sz w:val="24"/>
          <w:szCs w:val="24"/>
        </w:rPr>
        <w:t xml:space="preserve"> </w:t>
      </w:r>
      <w:r w:rsidRPr="005E432D">
        <w:rPr>
          <w:rFonts w:ascii="Arial" w:hAnsi="Arial" w:cs="Arial"/>
          <w:sz w:val="24"/>
          <w:szCs w:val="24"/>
        </w:rPr>
        <w:t xml:space="preserve">lo que este último hubiera </w:t>
      </w:r>
      <w:r>
        <w:rPr>
          <w:rFonts w:ascii="Arial" w:hAnsi="Arial" w:cs="Arial"/>
          <w:sz w:val="24"/>
          <w:szCs w:val="24"/>
        </w:rPr>
        <w:t xml:space="preserve">significado una pérdida de </w:t>
      </w:r>
      <w:r w:rsidR="00120C95">
        <w:rPr>
          <w:rFonts w:ascii="Arial" w:hAnsi="Arial" w:cs="Arial"/>
          <w:sz w:val="24"/>
          <w:szCs w:val="24"/>
        </w:rPr>
        <w:t>$</w:t>
      </w:r>
      <w:r>
        <w:rPr>
          <w:rFonts w:ascii="Arial" w:hAnsi="Arial" w:cs="Arial"/>
          <w:sz w:val="24"/>
          <w:szCs w:val="24"/>
        </w:rPr>
        <w:t>617.183</w:t>
      </w:r>
      <w:r w:rsidRPr="005E432D">
        <w:rPr>
          <w:rFonts w:ascii="Arial" w:hAnsi="Arial" w:cs="Arial"/>
          <w:sz w:val="24"/>
          <w:szCs w:val="24"/>
        </w:rPr>
        <w:t>.204 en el Estado de Resultado Consolidado, y de $ 495.628.568 en el Estado de Resultado Individual</w:t>
      </w:r>
      <w:r>
        <w:rPr>
          <w:rFonts w:ascii="Arial" w:hAnsi="Arial" w:cs="Arial"/>
          <w:sz w:val="24"/>
          <w:szCs w:val="24"/>
        </w:rPr>
        <w:t xml:space="preserve"> de ANCAP al 31/12/2016</w:t>
      </w:r>
      <w:r w:rsidRPr="005E432D">
        <w:rPr>
          <w:rFonts w:ascii="Arial" w:hAnsi="Arial" w:cs="Arial"/>
          <w:sz w:val="24"/>
          <w:szCs w:val="24"/>
        </w:rPr>
        <w:t>.</w:t>
      </w:r>
    </w:p>
    <w:p w:rsidR="001D2594" w:rsidRPr="005E432D" w:rsidRDefault="001D2594" w:rsidP="00ED6474">
      <w:pPr>
        <w:pStyle w:val="Prrafodelista"/>
        <w:keepNext/>
        <w:widowControl w:val="0"/>
        <w:spacing w:after="0" w:line="360" w:lineRule="auto"/>
        <w:ind w:left="426"/>
        <w:jc w:val="both"/>
        <w:rPr>
          <w:rFonts w:ascii="Arial" w:hAnsi="Arial" w:cs="Arial"/>
          <w:sz w:val="24"/>
          <w:szCs w:val="24"/>
        </w:rPr>
      </w:pPr>
      <w:r>
        <w:rPr>
          <w:rFonts w:ascii="Arial" w:hAnsi="Arial" w:cs="Arial"/>
          <w:sz w:val="24"/>
          <w:szCs w:val="24"/>
        </w:rPr>
        <w:t>La mencionada sobrevaluación significa el 1.7% de los Ingresos Operativos Consolidados y el 2% de los Ingresos Operativos Individuales de ANCAP.</w:t>
      </w:r>
    </w:p>
    <w:p w:rsidR="001D2594" w:rsidRPr="005E432D" w:rsidRDefault="001D2594" w:rsidP="00ED6474">
      <w:pPr>
        <w:pStyle w:val="Prrafodelista"/>
        <w:keepNext/>
        <w:widowControl w:val="0"/>
        <w:spacing w:after="0" w:line="360" w:lineRule="auto"/>
        <w:ind w:left="426"/>
        <w:jc w:val="both"/>
        <w:rPr>
          <w:rFonts w:ascii="Arial" w:hAnsi="Arial" w:cs="Arial"/>
          <w:sz w:val="24"/>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pacing w:val="-3"/>
          <w:szCs w:val="24"/>
          <w:lang w:val="es-ES_tradnl"/>
        </w:rPr>
        <w:t xml:space="preserve">2.2 </w:t>
      </w:r>
      <w:r w:rsidRPr="005E432D">
        <w:rPr>
          <w:rFonts w:cs="Arial"/>
          <w:szCs w:val="24"/>
        </w:rPr>
        <w:t xml:space="preserve">La empresa ANCSOL S.A. de la cual ANCAP es propietaria del 100% del paquete accionario, con un valor patrimonial proporcional negativo </w:t>
      </w:r>
      <w:r>
        <w:rPr>
          <w:rFonts w:cs="Arial"/>
          <w:szCs w:val="24"/>
        </w:rPr>
        <w:t>expuesto</w:t>
      </w:r>
      <w:r w:rsidRPr="005E432D">
        <w:rPr>
          <w:rFonts w:cs="Arial"/>
          <w:szCs w:val="24"/>
        </w:rPr>
        <w:t xml:space="preserve"> en los Estados Financieros </w:t>
      </w:r>
      <w:r>
        <w:rPr>
          <w:rFonts w:cs="Arial"/>
          <w:szCs w:val="24"/>
        </w:rPr>
        <w:t>Individuales de $ 168:849.720,</w:t>
      </w:r>
      <w:r w:rsidRPr="005E432D">
        <w:rPr>
          <w:rFonts w:cs="Arial"/>
          <w:szCs w:val="24"/>
        </w:rPr>
        <w:t xml:space="preserve"> present</w:t>
      </w:r>
      <w:r>
        <w:rPr>
          <w:rFonts w:cs="Arial"/>
          <w:szCs w:val="24"/>
        </w:rPr>
        <w:t>ó</w:t>
      </w:r>
      <w:r w:rsidRPr="005E432D">
        <w:rPr>
          <w:rFonts w:cs="Arial"/>
          <w:szCs w:val="24"/>
        </w:rPr>
        <w:t xml:space="preserve"> al 31/12/2016 un </w:t>
      </w:r>
      <w:r>
        <w:rPr>
          <w:rFonts w:cs="Arial"/>
          <w:szCs w:val="24"/>
        </w:rPr>
        <w:t xml:space="preserve">índice </w:t>
      </w:r>
      <w:r w:rsidRPr="005E432D">
        <w:rPr>
          <w:rFonts w:cs="Arial"/>
          <w:szCs w:val="24"/>
        </w:rPr>
        <w:t>EBITDA (beneficio antes de intereses, impuestos, depreciaciones y amortizaciones) negativo de $ 95.801.935. Est</w:t>
      </w:r>
      <w:r>
        <w:rPr>
          <w:rFonts w:cs="Arial"/>
          <w:szCs w:val="24"/>
        </w:rPr>
        <w:t>os</w:t>
      </w:r>
      <w:r w:rsidRPr="005E432D">
        <w:rPr>
          <w:rFonts w:cs="Arial"/>
          <w:szCs w:val="24"/>
        </w:rPr>
        <w:t xml:space="preserve"> indicios de deterioro no fueron evaluados por el Ente, ni tenidos en cuenta sus posibles efectos </w:t>
      </w:r>
      <w:r>
        <w:rPr>
          <w:rFonts w:cs="Arial"/>
          <w:szCs w:val="24"/>
        </w:rPr>
        <w:t>contables</w:t>
      </w:r>
      <w:r w:rsidRPr="005E432D">
        <w:rPr>
          <w:rFonts w:cs="Arial"/>
          <w:szCs w:val="24"/>
        </w:rPr>
        <w:t xml:space="preserve"> en los Estados Financieros Consolidados e Individuales.</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 xml:space="preserve">Los auditores externos de ANCSOL S.A. se abstuvieron de emitir opinión sobre </w:t>
      </w:r>
      <w:r>
        <w:rPr>
          <w:rFonts w:cs="Arial"/>
          <w:szCs w:val="24"/>
        </w:rPr>
        <w:t>los</w:t>
      </w:r>
      <w:r w:rsidRPr="005E432D">
        <w:rPr>
          <w:rFonts w:cs="Arial"/>
          <w:szCs w:val="24"/>
        </w:rPr>
        <w:t xml:space="preserve"> Estados Financieros</w:t>
      </w:r>
      <w:r>
        <w:rPr>
          <w:rFonts w:cs="Arial"/>
          <w:szCs w:val="24"/>
        </w:rPr>
        <w:t xml:space="preserve"> de dicha empresa</w:t>
      </w:r>
      <w:r w:rsidRPr="005E432D">
        <w:rPr>
          <w:rFonts w:cs="Arial"/>
          <w:szCs w:val="24"/>
        </w:rPr>
        <w:t xml:space="preserve"> debido a la situación financiera de CARBOCLOR S.A.,</w:t>
      </w:r>
      <w:r>
        <w:rPr>
          <w:rFonts w:cs="Arial"/>
          <w:szCs w:val="24"/>
        </w:rPr>
        <w:t xml:space="preserve"> de la cual ANCSOL S.A. es propietaria del 85.45% de su paquete accionario. C</w:t>
      </w:r>
      <w:r w:rsidRPr="005E432D">
        <w:rPr>
          <w:rFonts w:cs="Arial"/>
          <w:szCs w:val="24"/>
        </w:rPr>
        <w:t>on fecha 29/12/2016</w:t>
      </w:r>
      <w:r>
        <w:rPr>
          <w:rFonts w:cs="Arial"/>
          <w:szCs w:val="24"/>
        </w:rPr>
        <w:t xml:space="preserve"> CARBOCLOR S.A.</w:t>
      </w:r>
      <w:r w:rsidRPr="005E432D">
        <w:rPr>
          <w:rFonts w:cs="Arial"/>
          <w:szCs w:val="24"/>
        </w:rPr>
        <w:t xml:space="preserve"> solicitó  la apertura de un concurso preventivo de acreedores </w:t>
      </w:r>
      <w:r>
        <w:rPr>
          <w:rFonts w:cs="Arial"/>
          <w:szCs w:val="24"/>
        </w:rPr>
        <w:t>e</w:t>
      </w:r>
      <w:r w:rsidRPr="005E432D">
        <w:rPr>
          <w:rFonts w:cs="Arial"/>
          <w:szCs w:val="24"/>
        </w:rPr>
        <w:t>l cual se</w:t>
      </w:r>
      <w:r>
        <w:rPr>
          <w:rFonts w:cs="Arial"/>
          <w:szCs w:val="24"/>
        </w:rPr>
        <w:t xml:space="preserve"> está</w:t>
      </w:r>
      <w:r w:rsidRPr="005E432D">
        <w:rPr>
          <w:rFonts w:cs="Arial"/>
          <w:szCs w:val="24"/>
        </w:rPr>
        <w:t xml:space="preserve"> tramita</w:t>
      </w:r>
      <w:r>
        <w:rPr>
          <w:rFonts w:cs="Arial"/>
          <w:szCs w:val="24"/>
        </w:rPr>
        <w:t>ndo</w:t>
      </w:r>
      <w:r w:rsidRPr="005E432D">
        <w:rPr>
          <w:rFonts w:cs="Arial"/>
          <w:szCs w:val="24"/>
        </w:rPr>
        <w:t xml:space="preserve"> judicialmente.</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3176AC" w:rsidRDefault="001D2594" w:rsidP="00ED6474">
      <w:pPr>
        <w:keepNext/>
        <w:widowControl w:val="0"/>
        <w:spacing w:after="0" w:line="360" w:lineRule="auto"/>
        <w:ind w:left="426"/>
        <w:rPr>
          <w:rFonts w:cs="Arial"/>
          <w:szCs w:val="24"/>
        </w:rPr>
      </w:pPr>
      <w:r w:rsidRPr="005E432D">
        <w:rPr>
          <w:rFonts w:cs="Arial"/>
          <w:b/>
          <w:szCs w:val="24"/>
        </w:rPr>
        <w:t>2.3</w:t>
      </w:r>
      <w:r w:rsidRPr="005E432D">
        <w:rPr>
          <w:rFonts w:cs="Arial"/>
          <w:szCs w:val="24"/>
        </w:rPr>
        <w:t xml:space="preserve"> La empresa CEMENTOS DEL PLATA S.A. de la cual ANCAP es propietaria del 99.80% del paquete accionario,</w:t>
      </w:r>
      <w:r>
        <w:rPr>
          <w:rFonts w:cs="Arial"/>
          <w:szCs w:val="24"/>
        </w:rPr>
        <w:t xml:space="preserve"> </w:t>
      </w:r>
      <w:r w:rsidRPr="005E432D">
        <w:rPr>
          <w:rFonts w:cs="Arial"/>
          <w:szCs w:val="24"/>
        </w:rPr>
        <w:t xml:space="preserve">cuyo valor patrimonial proporcional </w:t>
      </w:r>
      <w:r>
        <w:rPr>
          <w:rFonts w:cs="Arial"/>
          <w:szCs w:val="24"/>
        </w:rPr>
        <w:t>expuesto</w:t>
      </w:r>
      <w:r w:rsidRPr="005E432D">
        <w:rPr>
          <w:rFonts w:cs="Arial"/>
          <w:szCs w:val="24"/>
        </w:rPr>
        <w:t xml:space="preserve"> en los Estados Financieros Individuales</w:t>
      </w:r>
      <w:r w:rsidR="00120C95">
        <w:rPr>
          <w:rFonts w:cs="Arial"/>
          <w:szCs w:val="24"/>
        </w:rPr>
        <w:t xml:space="preserve"> es de $</w:t>
      </w:r>
      <w:r>
        <w:rPr>
          <w:rFonts w:cs="Arial"/>
          <w:szCs w:val="24"/>
        </w:rPr>
        <w:t>1.262.864.982, presentó</w:t>
      </w:r>
      <w:r w:rsidRPr="005E432D">
        <w:rPr>
          <w:rFonts w:cs="Arial"/>
          <w:szCs w:val="24"/>
        </w:rPr>
        <w:t xml:space="preserve"> un índice EBITDA negativo de $ 82.774.582.</w:t>
      </w:r>
      <w:r w:rsidRPr="006939BB">
        <w:rPr>
          <w:rFonts w:cs="Arial"/>
          <w:szCs w:val="24"/>
        </w:rPr>
        <w:t xml:space="preserve"> </w:t>
      </w:r>
      <w:r w:rsidRPr="003176AC">
        <w:rPr>
          <w:rFonts w:cs="Arial"/>
          <w:szCs w:val="24"/>
        </w:rPr>
        <w:t>Si bien en las notas a los Estados Financieros Consolidados</w:t>
      </w:r>
      <w:r>
        <w:rPr>
          <w:rFonts w:cs="Arial"/>
          <w:szCs w:val="24"/>
        </w:rPr>
        <w:t xml:space="preserve"> e Individuales de </w:t>
      </w:r>
      <w:r w:rsidRPr="003176AC">
        <w:rPr>
          <w:rFonts w:cs="Arial"/>
          <w:szCs w:val="24"/>
        </w:rPr>
        <w:t xml:space="preserve"> ANCAP </w:t>
      </w:r>
      <w:r>
        <w:rPr>
          <w:rFonts w:cs="Arial"/>
          <w:szCs w:val="24"/>
        </w:rPr>
        <w:t xml:space="preserve">se </w:t>
      </w:r>
      <w:r w:rsidRPr="003176AC">
        <w:rPr>
          <w:rFonts w:cs="Arial"/>
          <w:szCs w:val="24"/>
        </w:rPr>
        <w:t>expresa que fue evaluado el Valor Presente Neto de los flujos de fondos de la Unidad Generadora de Efectivo, no se revelan los importes de los flujos de fondos netos, ni el período considerado para realizar la evaluación</w:t>
      </w:r>
      <w:r>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spacing w:after="0" w:line="360" w:lineRule="auto"/>
        <w:ind w:left="426"/>
        <w:rPr>
          <w:rFonts w:cs="Arial"/>
          <w:szCs w:val="24"/>
        </w:rPr>
      </w:pPr>
      <w:r w:rsidRPr="005E432D">
        <w:rPr>
          <w:rFonts w:cs="Arial"/>
          <w:b/>
          <w:spacing w:val="-3"/>
          <w:szCs w:val="24"/>
          <w:lang w:val="es-ES_tradnl"/>
        </w:rPr>
        <w:t xml:space="preserve">2.4 </w:t>
      </w:r>
      <w:r w:rsidRPr="005E432D">
        <w:rPr>
          <w:rFonts w:cs="Arial"/>
          <w:szCs w:val="24"/>
        </w:rPr>
        <w:t>La empresa asociada ATS S.A. de la cual ANCAP es propietaria de</w:t>
      </w:r>
      <w:r>
        <w:rPr>
          <w:rFonts w:cs="Arial"/>
          <w:szCs w:val="24"/>
        </w:rPr>
        <w:t xml:space="preserve">l 99% del paquete accionario, </w:t>
      </w:r>
      <w:r w:rsidRPr="005E432D">
        <w:rPr>
          <w:rFonts w:cs="Arial"/>
          <w:szCs w:val="24"/>
        </w:rPr>
        <w:t xml:space="preserve">cuyo valor patrimonial proporcional </w:t>
      </w:r>
      <w:r>
        <w:rPr>
          <w:rFonts w:cs="Arial"/>
          <w:szCs w:val="24"/>
        </w:rPr>
        <w:t>expuesto</w:t>
      </w:r>
      <w:r w:rsidRPr="005E432D">
        <w:rPr>
          <w:rFonts w:cs="Arial"/>
          <w:szCs w:val="24"/>
        </w:rPr>
        <w:t xml:space="preserve"> en los Estados Financieros Individuales es de $ 9.310.795, present</w:t>
      </w:r>
      <w:r>
        <w:rPr>
          <w:rFonts w:cs="Arial"/>
          <w:szCs w:val="24"/>
        </w:rPr>
        <w:t>ó</w:t>
      </w:r>
      <w:r w:rsidRPr="005E432D">
        <w:rPr>
          <w:rFonts w:cs="Arial"/>
          <w:szCs w:val="24"/>
        </w:rPr>
        <w:t xml:space="preserve"> un índice EBITDA negativo de $ 2.068.856. Est</w:t>
      </w:r>
      <w:r>
        <w:rPr>
          <w:rFonts w:cs="Arial"/>
          <w:szCs w:val="24"/>
        </w:rPr>
        <w:t>e</w:t>
      </w:r>
      <w:r w:rsidRPr="005E432D">
        <w:rPr>
          <w:rFonts w:cs="Arial"/>
          <w:szCs w:val="24"/>
        </w:rPr>
        <w:t xml:space="preserve"> indicio de deterioro y los efectos </w:t>
      </w:r>
      <w:r>
        <w:rPr>
          <w:rFonts w:cs="Arial"/>
          <w:szCs w:val="24"/>
        </w:rPr>
        <w:t xml:space="preserve">contables </w:t>
      </w:r>
      <w:r w:rsidRPr="005E432D">
        <w:rPr>
          <w:rFonts w:cs="Arial"/>
          <w:szCs w:val="24"/>
        </w:rPr>
        <w:t>del mismo no fue</w:t>
      </w:r>
      <w:r>
        <w:rPr>
          <w:rFonts w:cs="Arial"/>
          <w:szCs w:val="24"/>
        </w:rPr>
        <w:t>ron</w:t>
      </w:r>
      <w:r w:rsidRPr="005E432D">
        <w:rPr>
          <w:rFonts w:cs="Arial"/>
          <w:szCs w:val="24"/>
        </w:rPr>
        <w:t xml:space="preserve"> evaluado</w:t>
      </w:r>
      <w:r>
        <w:rPr>
          <w:rFonts w:cs="Arial"/>
          <w:szCs w:val="24"/>
        </w:rPr>
        <w:t>s</w:t>
      </w:r>
      <w:r w:rsidRPr="005E432D">
        <w:rPr>
          <w:rFonts w:cs="Arial"/>
          <w:szCs w:val="24"/>
        </w:rPr>
        <w:t xml:space="preserve"> por el Ente en sus Estados Financieros Consolidados e Individuales.</w:t>
      </w:r>
    </w:p>
    <w:p w:rsidR="001D2594" w:rsidRPr="005E432D" w:rsidRDefault="001D2594" w:rsidP="00ED6474">
      <w:pPr>
        <w:keepNext/>
        <w:widowControl w:val="0"/>
        <w:spacing w:after="0" w:line="360" w:lineRule="auto"/>
        <w:ind w:left="426"/>
        <w:rPr>
          <w:rFonts w:cs="Arial"/>
          <w:szCs w:val="24"/>
        </w:rPr>
      </w:pP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pacing w:val="-3"/>
          <w:szCs w:val="24"/>
          <w:lang w:val="es-ES_tradnl"/>
        </w:rPr>
        <w:t xml:space="preserve">2.5 </w:t>
      </w:r>
      <w:r w:rsidRPr="005E432D">
        <w:rPr>
          <w:rFonts w:cs="Arial"/>
          <w:szCs w:val="24"/>
        </w:rPr>
        <w:t xml:space="preserve">La empresa asociada CABA S.A. de la cual ANCAP es propietaria del 100% del paquete accionario, cuyo valor patrimonial proporcional </w:t>
      </w:r>
      <w:r>
        <w:rPr>
          <w:rFonts w:cs="Arial"/>
          <w:szCs w:val="24"/>
        </w:rPr>
        <w:t>expuesto</w:t>
      </w:r>
      <w:r w:rsidRPr="005E432D">
        <w:rPr>
          <w:rFonts w:cs="Arial"/>
          <w:szCs w:val="24"/>
        </w:rPr>
        <w:t xml:space="preserve"> en los Estados Financieros Individuales es de $ 42.665.111, present</w:t>
      </w:r>
      <w:r>
        <w:rPr>
          <w:rFonts w:cs="Arial"/>
          <w:szCs w:val="24"/>
        </w:rPr>
        <w:t>ó</w:t>
      </w:r>
      <w:r w:rsidRPr="005E432D">
        <w:rPr>
          <w:rFonts w:cs="Arial"/>
          <w:szCs w:val="24"/>
        </w:rPr>
        <w:t xml:space="preserve"> un índice EBIT</w:t>
      </w:r>
      <w:r>
        <w:rPr>
          <w:rFonts w:cs="Arial"/>
          <w:szCs w:val="24"/>
        </w:rPr>
        <w:t>DA negativo de $ 1.520.873. Este</w:t>
      </w:r>
      <w:r w:rsidRPr="005E432D">
        <w:rPr>
          <w:rFonts w:cs="Arial"/>
          <w:szCs w:val="24"/>
        </w:rPr>
        <w:t xml:space="preserve"> indicio de deterioro y los efectos </w:t>
      </w:r>
      <w:r>
        <w:rPr>
          <w:rFonts w:cs="Arial"/>
          <w:szCs w:val="24"/>
        </w:rPr>
        <w:t>contables</w:t>
      </w:r>
      <w:r w:rsidRPr="005E432D">
        <w:rPr>
          <w:rFonts w:cs="Arial"/>
          <w:szCs w:val="24"/>
        </w:rPr>
        <w:t xml:space="preserve"> del mismo no fueron evaluados por el Ente en sus Estados Financieros Consolidados e Individuales.</w:t>
      </w:r>
    </w:p>
    <w:p w:rsidR="001D2594" w:rsidRDefault="001D2594" w:rsidP="00ED6474">
      <w:pPr>
        <w:keepNext/>
        <w:widowControl w:val="0"/>
        <w:tabs>
          <w:tab w:val="left" w:pos="1701"/>
        </w:tabs>
        <w:spacing w:after="0" w:line="360" w:lineRule="auto"/>
        <w:ind w:left="426"/>
        <w:rPr>
          <w:rFonts w:cs="Arial"/>
          <w:szCs w:val="24"/>
        </w:rPr>
      </w:pPr>
      <w:r>
        <w:rPr>
          <w:rFonts w:cs="Arial"/>
          <w:szCs w:val="24"/>
        </w:rPr>
        <w:t>Según se expresa en la Nota 32.3 de los estados Financieros Individuales, s</w:t>
      </w:r>
      <w:r w:rsidRPr="005E432D">
        <w:rPr>
          <w:rFonts w:cs="Arial"/>
          <w:szCs w:val="24"/>
        </w:rPr>
        <w:t xml:space="preserve">e ha iniciado un proceso tendiente a una nueva estructuración del negocio, particularmente en lo que refiere a la integración en ALUR S.A. del negocio industrial de CABA S.A., desprendiéndose de lo que se entiende como productos de consumo masivo (bebidas alcohólicas, cuidado personal, artículos de ferretería). Esta situación </w:t>
      </w:r>
      <w:r>
        <w:rPr>
          <w:rFonts w:cs="Arial"/>
          <w:szCs w:val="24"/>
        </w:rPr>
        <w:t>gener</w:t>
      </w:r>
      <w:r w:rsidRPr="005E432D">
        <w:rPr>
          <w:rFonts w:cs="Arial"/>
          <w:szCs w:val="24"/>
        </w:rPr>
        <w:t xml:space="preserve">a incertidumbre  </w:t>
      </w:r>
      <w:r>
        <w:rPr>
          <w:rFonts w:cs="Arial"/>
          <w:szCs w:val="24"/>
        </w:rPr>
        <w:t>sobre</w:t>
      </w:r>
      <w:r w:rsidRPr="005E432D">
        <w:rPr>
          <w:rFonts w:cs="Arial"/>
          <w:szCs w:val="24"/>
        </w:rPr>
        <w:t xml:space="preserve"> el valor en libros de </w:t>
      </w:r>
      <w:r>
        <w:rPr>
          <w:rFonts w:cs="Arial"/>
          <w:szCs w:val="24"/>
        </w:rPr>
        <w:t>los</w:t>
      </w:r>
      <w:r w:rsidRPr="005E432D">
        <w:rPr>
          <w:rFonts w:cs="Arial"/>
          <w:szCs w:val="24"/>
        </w:rPr>
        <w:t xml:space="preserve"> activos y pasivos significativos </w:t>
      </w:r>
      <w:r>
        <w:rPr>
          <w:rFonts w:cs="Arial"/>
          <w:szCs w:val="24"/>
        </w:rPr>
        <w:t>de CABA S.A.</w:t>
      </w:r>
      <w:r w:rsidRPr="005E432D">
        <w:rPr>
          <w:rFonts w:cs="Arial"/>
          <w:szCs w:val="24"/>
        </w:rPr>
        <w:t xml:space="preserve"> </w:t>
      </w:r>
      <w:r>
        <w:rPr>
          <w:rFonts w:cs="Arial"/>
          <w:szCs w:val="24"/>
        </w:rPr>
        <w:t xml:space="preserve">al 31/12/2016. </w:t>
      </w:r>
      <w:r w:rsidRPr="005E432D">
        <w:rPr>
          <w:rFonts w:cs="Arial"/>
          <w:szCs w:val="24"/>
        </w:rPr>
        <w:t xml:space="preserve">El valor contable de la inversión </w:t>
      </w:r>
      <w:r>
        <w:rPr>
          <w:rFonts w:cs="Arial"/>
          <w:szCs w:val="24"/>
        </w:rPr>
        <w:t xml:space="preserve">de ANCAP en dicha empresa, no recoge </w:t>
      </w:r>
      <w:r w:rsidRPr="005E432D">
        <w:rPr>
          <w:rFonts w:cs="Arial"/>
          <w:szCs w:val="24"/>
        </w:rPr>
        <w:t>eventual</w:t>
      </w:r>
      <w:r>
        <w:rPr>
          <w:rFonts w:cs="Arial"/>
          <w:szCs w:val="24"/>
        </w:rPr>
        <w:t>es</w:t>
      </w:r>
      <w:r w:rsidRPr="005E432D">
        <w:rPr>
          <w:rFonts w:cs="Arial"/>
          <w:szCs w:val="24"/>
        </w:rPr>
        <w:t xml:space="preserve"> ajuste</w:t>
      </w:r>
      <w:r>
        <w:rPr>
          <w:rFonts w:cs="Arial"/>
          <w:szCs w:val="24"/>
        </w:rPr>
        <w:t>s</w:t>
      </w:r>
      <w:r w:rsidRPr="005E432D">
        <w:rPr>
          <w:rFonts w:cs="Arial"/>
          <w:szCs w:val="24"/>
        </w:rPr>
        <w:t xml:space="preserve"> que podría</w:t>
      </w:r>
      <w:r>
        <w:rPr>
          <w:rFonts w:cs="Arial"/>
          <w:szCs w:val="24"/>
        </w:rPr>
        <w:t>n</w:t>
      </w:r>
      <w:r w:rsidRPr="005E432D">
        <w:rPr>
          <w:rFonts w:cs="Arial"/>
          <w:szCs w:val="24"/>
        </w:rPr>
        <w:t xml:space="preserve"> ser necesario</w:t>
      </w:r>
      <w:r>
        <w:rPr>
          <w:rFonts w:cs="Arial"/>
          <w:szCs w:val="24"/>
        </w:rPr>
        <w:t>s</w:t>
      </w:r>
      <w:r w:rsidRPr="005E432D">
        <w:rPr>
          <w:rFonts w:cs="Arial"/>
          <w:szCs w:val="24"/>
        </w:rPr>
        <w:t xml:space="preserve"> de la </w:t>
      </w:r>
      <w:r>
        <w:rPr>
          <w:rFonts w:cs="Arial"/>
          <w:szCs w:val="24"/>
        </w:rPr>
        <w:t>resolución final de dicha situación, en los Estados Financieros Consolidados e Individuales del Ente al 31/12/2016.</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spacing w:after="260" w:line="360" w:lineRule="auto"/>
        <w:ind w:left="426"/>
        <w:rPr>
          <w:rFonts w:cs="Arial"/>
          <w:szCs w:val="24"/>
        </w:rPr>
      </w:pPr>
      <w:r w:rsidRPr="005E432D">
        <w:rPr>
          <w:rFonts w:cs="Arial"/>
          <w:b/>
          <w:szCs w:val="24"/>
        </w:rPr>
        <w:t>2.6</w:t>
      </w:r>
      <w:r w:rsidRPr="005E432D">
        <w:rPr>
          <w:rFonts w:cs="Arial"/>
          <w:szCs w:val="24"/>
        </w:rPr>
        <w:t xml:space="preserve"> La empresa PAMACOR S.A. de la cual ANCAP es propietaria de</w:t>
      </w:r>
      <w:r>
        <w:rPr>
          <w:rFonts w:cs="Arial"/>
          <w:szCs w:val="24"/>
        </w:rPr>
        <w:t xml:space="preserve">l 99% del paquete accionario, </w:t>
      </w:r>
      <w:r w:rsidRPr="005E432D">
        <w:rPr>
          <w:rFonts w:cs="Arial"/>
          <w:szCs w:val="24"/>
        </w:rPr>
        <w:t xml:space="preserve">cuyo valor patrimonial proporcional </w:t>
      </w:r>
      <w:r>
        <w:rPr>
          <w:rFonts w:cs="Arial"/>
          <w:szCs w:val="24"/>
        </w:rPr>
        <w:t>expuesto</w:t>
      </w:r>
      <w:r w:rsidRPr="005E432D">
        <w:rPr>
          <w:rFonts w:cs="Arial"/>
          <w:szCs w:val="24"/>
        </w:rPr>
        <w:t xml:space="preserve"> en los Estados Financieros Individuales es de $ 6.688.181, present</w:t>
      </w:r>
      <w:r>
        <w:rPr>
          <w:rFonts w:cs="Arial"/>
          <w:szCs w:val="24"/>
        </w:rPr>
        <w:t>ó</w:t>
      </w:r>
      <w:r w:rsidRPr="005E432D">
        <w:rPr>
          <w:rFonts w:cs="Arial"/>
          <w:szCs w:val="24"/>
        </w:rPr>
        <w:t xml:space="preserve"> un índice EBITDA negativo de $13.883</w:t>
      </w:r>
      <w:r>
        <w:rPr>
          <w:rFonts w:cs="Arial"/>
          <w:szCs w:val="24"/>
        </w:rPr>
        <w:t>, registrando bajo nivel de actividad durante el ejercicio 2016. Estos</w:t>
      </w:r>
      <w:r w:rsidRPr="005E432D">
        <w:rPr>
          <w:rFonts w:cs="Arial"/>
          <w:szCs w:val="24"/>
        </w:rPr>
        <w:t xml:space="preserve"> indicios de deterioro y los efectos </w:t>
      </w:r>
      <w:r>
        <w:rPr>
          <w:rFonts w:cs="Arial"/>
          <w:szCs w:val="24"/>
        </w:rPr>
        <w:t>contables</w:t>
      </w:r>
      <w:r w:rsidRPr="005E432D">
        <w:rPr>
          <w:rFonts w:cs="Arial"/>
          <w:szCs w:val="24"/>
        </w:rPr>
        <w:t xml:space="preserve"> de los mismos no fueron evaluados por el Ente en sus Estados Financieros</w:t>
      </w:r>
      <w:r>
        <w:rPr>
          <w:rFonts w:cs="Arial"/>
          <w:szCs w:val="24"/>
        </w:rPr>
        <w:t xml:space="preserve"> Consolidados e Individuales al 31/12/2016</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 xml:space="preserve">2.7 </w:t>
      </w:r>
      <w:r w:rsidRPr="005E432D">
        <w:rPr>
          <w:rFonts w:cs="Arial"/>
          <w:szCs w:val="24"/>
        </w:rPr>
        <w:t>La empresa asociada CONECTA S.A. de la cual ANCAP es propietaria d</w:t>
      </w:r>
      <w:r>
        <w:rPr>
          <w:rFonts w:cs="Arial"/>
          <w:szCs w:val="24"/>
        </w:rPr>
        <w:t xml:space="preserve">el 45% del paquete accionario, </w:t>
      </w:r>
      <w:r w:rsidRPr="005E432D">
        <w:rPr>
          <w:rFonts w:cs="Arial"/>
          <w:szCs w:val="24"/>
        </w:rPr>
        <w:t xml:space="preserve">cuyo valor patrimonial proporcional </w:t>
      </w:r>
      <w:r>
        <w:rPr>
          <w:rFonts w:cs="Arial"/>
          <w:szCs w:val="24"/>
        </w:rPr>
        <w:t>expuesto</w:t>
      </w:r>
      <w:r w:rsidRPr="005E432D">
        <w:rPr>
          <w:rFonts w:cs="Arial"/>
          <w:szCs w:val="24"/>
        </w:rPr>
        <w:t xml:space="preserve"> en los Estados Financieros Individuales es de $ 87.179.287, </w:t>
      </w:r>
      <w:r>
        <w:rPr>
          <w:rFonts w:cs="Arial"/>
          <w:szCs w:val="24"/>
        </w:rPr>
        <w:t>presentó</w:t>
      </w:r>
      <w:r w:rsidRPr="005E432D">
        <w:rPr>
          <w:rFonts w:cs="Arial"/>
          <w:szCs w:val="24"/>
        </w:rPr>
        <w:t xml:space="preserve"> un índice EBITD</w:t>
      </w:r>
      <w:r>
        <w:rPr>
          <w:rFonts w:cs="Arial"/>
          <w:szCs w:val="24"/>
        </w:rPr>
        <w:t xml:space="preserve">A negativo de $ 29.741.152. Por otra parte CONECTA S.A. </w:t>
      </w:r>
      <w:r w:rsidRPr="005E432D">
        <w:rPr>
          <w:rFonts w:cs="Arial"/>
          <w:szCs w:val="24"/>
        </w:rPr>
        <w:t>no cuenta con Estados Financieros au</w:t>
      </w:r>
      <w:r>
        <w:rPr>
          <w:rFonts w:cs="Arial"/>
          <w:szCs w:val="24"/>
        </w:rPr>
        <w:t>ditados al 31/12/2016. Estos</w:t>
      </w:r>
      <w:r w:rsidRPr="005E432D">
        <w:rPr>
          <w:rFonts w:cs="Arial"/>
          <w:szCs w:val="24"/>
        </w:rPr>
        <w:t xml:space="preserve"> indicio</w:t>
      </w:r>
      <w:r>
        <w:rPr>
          <w:rFonts w:cs="Arial"/>
          <w:szCs w:val="24"/>
        </w:rPr>
        <w:t>s</w:t>
      </w:r>
      <w:r w:rsidRPr="005E432D">
        <w:rPr>
          <w:rFonts w:cs="Arial"/>
          <w:szCs w:val="24"/>
        </w:rPr>
        <w:t xml:space="preserve"> de deterioro y los efectos </w:t>
      </w:r>
      <w:r>
        <w:rPr>
          <w:rFonts w:cs="Arial"/>
          <w:szCs w:val="24"/>
        </w:rPr>
        <w:t>contables</w:t>
      </w:r>
      <w:r w:rsidRPr="005E432D">
        <w:rPr>
          <w:rFonts w:cs="Arial"/>
          <w:szCs w:val="24"/>
        </w:rPr>
        <w:t xml:space="preserve"> de</w:t>
      </w:r>
      <w:r>
        <w:rPr>
          <w:rFonts w:cs="Arial"/>
          <w:szCs w:val="24"/>
        </w:rPr>
        <w:t xml:space="preserve"> </w:t>
      </w:r>
      <w:r w:rsidRPr="005E432D">
        <w:rPr>
          <w:rFonts w:cs="Arial"/>
          <w:szCs w:val="24"/>
        </w:rPr>
        <w:t>l</w:t>
      </w:r>
      <w:r>
        <w:rPr>
          <w:rFonts w:cs="Arial"/>
          <w:szCs w:val="24"/>
        </w:rPr>
        <w:t>os</w:t>
      </w:r>
      <w:r w:rsidRPr="005E432D">
        <w:rPr>
          <w:rFonts w:cs="Arial"/>
          <w:szCs w:val="24"/>
        </w:rPr>
        <w:t xml:space="preserve"> mismo</w:t>
      </w:r>
      <w:r>
        <w:rPr>
          <w:rFonts w:cs="Arial"/>
          <w:szCs w:val="24"/>
        </w:rPr>
        <w:t>s</w:t>
      </w:r>
      <w:r w:rsidRPr="005E432D">
        <w:rPr>
          <w:rFonts w:cs="Arial"/>
          <w:szCs w:val="24"/>
        </w:rPr>
        <w:t xml:space="preserve"> no fueron evaluados por el Ente en sus Estados Financieros Consolidados e Individuales.</w:t>
      </w:r>
    </w:p>
    <w:p w:rsidR="001D2594" w:rsidRPr="005E432D" w:rsidRDefault="001D2594" w:rsidP="00ED6474">
      <w:pPr>
        <w:keepNext/>
        <w:widowControl w:val="0"/>
        <w:tabs>
          <w:tab w:val="left" w:pos="1701"/>
        </w:tabs>
        <w:spacing w:after="0" w:line="360" w:lineRule="auto"/>
        <w:ind w:left="426"/>
        <w:rPr>
          <w:rFonts w:cs="Arial"/>
          <w:szCs w:val="24"/>
        </w:rPr>
      </w:pPr>
    </w:p>
    <w:p w:rsidR="001D2594" w:rsidRDefault="001D2594" w:rsidP="00ED6474">
      <w:pPr>
        <w:keepNext/>
        <w:widowControl w:val="0"/>
        <w:tabs>
          <w:tab w:val="left" w:pos="426"/>
        </w:tabs>
        <w:spacing w:after="260" w:line="360" w:lineRule="auto"/>
        <w:ind w:left="426"/>
        <w:rPr>
          <w:rFonts w:cs="Arial"/>
          <w:szCs w:val="24"/>
        </w:rPr>
      </w:pPr>
      <w:r w:rsidRPr="005E432D">
        <w:rPr>
          <w:rFonts w:cs="Arial"/>
          <w:b/>
          <w:szCs w:val="24"/>
        </w:rPr>
        <w:t xml:space="preserve">2.8 </w:t>
      </w:r>
      <w:r w:rsidRPr="005E432D">
        <w:rPr>
          <w:rFonts w:cs="Arial"/>
          <w:szCs w:val="24"/>
        </w:rPr>
        <w:t>La empresa asociada Gasoducto Cruz del Sur S.A. de la cual ANCAP es propietaria del 20% del paquete accionario, está expuesta por un valor patrimonial</w:t>
      </w:r>
      <w:r>
        <w:rPr>
          <w:rFonts w:cs="Arial"/>
          <w:szCs w:val="24"/>
        </w:rPr>
        <w:t xml:space="preserve"> proporcional en los Estados Financieros Consolidados e Individuales de $ 535.470.844. L</w:t>
      </w:r>
      <w:r w:rsidRPr="005E432D">
        <w:rPr>
          <w:rFonts w:cs="Arial"/>
          <w:szCs w:val="24"/>
        </w:rPr>
        <w:t xml:space="preserve">a nota 19.1 a los Estados Financieros Individuales y </w:t>
      </w:r>
      <w:r>
        <w:rPr>
          <w:rFonts w:cs="Arial"/>
          <w:szCs w:val="24"/>
        </w:rPr>
        <w:t xml:space="preserve">la </w:t>
      </w:r>
      <w:r w:rsidRPr="005E432D">
        <w:rPr>
          <w:rFonts w:cs="Arial"/>
          <w:szCs w:val="24"/>
        </w:rPr>
        <w:t>nota 21.1 de los Esta</w:t>
      </w:r>
      <w:r>
        <w:rPr>
          <w:rFonts w:cs="Arial"/>
          <w:szCs w:val="24"/>
        </w:rPr>
        <w:t>dos Financieros Consolidados, expresan que</w:t>
      </w:r>
      <w:r w:rsidRPr="00DE6721">
        <w:rPr>
          <w:rFonts w:cs="Arial"/>
          <w:szCs w:val="24"/>
        </w:rPr>
        <w:t xml:space="preserve"> Gasoducto Cruz del Sur S.A.</w:t>
      </w:r>
      <w:r>
        <w:rPr>
          <w:rFonts w:cs="Arial"/>
          <w:szCs w:val="24"/>
        </w:rPr>
        <w:t xml:space="preserve"> </w:t>
      </w:r>
      <w:r w:rsidRPr="00DE6721">
        <w:rPr>
          <w:rFonts w:cs="Arial"/>
          <w:szCs w:val="24"/>
        </w:rPr>
        <w:t>actualmente</w:t>
      </w:r>
      <w:r>
        <w:rPr>
          <w:rFonts w:cs="Arial"/>
          <w:b/>
          <w:szCs w:val="24"/>
        </w:rPr>
        <w:t xml:space="preserve"> </w:t>
      </w:r>
      <w:r w:rsidRPr="00ED4119">
        <w:rPr>
          <w:rFonts w:cs="Arial"/>
          <w:szCs w:val="24"/>
        </w:rPr>
        <w:t>se</w:t>
      </w:r>
      <w:r>
        <w:rPr>
          <w:rFonts w:cs="Arial"/>
          <w:b/>
          <w:szCs w:val="24"/>
        </w:rPr>
        <w:t xml:space="preserve"> </w:t>
      </w:r>
      <w:r w:rsidRPr="005E432D">
        <w:rPr>
          <w:rFonts w:cs="Arial"/>
          <w:szCs w:val="24"/>
        </w:rPr>
        <w:t>financia con contratos de reserva de capacidad con Argentina firmados en 2002</w:t>
      </w:r>
      <w:r>
        <w:rPr>
          <w:rFonts w:cs="Arial"/>
          <w:szCs w:val="24"/>
        </w:rPr>
        <w:t>, los</w:t>
      </w:r>
      <w:r w:rsidRPr="005E432D">
        <w:rPr>
          <w:rFonts w:cs="Arial"/>
          <w:szCs w:val="24"/>
        </w:rPr>
        <w:t xml:space="preserve"> que vencen en noviembre de 2017</w:t>
      </w:r>
      <w:r>
        <w:rPr>
          <w:rFonts w:cs="Arial"/>
          <w:szCs w:val="24"/>
        </w:rPr>
        <w:t>. La</w:t>
      </w:r>
      <w:r w:rsidRPr="005E432D">
        <w:rPr>
          <w:rFonts w:cs="Arial"/>
          <w:szCs w:val="24"/>
        </w:rPr>
        <w:t xml:space="preserve"> cancelación </w:t>
      </w:r>
      <w:r>
        <w:rPr>
          <w:rFonts w:cs="Arial"/>
          <w:szCs w:val="24"/>
        </w:rPr>
        <w:t xml:space="preserve">de los contratos podría eventualmente afectar </w:t>
      </w:r>
      <w:r w:rsidRPr="005E432D">
        <w:rPr>
          <w:rFonts w:cs="Arial"/>
          <w:szCs w:val="24"/>
        </w:rPr>
        <w:t xml:space="preserve">el valor en libros de </w:t>
      </w:r>
      <w:r>
        <w:rPr>
          <w:rFonts w:cs="Arial"/>
          <w:szCs w:val="24"/>
        </w:rPr>
        <w:t>l</w:t>
      </w:r>
      <w:r w:rsidRPr="005E432D">
        <w:rPr>
          <w:rFonts w:cs="Arial"/>
          <w:szCs w:val="24"/>
        </w:rPr>
        <w:t>os activos y pasivos significativos</w:t>
      </w:r>
      <w:r>
        <w:rPr>
          <w:rFonts w:cs="Arial"/>
          <w:szCs w:val="24"/>
        </w:rPr>
        <w:t>. Las referidas Notas 19.1 y 21.1 expresan además que persiste una situación de escasez de gas natural en Uruguay  manteniendo</w:t>
      </w:r>
      <w:r w:rsidRPr="005E432D">
        <w:rPr>
          <w:rFonts w:cs="Arial"/>
          <w:szCs w:val="24"/>
        </w:rPr>
        <w:t xml:space="preserve"> </w:t>
      </w:r>
      <w:r>
        <w:rPr>
          <w:rFonts w:cs="Arial"/>
          <w:szCs w:val="24"/>
        </w:rPr>
        <w:t>un</w:t>
      </w:r>
      <w:r w:rsidRPr="005E432D">
        <w:rPr>
          <w:rFonts w:cs="Arial"/>
          <w:szCs w:val="24"/>
        </w:rPr>
        <w:t xml:space="preserve"> bajo desarrollo del mercado ante la incertidumbre respecto a la disponib</w:t>
      </w:r>
      <w:r>
        <w:rPr>
          <w:rFonts w:cs="Arial"/>
          <w:szCs w:val="24"/>
        </w:rPr>
        <w:t xml:space="preserve">ilidad y el precio del producto. </w:t>
      </w:r>
      <w:r w:rsidRPr="005E432D">
        <w:rPr>
          <w:rFonts w:cs="Arial"/>
          <w:szCs w:val="24"/>
        </w:rPr>
        <w:t xml:space="preserve">En consecuencia, el valor contable de las inversiones </w:t>
      </w:r>
      <w:r>
        <w:rPr>
          <w:rFonts w:cs="Arial"/>
          <w:szCs w:val="24"/>
        </w:rPr>
        <w:t xml:space="preserve">de ANCAP en </w:t>
      </w:r>
      <w:r w:rsidRPr="005E432D">
        <w:rPr>
          <w:rFonts w:cs="Arial"/>
          <w:szCs w:val="24"/>
        </w:rPr>
        <w:t>Gasoducto Cruz del Sur S.A. no recoge los eventuales ajustes que podrían s</w:t>
      </w:r>
      <w:r>
        <w:rPr>
          <w:rFonts w:cs="Arial"/>
          <w:szCs w:val="24"/>
        </w:rPr>
        <w:t>er necesarios de la resolución</w:t>
      </w:r>
      <w:r w:rsidRPr="005E432D">
        <w:rPr>
          <w:rFonts w:cs="Arial"/>
          <w:szCs w:val="24"/>
        </w:rPr>
        <w:t xml:space="preserve"> final de dicha</w:t>
      </w:r>
      <w:r>
        <w:rPr>
          <w:rFonts w:cs="Arial"/>
          <w:szCs w:val="24"/>
        </w:rPr>
        <w:t>s</w:t>
      </w:r>
      <w:r w:rsidRPr="005E432D">
        <w:rPr>
          <w:rFonts w:cs="Arial"/>
          <w:szCs w:val="24"/>
        </w:rPr>
        <w:t xml:space="preserve"> incertidumbre</w:t>
      </w:r>
      <w:r>
        <w:rPr>
          <w:rFonts w:cs="Arial"/>
          <w:szCs w:val="24"/>
        </w:rPr>
        <w:t>s.</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b/>
          <w:szCs w:val="24"/>
        </w:rPr>
        <w:t xml:space="preserve">2.9 </w:t>
      </w:r>
      <w:r w:rsidRPr="005E432D">
        <w:rPr>
          <w:rFonts w:cs="Arial"/>
          <w:szCs w:val="24"/>
        </w:rPr>
        <w:t>UTE y ANCAP mantienen un negocio conjunto en la empresa  Gas Sayago S.A. al compartir ambas el control y la influencia en la toma de decisiones de políticas operativas y financiera</w:t>
      </w:r>
      <w:r>
        <w:rPr>
          <w:rFonts w:cs="Arial"/>
          <w:szCs w:val="24"/>
        </w:rPr>
        <w:t>s</w:t>
      </w:r>
      <w:r w:rsidRPr="005E432D">
        <w:rPr>
          <w:rFonts w:cs="Arial"/>
          <w:szCs w:val="24"/>
        </w:rPr>
        <w:t xml:space="preserve"> de la Sociedad. ANCAP es propietaria del 20.65% del capital accionario de dicha empresa, cuyo valor patrimonial proporcional </w:t>
      </w:r>
      <w:r>
        <w:rPr>
          <w:rFonts w:cs="Arial"/>
          <w:szCs w:val="24"/>
        </w:rPr>
        <w:t>expuesto</w:t>
      </w:r>
      <w:r w:rsidRPr="005E432D">
        <w:rPr>
          <w:rFonts w:cs="Arial"/>
          <w:szCs w:val="24"/>
        </w:rPr>
        <w:t xml:space="preserve"> en los </w:t>
      </w:r>
      <w:r>
        <w:rPr>
          <w:rFonts w:cs="Arial"/>
          <w:szCs w:val="24"/>
        </w:rPr>
        <w:t>E</w:t>
      </w:r>
      <w:r w:rsidRPr="005E432D">
        <w:rPr>
          <w:rFonts w:cs="Arial"/>
          <w:szCs w:val="24"/>
        </w:rPr>
        <w:t>stados Financieros I</w:t>
      </w:r>
      <w:r w:rsidR="00120C95">
        <w:rPr>
          <w:rFonts w:cs="Arial"/>
          <w:szCs w:val="24"/>
        </w:rPr>
        <w:t>ndividuales es de $ 90.108.417.</w:t>
      </w:r>
    </w:p>
    <w:p w:rsidR="001D2594" w:rsidRPr="005E432D" w:rsidRDefault="001D2594" w:rsidP="00ED6474">
      <w:pPr>
        <w:keepNext/>
        <w:widowControl w:val="0"/>
        <w:tabs>
          <w:tab w:val="left" w:pos="1701"/>
        </w:tabs>
        <w:spacing w:after="0" w:line="360" w:lineRule="auto"/>
        <w:ind w:left="426"/>
        <w:rPr>
          <w:rFonts w:cs="Arial"/>
          <w:szCs w:val="24"/>
        </w:rPr>
      </w:pPr>
      <w:r w:rsidRPr="005E432D">
        <w:rPr>
          <w:rFonts w:cs="Arial"/>
          <w:szCs w:val="24"/>
        </w:rPr>
        <w:t>Gas Sayago S.A. reconoció pérdidas por deterioro de sus activos en el ejercicio 2016 por un importe de $ 184:640.217 ajuste que fue considerado por ANCAP en sus Estados Financieros Consolidados</w:t>
      </w:r>
      <w:r>
        <w:rPr>
          <w:rFonts w:cs="Arial"/>
          <w:szCs w:val="24"/>
        </w:rPr>
        <w:t xml:space="preserve"> e Individuales</w:t>
      </w:r>
      <w:r w:rsidRPr="005E432D">
        <w:rPr>
          <w:rFonts w:cs="Arial"/>
          <w:szCs w:val="24"/>
        </w:rPr>
        <w:t xml:space="preserve">. A pesar de haber reconocido dicho importe de deterioro en el valor de sus activos, Gas Sayago S.A. presentó un índice EBITDA negativo de </w:t>
      </w:r>
      <w:r w:rsidR="00120C95">
        <w:rPr>
          <w:rFonts w:cs="Arial"/>
          <w:szCs w:val="24"/>
        </w:rPr>
        <w:t>$</w:t>
      </w:r>
      <w:r w:rsidRPr="005E432D">
        <w:rPr>
          <w:rFonts w:cs="Arial"/>
          <w:szCs w:val="24"/>
        </w:rPr>
        <w:t>78.606.955, lo que indica indicios de deterioro cuyos efectos no fueron evaluados por el Ente en sus estados Financieros Consolidados e Individuales.</w:t>
      </w:r>
    </w:p>
    <w:p w:rsidR="001D2594" w:rsidRDefault="001D2594" w:rsidP="00ED6474">
      <w:pPr>
        <w:keepNext/>
        <w:widowControl w:val="0"/>
        <w:tabs>
          <w:tab w:val="left" w:pos="1701"/>
        </w:tabs>
        <w:spacing w:after="0" w:line="360" w:lineRule="auto"/>
        <w:ind w:left="426"/>
        <w:rPr>
          <w:rFonts w:cs="Arial"/>
          <w:szCs w:val="24"/>
        </w:rPr>
      </w:pPr>
      <w:r w:rsidRPr="005E432D">
        <w:rPr>
          <w:rFonts w:cs="Arial"/>
          <w:szCs w:val="24"/>
        </w:rPr>
        <w:t>Los auditores externos se abstuvieron de emitir opinión sobre los Estados Financieros de Gas Sayago S.A. al 31/12/2016, dada la incertidumbre actual de continuar con el proyecto de regasificación, hecho que podr</w:t>
      </w:r>
      <w:r>
        <w:rPr>
          <w:rFonts w:cs="Arial"/>
          <w:szCs w:val="24"/>
        </w:rPr>
        <w:t>ía afectar</w:t>
      </w:r>
      <w:r w:rsidRPr="005E432D">
        <w:rPr>
          <w:rFonts w:cs="Arial"/>
          <w:szCs w:val="24"/>
        </w:rPr>
        <w:t xml:space="preserve"> el valor en libros de los activos y pasivos de dicha empresa.</w:t>
      </w:r>
    </w:p>
    <w:p w:rsidR="001D2594" w:rsidRDefault="001D2594" w:rsidP="00ED6474">
      <w:pPr>
        <w:keepNext/>
        <w:widowControl w:val="0"/>
        <w:tabs>
          <w:tab w:val="left" w:pos="1701"/>
        </w:tabs>
        <w:spacing w:after="0" w:line="360" w:lineRule="auto"/>
        <w:ind w:left="426"/>
        <w:rPr>
          <w:rFonts w:cs="Arial"/>
          <w:szCs w:val="24"/>
        </w:rPr>
      </w:pPr>
    </w:p>
    <w:p w:rsidR="001D2594" w:rsidRDefault="001D2594" w:rsidP="00ED6474">
      <w:pPr>
        <w:keepNext/>
        <w:widowControl w:val="0"/>
        <w:tabs>
          <w:tab w:val="left" w:pos="1701"/>
        </w:tabs>
        <w:spacing w:after="0" w:line="360" w:lineRule="auto"/>
        <w:ind w:left="426"/>
        <w:rPr>
          <w:rFonts w:cs="Arial"/>
          <w:szCs w:val="24"/>
        </w:rPr>
      </w:pPr>
      <w:r w:rsidRPr="00083425">
        <w:rPr>
          <w:rFonts w:cs="Arial"/>
          <w:b/>
          <w:szCs w:val="24"/>
        </w:rPr>
        <w:t>2.10</w:t>
      </w:r>
      <w:r>
        <w:rPr>
          <w:rFonts w:cs="Arial"/>
          <w:szCs w:val="24"/>
        </w:rPr>
        <w:t xml:space="preserve"> Por lo expresado en los numerales que anteceden 2.2 a 2.9 inclusive, </w:t>
      </w:r>
      <w:r w:rsidRPr="005E432D">
        <w:rPr>
          <w:rFonts w:cs="Arial"/>
          <w:szCs w:val="24"/>
        </w:rPr>
        <w:t xml:space="preserve">no se dispone de evidencia de auditoría suficiente </w:t>
      </w:r>
      <w:r>
        <w:rPr>
          <w:rFonts w:cs="Arial"/>
          <w:szCs w:val="24"/>
        </w:rPr>
        <w:t xml:space="preserve">sobre el importe </w:t>
      </w:r>
      <w:r w:rsidRPr="005E432D">
        <w:rPr>
          <w:rFonts w:cs="Arial"/>
          <w:szCs w:val="24"/>
        </w:rPr>
        <w:t xml:space="preserve">de los activos y pasivos expuestos en los Estados </w:t>
      </w:r>
      <w:r>
        <w:rPr>
          <w:rFonts w:cs="Arial"/>
          <w:szCs w:val="24"/>
        </w:rPr>
        <w:t>Financieros</w:t>
      </w:r>
      <w:r w:rsidRPr="005E432D">
        <w:rPr>
          <w:rFonts w:cs="Arial"/>
          <w:szCs w:val="24"/>
        </w:rPr>
        <w:t xml:space="preserve"> Consolidados </w:t>
      </w:r>
      <w:r>
        <w:rPr>
          <w:rFonts w:cs="Arial"/>
          <w:szCs w:val="24"/>
        </w:rPr>
        <w:t xml:space="preserve">e Individuales </w:t>
      </w:r>
      <w:r w:rsidRPr="005E432D">
        <w:rPr>
          <w:rFonts w:cs="Arial"/>
          <w:szCs w:val="24"/>
        </w:rPr>
        <w:t>de ANCAP</w:t>
      </w:r>
      <w:r>
        <w:rPr>
          <w:rFonts w:cs="Arial"/>
          <w:szCs w:val="24"/>
        </w:rPr>
        <w:t xml:space="preserve"> al 31/12/2016, relacionada con dichas inversiones</w:t>
      </w:r>
      <w:r w:rsidRPr="005E432D">
        <w:rPr>
          <w:rFonts w:cs="Arial"/>
          <w:szCs w:val="24"/>
        </w:rPr>
        <w:t>.</w:t>
      </w:r>
    </w:p>
    <w:p w:rsidR="001D2594" w:rsidRPr="005E432D" w:rsidRDefault="001D2594" w:rsidP="00ED6474">
      <w:pPr>
        <w:keepNext/>
        <w:widowControl w:val="0"/>
        <w:tabs>
          <w:tab w:val="left" w:pos="1701"/>
        </w:tabs>
        <w:spacing w:after="0" w:line="360" w:lineRule="auto"/>
        <w:ind w:left="426"/>
        <w:rPr>
          <w:rFonts w:cs="Arial"/>
          <w:szCs w:val="24"/>
        </w:rPr>
      </w:pPr>
    </w:p>
    <w:p w:rsidR="001D2594" w:rsidRPr="005E432D" w:rsidRDefault="001D2594" w:rsidP="00ED6474">
      <w:pPr>
        <w:keepNext/>
        <w:widowControl w:val="0"/>
        <w:numPr>
          <w:ilvl w:val="0"/>
          <w:numId w:val="1"/>
        </w:numPr>
        <w:tabs>
          <w:tab w:val="clear" w:pos="720"/>
          <w:tab w:val="num" w:pos="426"/>
        </w:tabs>
        <w:spacing w:after="0" w:line="360" w:lineRule="auto"/>
        <w:ind w:left="426" w:hanging="426"/>
        <w:rPr>
          <w:rFonts w:cs="Arial"/>
          <w:b/>
          <w:szCs w:val="24"/>
        </w:rPr>
      </w:pPr>
      <w:r w:rsidRPr="005E432D">
        <w:rPr>
          <w:rFonts w:cs="Arial"/>
          <w:b/>
          <w:szCs w:val="24"/>
        </w:rPr>
        <w:t>Motivos que dan origen a énfasis de asuntos</w:t>
      </w:r>
    </w:p>
    <w:p w:rsidR="001D2594" w:rsidRPr="005E432D" w:rsidRDefault="001D2594" w:rsidP="00ED6474">
      <w:pPr>
        <w:keepNext/>
        <w:widowControl w:val="0"/>
        <w:spacing w:after="0" w:line="360" w:lineRule="auto"/>
        <w:rPr>
          <w:rFonts w:cs="Arial"/>
          <w:b/>
          <w:szCs w:val="24"/>
        </w:rPr>
      </w:pPr>
    </w:p>
    <w:p w:rsidR="001D2594" w:rsidRPr="005E432D" w:rsidRDefault="001D2594" w:rsidP="00ED6474">
      <w:pPr>
        <w:keepNext/>
        <w:widowControl w:val="0"/>
        <w:spacing w:after="0" w:line="360" w:lineRule="auto"/>
        <w:ind w:left="426"/>
        <w:rPr>
          <w:rFonts w:eastAsia="Times New Roman" w:cs="Arial"/>
          <w:b/>
          <w:szCs w:val="24"/>
          <w:lang w:val="es-ES" w:eastAsia="es-ES"/>
        </w:rPr>
      </w:pPr>
      <w:r w:rsidRPr="005E432D">
        <w:rPr>
          <w:rFonts w:cs="Arial"/>
          <w:b/>
          <w:szCs w:val="24"/>
        </w:rPr>
        <w:t xml:space="preserve">3.1 </w:t>
      </w:r>
      <w:r w:rsidRPr="005E432D">
        <w:rPr>
          <w:rFonts w:eastAsia="Times New Roman" w:cs="Arial"/>
          <w:b/>
          <w:szCs w:val="24"/>
          <w:lang w:val="es-ES" w:eastAsia="es-ES"/>
        </w:rPr>
        <w:t>Impuesto a la Renta Diferido</w:t>
      </w:r>
    </w:p>
    <w:p w:rsidR="001D2594" w:rsidRPr="005E432D" w:rsidRDefault="001D2594" w:rsidP="00ED6474">
      <w:pPr>
        <w:keepNext/>
        <w:widowControl w:val="0"/>
        <w:spacing w:after="0" w:line="360" w:lineRule="auto"/>
        <w:ind w:left="426"/>
      </w:pPr>
      <w:r w:rsidRPr="005E432D">
        <w:rPr>
          <w:rFonts w:cs="Arial"/>
          <w:szCs w:val="24"/>
        </w:rPr>
        <w:t xml:space="preserve">En la </w:t>
      </w:r>
      <w:r>
        <w:rPr>
          <w:rFonts w:cs="Arial"/>
          <w:szCs w:val="24"/>
        </w:rPr>
        <w:t xml:space="preserve">Nota N° 12 </w:t>
      </w:r>
      <w:r w:rsidRPr="005E432D">
        <w:rPr>
          <w:rFonts w:cs="Arial"/>
          <w:szCs w:val="24"/>
        </w:rPr>
        <w:t>a los Estados Financieros Consolidados</w:t>
      </w:r>
      <w:r>
        <w:rPr>
          <w:rFonts w:cs="Arial"/>
          <w:szCs w:val="24"/>
        </w:rPr>
        <w:t xml:space="preserve"> e Individuales</w:t>
      </w:r>
      <w:r w:rsidRPr="005E432D">
        <w:rPr>
          <w:rFonts w:cs="Arial"/>
          <w:szCs w:val="24"/>
        </w:rPr>
        <w:t xml:space="preserve"> </w:t>
      </w:r>
      <w:r>
        <w:rPr>
          <w:rFonts w:cs="Arial"/>
          <w:szCs w:val="24"/>
        </w:rPr>
        <w:t xml:space="preserve">referente al </w:t>
      </w:r>
      <w:r w:rsidRPr="005E432D">
        <w:rPr>
          <w:rFonts w:cs="Arial"/>
          <w:szCs w:val="24"/>
        </w:rPr>
        <w:t xml:space="preserve">Impuesto a la Renta, se expone una </w:t>
      </w:r>
      <w:r>
        <w:rPr>
          <w:rFonts w:cs="Arial"/>
          <w:szCs w:val="24"/>
        </w:rPr>
        <w:t>disminución</w:t>
      </w:r>
      <w:r w:rsidRPr="005E432D">
        <w:rPr>
          <w:rFonts w:cs="Arial"/>
          <w:szCs w:val="24"/>
        </w:rPr>
        <w:t xml:space="preserve"> del activo por impuesto diferido de $ 3.173.513.207  registrado con cargo al rubro Capital Social (que significó una disminución del Patrimonio del grupo) en cumplimiento del tratamiento contable de excepción establecido en el párrafo 61.A de la NIC 12- Impuesto a las Ganancias, que establece que: “</w:t>
      </w:r>
      <w:r w:rsidRPr="005E432D">
        <w:t xml:space="preserve">Los impuestos corrientes y los impuestos diferidos deberán reconocerse fuera del resultado si se relacionan con partidas que se reconocen, en el mismo periodo o en otro diferente, fuera del resultado. Por lo tanto, los impuestos corrientes y los impuestos diferidos que se relacionan con partidas que se reconocen, en el mismo periodo o en otro diferente: (a) en otro resultado integral, deberán reconocerse en otro resultado integral. (b) </w:t>
      </w:r>
      <w:proofErr w:type="gramStart"/>
      <w:r w:rsidRPr="005E432D">
        <w:t>directamente</w:t>
      </w:r>
      <w:proofErr w:type="gramEnd"/>
      <w:r w:rsidRPr="005E432D">
        <w:t xml:space="preserve"> en patrimonio, deberán reconocerse</w:t>
      </w:r>
      <w:r w:rsidR="00120C95">
        <w:t xml:space="preserve"> directamente en el patrimonio”.</w:t>
      </w:r>
    </w:p>
    <w:p w:rsidR="001D2594" w:rsidRDefault="001D2594" w:rsidP="00ED6474">
      <w:pPr>
        <w:keepNext/>
        <w:widowControl w:val="0"/>
        <w:spacing w:after="0" w:line="360" w:lineRule="auto"/>
        <w:ind w:left="426"/>
        <w:rPr>
          <w:rFonts w:cs="Arial"/>
          <w:szCs w:val="24"/>
        </w:rPr>
      </w:pPr>
      <w:r w:rsidRPr="005E432D">
        <w:t xml:space="preserve">Este tratamiento contable no es consistente con los adoptados en los ejercicios anteriores por el grupo ante cambios en los activos y pasivos por </w:t>
      </w:r>
      <w:r w:rsidRPr="005E432D">
        <w:rPr>
          <w:rFonts w:cs="Arial"/>
          <w:szCs w:val="24"/>
        </w:rPr>
        <w:t>Impuesto Diferido a la Renta, los cuales se registraban con cargo al Resultado del Ejercicio de cada período.</w:t>
      </w:r>
    </w:p>
    <w:p w:rsidR="001D2594" w:rsidRDefault="001D2594" w:rsidP="00ED6474">
      <w:pPr>
        <w:keepNext/>
        <w:widowControl w:val="0"/>
        <w:spacing w:after="0" w:line="360" w:lineRule="auto"/>
        <w:ind w:left="426"/>
        <w:rPr>
          <w:rFonts w:eastAsia="Times New Roman" w:cs="Arial"/>
          <w:szCs w:val="24"/>
          <w:lang w:val="es-ES" w:eastAsia="es-ES"/>
        </w:rPr>
      </w:pPr>
      <w:r w:rsidRPr="005E432D">
        <w:rPr>
          <w:rFonts w:eastAsia="Times New Roman" w:cs="Arial"/>
          <w:szCs w:val="24"/>
          <w:lang w:val="es-ES" w:eastAsia="es-ES"/>
        </w:rPr>
        <w:t xml:space="preserve">La nota N° 12 a los Estados Financieros Consolidados e Individuales de ANCAP si bien exponen la disminución del activo por impuesto diferido a la renta de $ 3.173.513.207 con cargo </w:t>
      </w:r>
      <w:r>
        <w:rPr>
          <w:rFonts w:eastAsia="Times New Roman" w:cs="Arial"/>
          <w:szCs w:val="24"/>
          <w:lang w:val="es-ES" w:eastAsia="es-ES"/>
        </w:rPr>
        <w:t>al capítulo de P</w:t>
      </w:r>
      <w:r w:rsidRPr="005E432D">
        <w:rPr>
          <w:rFonts w:eastAsia="Times New Roman" w:cs="Arial"/>
          <w:szCs w:val="24"/>
          <w:lang w:val="es-ES" w:eastAsia="es-ES"/>
        </w:rPr>
        <w:t xml:space="preserve">atrimonio, no expresan el fundamento normativo aplicado y las consecuencias en el </w:t>
      </w:r>
      <w:r>
        <w:rPr>
          <w:rFonts w:eastAsia="Times New Roman" w:cs="Arial"/>
          <w:szCs w:val="24"/>
          <w:lang w:val="es-ES" w:eastAsia="es-ES"/>
        </w:rPr>
        <w:t>R</w:t>
      </w:r>
      <w:r w:rsidRPr="005E432D">
        <w:rPr>
          <w:rFonts w:eastAsia="Times New Roman" w:cs="Arial"/>
          <w:szCs w:val="24"/>
          <w:lang w:val="es-ES" w:eastAsia="es-ES"/>
        </w:rPr>
        <w:t xml:space="preserve">esultado del </w:t>
      </w:r>
      <w:r>
        <w:rPr>
          <w:rFonts w:eastAsia="Times New Roman" w:cs="Arial"/>
          <w:szCs w:val="24"/>
          <w:lang w:val="es-ES" w:eastAsia="es-ES"/>
        </w:rPr>
        <w:t>E</w:t>
      </w:r>
      <w:r w:rsidRPr="005E432D">
        <w:rPr>
          <w:rFonts w:eastAsia="Times New Roman" w:cs="Arial"/>
          <w:szCs w:val="24"/>
          <w:lang w:val="es-ES" w:eastAsia="es-ES"/>
        </w:rPr>
        <w:t xml:space="preserve">jercicio. Esto determina que el lector de los estados financieros no cuente con la información necesaria y suficiente para la comprensión de la información brindada en los </w:t>
      </w:r>
      <w:r>
        <w:rPr>
          <w:rFonts w:eastAsia="Times New Roman" w:cs="Arial"/>
          <w:szCs w:val="24"/>
          <w:lang w:val="es-ES" w:eastAsia="es-ES"/>
        </w:rPr>
        <w:t>estados Financieros</w:t>
      </w:r>
      <w:r w:rsidRPr="005E432D">
        <w:rPr>
          <w:rFonts w:eastAsia="Times New Roman" w:cs="Arial"/>
          <w:szCs w:val="24"/>
          <w:lang w:val="es-ES" w:eastAsia="es-ES"/>
        </w:rPr>
        <w:t xml:space="preserve"> Consolidados e Individuales.</w:t>
      </w:r>
    </w:p>
    <w:p w:rsidR="001D2594" w:rsidRPr="005E432D" w:rsidRDefault="001D2594" w:rsidP="00ED6474">
      <w:pPr>
        <w:keepNext/>
        <w:widowControl w:val="0"/>
        <w:spacing w:after="0" w:line="360" w:lineRule="auto"/>
        <w:ind w:left="426"/>
        <w:rPr>
          <w:rFonts w:eastAsia="Times New Roman" w:cs="Arial"/>
          <w:szCs w:val="24"/>
          <w:lang w:val="es-ES" w:eastAsia="es-ES"/>
        </w:rPr>
      </w:pPr>
    </w:p>
    <w:p w:rsidR="001D2594" w:rsidRPr="009854DE" w:rsidRDefault="001D2594" w:rsidP="00ED6474">
      <w:pPr>
        <w:pStyle w:val="Prrafodelista"/>
        <w:keepNext/>
        <w:widowControl w:val="0"/>
        <w:numPr>
          <w:ilvl w:val="1"/>
          <w:numId w:val="23"/>
        </w:numPr>
        <w:tabs>
          <w:tab w:val="left" w:pos="851"/>
        </w:tabs>
        <w:spacing w:after="0" w:line="360" w:lineRule="auto"/>
        <w:ind w:left="426" w:firstLine="0"/>
        <w:jc w:val="both"/>
        <w:rPr>
          <w:rFonts w:ascii="Arial" w:hAnsi="Arial" w:cs="Arial"/>
          <w:b/>
          <w:sz w:val="24"/>
          <w:szCs w:val="24"/>
        </w:rPr>
      </w:pPr>
      <w:r w:rsidRPr="005E432D">
        <w:rPr>
          <w:rFonts w:ascii="Arial" w:hAnsi="Arial" w:cs="Arial"/>
          <w:sz w:val="24"/>
          <w:szCs w:val="24"/>
        </w:rPr>
        <w:t xml:space="preserve"> </w:t>
      </w:r>
      <w:r w:rsidRPr="009854DE">
        <w:rPr>
          <w:rFonts w:ascii="Arial" w:hAnsi="Arial" w:cs="Arial"/>
          <w:b/>
          <w:sz w:val="24"/>
          <w:szCs w:val="24"/>
        </w:rPr>
        <w:t>Reconocimiento de pérdidas por deterioro</w:t>
      </w:r>
    </w:p>
    <w:p w:rsidR="001D2594" w:rsidRPr="005E432D" w:rsidRDefault="001D2594" w:rsidP="00ED6474">
      <w:pPr>
        <w:pStyle w:val="Prrafodelista"/>
        <w:keepNext/>
        <w:widowControl w:val="0"/>
        <w:tabs>
          <w:tab w:val="left" w:pos="851"/>
        </w:tabs>
        <w:spacing w:after="0" w:line="360" w:lineRule="auto"/>
        <w:ind w:left="426"/>
        <w:jc w:val="both"/>
        <w:rPr>
          <w:rFonts w:ascii="Arial" w:hAnsi="Arial" w:cs="Arial"/>
          <w:sz w:val="24"/>
          <w:szCs w:val="24"/>
        </w:rPr>
      </w:pPr>
      <w:r w:rsidRPr="005E432D">
        <w:rPr>
          <w:rFonts w:ascii="Arial" w:hAnsi="Arial" w:cs="Arial"/>
          <w:b/>
          <w:sz w:val="24"/>
          <w:szCs w:val="24"/>
        </w:rPr>
        <w:t>3.2.1</w:t>
      </w:r>
      <w:r w:rsidRPr="005E432D">
        <w:rPr>
          <w:rFonts w:ascii="Arial" w:hAnsi="Arial" w:cs="Arial"/>
          <w:sz w:val="24"/>
          <w:szCs w:val="24"/>
        </w:rPr>
        <w:t xml:space="preserve"> Las Notas 8, 18.d y 19.d a los Estados Financieros Consolidados, y las </w:t>
      </w:r>
      <w:r>
        <w:rPr>
          <w:rFonts w:ascii="Arial" w:hAnsi="Arial" w:cs="Arial"/>
          <w:sz w:val="24"/>
          <w:szCs w:val="24"/>
        </w:rPr>
        <w:t>N</w:t>
      </w:r>
      <w:r w:rsidRPr="005E432D">
        <w:rPr>
          <w:rFonts w:ascii="Arial" w:hAnsi="Arial" w:cs="Arial"/>
          <w:sz w:val="24"/>
          <w:szCs w:val="24"/>
        </w:rPr>
        <w:t>otas 8, 17.d y 18.c a los Estados Financieros Individuales, exponen las pérdidas por deterioro reconocidas por ANCAP</w:t>
      </w:r>
      <w:r>
        <w:rPr>
          <w:rFonts w:ascii="Arial" w:hAnsi="Arial" w:cs="Arial"/>
          <w:sz w:val="24"/>
          <w:szCs w:val="24"/>
        </w:rPr>
        <w:t>, que</w:t>
      </w:r>
      <w:r w:rsidR="00120C95">
        <w:rPr>
          <w:rFonts w:ascii="Arial" w:hAnsi="Arial" w:cs="Arial"/>
          <w:sz w:val="24"/>
          <w:szCs w:val="24"/>
        </w:rPr>
        <w:t xml:space="preserve"> fueron de $</w:t>
      </w:r>
      <w:r w:rsidRPr="005E432D">
        <w:rPr>
          <w:rFonts w:ascii="Arial" w:hAnsi="Arial" w:cs="Arial"/>
          <w:sz w:val="24"/>
          <w:szCs w:val="24"/>
        </w:rPr>
        <w:t>3.620:759.155 y $100:000.000 en relación al Negocio Portland y a activos intangibles ”Exploración Plataforma Sísmica” respectivamente</w:t>
      </w:r>
      <w:r>
        <w:rPr>
          <w:rFonts w:ascii="Arial" w:hAnsi="Arial" w:cs="Arial"/>
          <w:sz w:val="24"/>
          <w:szCs w:val="24"/>
        </w:rPr>
        <w:t>.</w:t>
      </w:r>
    </w:p>
    <w:p w:rsidR="001D2594" w:rsidRPr="005E432D" w:rsidRDefault="001D2594" w:rsidP="00ED6474">
      <w:pPr>
        <w:keepNext/>
        <w:widowControl w:val="0"/>
        <w:tabs>
          <w:tab w:val="left" w:pos="851"/>
        </w:tabs>
        <w:spacing w:after="0" w:line="360" w:lineRule="auto"/>
        <w:ind w:left="426"/>
        <w:rPr>
          <w:rFonts w:cs="Arial"/>
          <w:szCs w:val="24"/>
        </w:rPr>
      </w:pPr>
      <w:r w:rsidRPr="00BF615D">
        <w:rPr>
          <w:rFonts w:cs="Arial"/>
          <w:b/>
          <w:szCs w:val="24"/>
        </w:rPr>
        <w:t>3.2.2</w:t>
      </w:r>
      <w:r w:rsidRPr="00BF615D">
        <w:rPr>
          <w:rFonts w:cs="Arial"/>
          <w:szCs w:val="24"/>
        </w:rPr>
        <w:t xml:space="preserve"> Las Notas 8, 18.d y 19.e a los Estados Financieros Consolidados, y la Nota 19 a los Estados Financieros Individuales, exponen</w:t>
      </w:r>
      <w:r w:rsidRPr="005E432D">
        <w:rPr>
          <w:rFonts w:cs="Arial"/>
          <w:szCs w:val="24"/>
        </w:rPr>
        <w:t xml:space="preserve"> las pérdidas por deterioro reconocidas por ANCAP y sus subsidiarias, las cuales fueron de </w:t>
      </w:r>
      <w:r>
        <w:rPr>
          <w:rFonts w:cs="Arial"/>
          <w:szCs w:val="24"/>
        </w:rPr>
        <w:t xml:space="preserve">  </w:t>
      </w:r>
      <w:r w:rsidRPr="005E432D">
        <w:rPr>
          <w:rFonts w:cs="Arial"/>
          <w:szCs w:val="24"/>
        </w:rPr>
        <w:t>$ 838:882.444 y $ 2:342.596 en relación al deterioro del negocio de “Caña, Cereales y Oleaginosos” y de activos intangibles por “Gastos de Investigación y exploración” respectivamente, que gestiona ALUR S.A.</w:t>
      </w:r>
    </w:p>
    <w:p w:rsidR="001D2594" w:rsidRPr="005E432D" w:rsidRDefault="001D2594" w:rsidP="00ED6474">
      <w:pPr>
        <w:keepNext/>
        <w:widowControl w:val="0"/>
        <w:numPr>
          <w:ilvl w:val="0"/>
          <w:numId w:val="1"/>
        </w:numPr>
        <w:tabs>
          <w:tab w:val="clear" w:pos="720"/>
          <w:tab w:val="num" w:pos="426"/>
        </w:tabs>
        <w:spacing w:after="0" w:line="360" w:lineRule="auto"/>
        <w:ind w:left="426" w:hanging="426"/>
        <w:rPr>
          <w:rFonts w:cs="Arial"/>
          <w:b/>
          <w:szCs w:val="24"/>
        </w:rPr>
      </w:pPr>
      <w:r w:rsidRPr="005E432D">
        <w:rPr>
          <w:rFonts w:cs="Arial"/>
          <w:b/>
          <w:szCs w:val="24"/>
        </w:rPr>
        <w:t>Evaluación de control interno</w:t>
      </w:r>
    </w:p>
    <w:p w:rsidR="001D2594" w:rsidRPr="005E432D" w:rsidRDefault="001D2594" w:rsidP="00ED6474">
      <w:pPr>
        <w:pStyle w:val="Textoindependiente"/>
        <w:keepNext/>
        <w:widowControl w:val="0"/>
        <w:spacing w:line="360" w:lineRule="auto"/>
        <w:ind w:left="426"/>
        <w:rPr>
          <w:rFonts w:ascii="Arial" w:hAnsi="Arial" w:cs="Arial"/>
          <w:sz w:val="24"/>
          <w:szCs w:val="24"/>
        </w:rPr>
      </w:pPr>
      <w:r w:rsidRPr="005E432D">
        <w:rPr>
          <w:rFonts w:ascii="Arial" w:hAnsi="Arial" w:cs="Arial"/>
          <w:sz w:val="24"/>
          <w:szCs w:val="24"/>
        </w:rPr>
        <w:t xml:space="preserve">El examen de los aspectos de control interno relevantes para la preparación y presentación razonable de los estados financieros, permitió constatar las siguientes debilidades en relación a las actividades de control e información financiera, si bien </w:t>
      </w:r>
      <w:r w:rsidRPr="005E432D">
        <w:rPr>
          <w:rFonts w:ascii="Arial" w:hAnsi="Arial" w:cs="Arial"/>
          <w:bCs/>
          <w:sz w:val="24"/>
          <w:szCs w:val="24"/>
        </w:rPr>
        <w:t>no significan una opinión sobre la eficiencia del sistema de control interno</w:t>
      </w:r>
      <w:r w:rsidRPr="005E432D">
        <w:rPr>
          <w:rFonts w:ascii="Arial" w:hAnsi="Arial" w:cs="Arial"/>
          <w:sz w:val="24"/>
          <w:szCs w:val="24"/>
        </w:rPr>
        <w:t>:</w:t>
      </w:r>
    </w:p>
    <w:p w:rsidR="001D2594" w:rsidRPr="005E432D" w:rsidRDefault="001D2594" w:rsidP="00ED6474">
      <w:pPr>
        <w:keepNext/>
        <w:widowControl w:val="0"/>
        <w:spacing w:after="0" w:line="360" w:lineRule="auto"/>
        <w:rPr>
          <w:rFonts w:cs="Arial"/>
          <w:b/>
          <w:bCs/>
          <w:szCs w:val="24"/>
        </w:rPr>
      </w:pPr>
    </w:p>
    <w:p w:rsidR="001D2594" w:rsidRPr="005E432D" w:rsidRDefault="001D2594" w:rsidP="00ED6474">
      <w:pPr>
        <w:keepNext/>
        <w:widowControl w:val="0"/>
        <w:spacing w:after="260" w:line="360" w:lineRule="auto"/>
        <w:ind w:left="426"/>
        <w:rPr>
          <w:rFonts w:cs="Arial"/>
          <w:b/>
          <w:szCs w:val="24"/>
        </w:rPr>
      </w:pPr>
      <w:r w:rsidRPr="005E432D">
        <w:rPr>
          <w:rFonts w:cs="Arial"/>
          <w:b/>
          <w:szCs w:val="24"/>
        </w:rPr>
        <w:t>4.1 P</w:t>
      </w:r>
      <w:r>
        <w:rPr>
          <w:rFonts w:cs="Arial"/>
          <w:b/>
          <w:szCs w:val="24"/>
        </w:rPr>
        <w:t>é</w:t>
      </w:r>
      <w:r w:rsidRPr="005E432D">
        <w:rPr>
          <w:rFonts w:cs="Arial"/>
          <w:b/>
          <w:szCs w:val="24"/>
        </w:rPr>
        <w:t>rdida de capital de empresas vinculadas</w:t>
      </w:r>
    </w:p>
    <w:p w:rsidR="001D2594" w:rsidRPr="005E432D" w:rsidRDefault="001D2594" w:rsidP="00ED6474">
      <w:pPr>
        <w:keepNext/>
        <w:widowControl w:val="0"/>
        <w:spacing w:after="0" w:line="360" w:lineRule="auto"/>
        <w:ind w:left="426"/>
        <w:rPr>
          <w:rFonts w:eastAsia="Times New Roman" w:cs="Arial"/>
          <w:szCs w:val="24"/>
          <w:lang w:eastAsia="es-ES"/>
        </w:rPr>
      </w:pPr>
      <w:r w:rsidRPr="005E432D">
        <w:rPr>
          <w:rFonts w:eastAsia="Times New Roman" w:cs="Arial"/>
          <w:szCs w:val="24"/>
          <w:lang w:val="es-ES" w:eastAsia="es-ES"/>
        </w:rPr>
        <w:t>Existen cuatro empresas vinculadas a ANCAP, Cementos del Plata S.A., Gas Sayago S.A., ANCSOL S.A. y CONECTA S.A. que perdieron más del 50% del capital integrado</w:t>
      </w:r>
      <w:r w:rsidRPr="005E432D">
        <w:rPr>
          <w:rFonts w:cs="Arial"/>
          <w:szCs w:val="24"/>
        </w:rPr>
        <w:t xml:space="preserve"> y que quedan incluidas en lo previsto por el </w:t>
      </w:r>
      <w:r>
        <w:rPr>
          <w:rFonts w:cs="Arial"/>
          <w:szCs w:val="24"/>
        </w:rPr>
        <w:t>A</w:t>
      </w:r>
      <w:r w:rsidRPr="005E432D">
        <w:rPr>
          <w:rFonts w:cs="Arial"/>
          <w:szCs w:val="24"/>
        </w:rPr>
        <w:t>rt</w:t>
      </w:r>
      <w:r>
        <w:rPr>
          <w:rFonts w:cs="Arial"/>
          <w:szCs w:val="24"/>
        </w:rPr>
        <w:t>ículo</w:t>
      </w:r>
      <w:r w:rsidRPr="005E432D">
        <w:rPr>
          <w:rFonts w:cs="Arial"/>
          <w:szCs w:val="24"/>
        </w:rPr>
        <w:t xml:space="preserve"> 293 de la Ley N° 16060</w:t>
      </w:r>
      <w:r w:rsidRPr="005E432D">
        <w:rPr>
          <w:rFonts w:eastAsia="Times New Roman" w:cs="Arial"/>
          <w:szCs w:val="24"/>
          <w:lang w:val="es-ES" w:eastAsia="es-ES"/>
        </w:rPr>
        <w:t xml:space="preserve">, lo que está evidenciando un </w:t>
      </w:r>
      <w:r w:rsidRPr="005E432D">
        <w:rPr>
          <w:rFonts w:eastAsia="Times New Roman" w:cs="Arial"/>
          <w:szCs w:val="24"/>
          <w:lang w:eastAsia="es-ES"/>
        </w:rPr>
        <w:t xml:space="preserve">indicio de deterioro de las mismas, hecho que debió exponerse </w:t>
      </w:r>
      <w:r w:rsidRPr="005E432D">
        <w:rPr>
          <w:rFonts w:eastAsia="Times New Roman" w:cs="Arial"/>
          <w:szCs w:val="24"/>
          <w:lang w:val="es-ES" w:eastAsia="es-ES"/>
        </w:rPr>
        <w:t>en notas a los Estados Financieros</w:t>
      </w:r>
      <w:r>
        <w:rPr>
          <w:rFonts w:eastAsia="Times New Roman" w:cs="Arial"/>
          <w:szCs w:val="24"/>
          <w:lang w:val="es-ES" w:eastAsia="es-ES"/>
        </w:rPr>
        <w:t>.</w:t>
      </w:r>
    </w:p>
    <w:p w:rsidR="001D2594" w:rsidRDefault="001D2594" w:rsidP="00ED6474">
      <w:pPr>
        <w:keepNext/>
        <w:widowControl w:val="0"/>
        <w:spacing w:line="360" w:lineRule="auto"/>
        <w:ind w:left="426"/>
        <w:rPr>
          <w:rFonts w:cs="Arial"/>
          <w:b/>
          <w:bCs/>
          <w:szCs w:val="24"/>
        </w:rPr>
      </w:pPr>
    </w:p>
    <w:p w:rsidR="001D2594" w:rsidRPr="005E432D" w:rsidRDefault="001D2594" w:rsidP="00ED6474">
      <w:pPr>
        <w:keepNext/>
        <w:widowControl w:val="0"/>
        <w:spacing w:line="360" w:lineRule="auto"/>
        <w:ind w:left="426"/>
        <w:rPr>
          <w:rFonts w:cs="Arial"/>
          <w:b/>
          <w:bCs/>
          <w:szCs w:val="24"/>
        </w:rPr>
      </w:pPr>
      <w:r w:rsidRPr="005E432D">
        <w:rPr>
          <w:rFonts w:cs="Arial"/>
          <w:b/>
          <w:bCs/>
          <w:szCs w:val="24"/>
        </w:rPr>
        <w:t>4.2 Garantías otorgadas</w:t>
      </w:r>
    </w:p>
    <w:p w:rsidR="001D2594" w:rsidRDefault="001D2594" w:rsidP="00ED6474">
      <w:pPr>
        <w:keepNext/>
        <w:widowControl w:val="0"/>
        <w:spacing w:line="360" w:lineRule="auto"/>
        <w:ind w:left="426"/>
        <w:rPr>
          <w:rFonts w:cs="Arial"/>
          <w:szCs w:val="24"/>
        </w:rPr>
      </w:pPr>
      <w:r w:rsidRPr="005E432D">
        <w:rPr>
          <w:rFonts w:cs="Arial"/>
          <w:szCs w:val="24"/>
        </w:rPr>
        <w:t xml:space="preserve">No se revelan en notas a los Estados Financieros </w:t>
      </w:r>
      <w:r>
        <w:rPr>
          <w:rFonts w:cs="Arial"/>
          <w:szCs w:val="24"/>
        </w:rPr>
        <w:t>I</w:t>
      </w:r>
      <w:r w:rsidRPr="005E432D">
        <w:rPr>
          <w:rFonts w:cs="Arial"/>
          <w:szCs w:val="24"/>
        </w:rPr>
        <w:t>ndividuales y</w:t>
      </w:r>
      <w:r>
        <w:rPr>
          <w:rFonts w:cs="Arial"/>
          <w:szCs w:val="24"/>
        </w:rPr>
        <w:t>/</w:t>
      </w:r>
      <w:r w:rsidRPr="005E432D">
        <w:rPr>
          <w:rFonts w:cs="Arial"/>
          <w:szCs w:val="24"/>
        </w:rPr>
        <w:t xml:space="preserve">o </w:t>
      </w:r>
      <w:r>
        <w:rPr>
          <w:rFonts w:cs="Arial"/>
          <w:szCs w:val="24"/>
        </w:rPr>
        <w:t>C</w:t>
      </w:r>
      <w:r w:rsidRPr="005E432D">
        <w:rPr>
          <w:rFonts w:cs="Arial"/>
          <w:szCs w:val="24"/>
        </w:rPr>
        <w:t>onsolidados la garantía otorgada según lo establece la NIC 37- Provisiones, Pasivos Cont</w:t>
      </w:r>
      <w:r>
        <w:rPr>
          <w:rFonts w:cs="Arial"/>
          <w:szCs w:val="24"/>
        </w:rPr>
        <w:t>ingentes y Activos Contingentes</w:t>
      </w:r>
      <w:r w:rsidRPr="005E432D">
        <w:rPr>
          <w:rFonts w:cs="Arial"/>
          <w:szCs w:val="24"/>
        </w:rPr>
        <w:t xml:space="preserve"> a P</w:t>
      </w:r>
      <w:r>
        <w:rPr>
          <w:rFonts w:cs="Arial"/>
          <w:szCs w:val="24"/>
        </w:rPr>
        <w:t>ETROURUGUAY S.A.</w:t>
      </w:r>
      <w:r w:rsidRPr="005E432D">
        <w:rPr>
          <w:rFonts w:cs="Arial"/>
          <w:szCs w:val="24"/>
        </w:rPr>
        <w:t xml:space="preserve"> ante la Secretaría de Energía – Argentina para que ésta se inscribiera en el Registro de Empresas de Exploración y Explotación de Hidrocarburos en Argentina (R.D. 24/1/2013) y en el Registro de Empresas Petroleras Transportistas en Argentina (R.D. 631/5/2013).</w:t>
      </w:r>
    </w:p>
    <w:p w:rsidR="001D2594" w:rsidRPr="005E432D" w:rsidRDefault="001D2594" w:rsidP="00ED6474">
      <w:pPr>
        <w:keepNext/>
        <w:widowControl w:val="0"/>
        <w:ind w:left="426"/>
        <w:rPr>
          <w:b/>
        </w:rPr>
      </w:pPr>
      <w:r w:rsidRPr="005E432D">
        <w:rPr>
          <w:b/>
        </w:rPr>
        <w:t>4.3 Garantías recibidas</w:t>
      </w:r>
    </w:p>
    <w:p w:rsidR="001D2594" w:rsidRPr="005E432D" w:rsidRDefault="001D2594" w:rsidP="00ED6474">
      <w:pPr>
        <w:keepNext/>
        <w:widowControl w:val="0"/>
        <w:spacing w:after="0" w:line="360" w:lineRule="auto"/>
        <w:ind w:left="426"/>
        <w:rPr>
          <w:rFonts w:eastAsia="Times New Roman" w:cs="Arial"/>
          <w:szCs w:val="24"/>
          <w:lang w:val="es-ES_tradnl" w:eastAsia="es-UY"/>
        </w:rPr>
      </w:pPr>
      <w:r w:rsidRPr="005E432D">
        <w:rPr>
          <w:rFonts w:eastAsia="Times New Roman" w:cs="Arial"/>
          <w:szCs w:val="24"/>
          <w:lang w:eastAsia="es-UY"/>
        </w:rPr>
        <w:t xml:space="preserve">No se revelan en </w:t>
      </w:r>
      <w:r w:rsidRPr="005E432D">
        <w:rPr>
          <w:rFonts w:eastAsia="Times New Roman" w:cs="Arial"/>
          <w:szCs w:val="24"/>
          <w:lang w:val="es-ES_tradnl" w:eastAsia="es-UY"/>
        </w:rPr>
        <w:t xml:space="preserve">notas a los Estados Financieros </w:t>
      </w:r>
      <w:r>
        <w:rPr>
          <w:rFonts w:eastAsia="Times New Roman" w:cs="Arial"/>
          <w:szCs w:val="24"/>
          <w:lang w:val="es-ES_tradnl" w:eastAsia="es-UY"/>
        </w:rPr>
        <w:t xml:space="preserve">Consolidados e Individuales </w:t>
      </w:r>
      <w:r w:rsidRPr="005E432D">
        <w:rPr>
          <w:rFonts w:eastAsia="Times New Roman" w:cs="Arial"/>
          <w:szCs w:val="24"/>
          <w:lang w:val="es-ES_tradnl" w:eastAsia="es-UY"/>
        </w:rPr>
        <w:t>el total de Garantías recibidas por $ 884.912.715,02, excepto por el detalle de Bonos de Tesoro y O.H.R. expuesto en Nota 20</w:t>
      </w:r>
      <w:r>
        <w:rPr>
          <w:rFonts w:eastAsia="Times New Roman" w:cs="Arial"/>
          <w:szCs w:val="24"/>
          <w:lang w:val="es-ES_tradnl" w:eastAsia="es-UY"/>
        </w:rPr>
        <w:t xml:space="preserve"> a los Estados Financieros Individuales y Nota 22 a los Estados Financieros Consolidados</w:t>
      </w:r>
      <w:r w:rsidRPr="005E432D">
        <w:rPr>
          <w:rFonts w:eastAsia="Times New Roman" w:cs="Arial"/>
          <w:szCs w:val="24"/>
          <w:lang w:val="es-ES_tradnl" w:eastAsia="es-UY"/>
        </w:rPr>
        <w:t xml:space="preserve">. </w:t>
      </w:r>
      <w:r>
        <w:rPr>
          <w:rFonts w:eastAsia="Times New Roman" w:cs="Arial"/>
          <w:szCs w:val="24"/>
          <w:lang w:val="es-ES_tradnl" w:eastAsia="es-UY"/>
        </w:rPr>
        <w:t>Por otra parte no se efectúan</w:t>
      </w:r>
      <w:r w:rsidRPr="005E432D">
        <w:rPr>
          <w:rFonts w:eastAsia="Times New Roman" w:cs="Arial"/>
          <w:szCs w:val="24"/>
          <w:lang w:val="es-ES_tradnl" w:eastAsia="es-UY"/>
        </w:rPr>
        <w:t xml:space="preserve"> procedimientos de control con relación a la documentación y valores relacionados con estas garantías en oportunidad de realizar</w:t>
      </w:r>
      <w:r>
        <w:rPr>
          <w:rFonts w:eastAsia="Times New Roman" w:cs="Arial"/>
          <w:szCs w:val="24"/>
          <w:lang w:val="es-ES_tradnl" w:eastAsia="es-UY"/>
        </w:rPr>
        <w:t xml:space="preserve"> aqueos en la Tesorería General del Ente.</w:t>
      </w:r>
    </w:p>
    <w:p w:rsidR="001D2594" w:rsidRPr="005E432D" w:rsidRDefault="001D2594" w:rsidP="00ED6474">
      <w:pPr>
        <w:keepNext/>
        <w:widowControl w:val="0"/>
        <w:tabs>
          <w:tab w:val="left" w:pos="1134"/>
          <w:tab w:val="right" w:pos="5387"/>
          <w:tab w:val="right" w:pos="8222"/>
        </w:tabs>
        <w:spacing w:after="0" w:line="360" w:lineRule="auto"/>
        <w:rPr>
          <w:rFonts w:cs="Arial"/>
          <w:b/>
          <w:bCs/>
          <w:szCs w:val="24"/>
        </w:rPr>
      </w:pPr>
    </w:p>
    <w:p w:rsidR="001D2594" w:rsidRPr="005E432D" w:rsidRDefault="001D2594" w:rsidP="00ED6474">
      <w:pPr>
        <w:keepNext/>
        <w:widowControl w:val="0"/>
        <w:tabs>
          <w:tab w:val="left" w:pos="1134"/>
          <w:tab w:val="right" w:pos="5387"/>
          <w:tab w:val="right" w:pos="8222"/>
        </w:tabs>
        <w:spacing w:after="0" w:line="360" w:lineRule="auto"/>
        <w:ind w:left="426"/>
        <w:rPr>
          <w:rFonts w:cs="Arial"/>
          <w:b/>
          <w:bCs/>
          <w:szCs w:val="24"/>
        </w:rPr>
      </w:pPr>
      <w:r w:rsidRPr="005E432D">
        <w:rPr>
          <w:rFonts w:cs="Arial"/>
          <w:b/>
          <w:bCs/>
          <w:szCs w:val="24"/>
        </w:rPr>
        <w:t>4.4 Anticipos por compras</w:t>
      </w:r>
    </w:p>
    <w:p w:rsidR="001D2594" w:rsidRPr="005E432D" w:rsidRDefault="001D2594" w:rsidP="00ED6474">
      <w:pPr>
        <w:keepNext/>
        <w:widowControl w:val="0"/>
        <w:tabs>
          <w:tab w:val="left" w:pos="426"/>
          <w:tab w:val="right" w:pos="8222"/>
        </w:tabs>
        <w:spacing w:after="0" w:line="360" w:lineRule="auto"/>
        <w:ind w:left="426"/>
        <w:rPr>
          <w:rFonts w:cs="Arial"/>
          <w:lang w:val="es-ES_tradnl"/>
        </w:rPr>
      </w:pPr>
      <w:r w:rsidRPr="005E432D">
        <w:rPr>
          <w:rFonts w:cs="Arial"/>
          <w:lang w:val="es-ES_tradnl"/>
        </w:rPr>
        <w:t>Mediante el análisis del rubro 132014100 “Anticipos por seguros” se pudo constatar que se incluyeron</w:t>
      </w:r>
      <w:r w:rsidRPr="005E432D">
        <w:rPr>
          <w:rFonts w:cs="Arial"/>
          <w:lang w:val="es-CO" w:eastAsia="es-UY"/>
        </w:rPr>
        <w:t xml:space="preserve"> 2 cuotas </w:t>
      </w:r>
      <w:r w:rsidRPr="005E432D">
        <w:rPr>
          <w:rFonts w:cs="Arial"/>
          <w:lang w:val="es-ES_tradnl"/>
        </w:rPr>
        <w:t>del seguro Barcaza “Garzas viajeras”, seguro Barcaza “Río de los Pájaros”, seguro casco “</w:t>
      </w:r>
      <w:proofErr w:type="spellStart"/>
      <w:r w:rsidRPr="005E432D">
        <w:rPr>
          <w:rFonts w:cs="Arial"/>
          <w:lang w:val="es-ES_tradnl"/>
        </w:rPr>
        <w:t>Kichororó</w:t>
      </w:r>
      <w:proofErr w:type="spellEnd"/>
      <w:r w:rsidRPr="005E432D">
        <w:rPr>
          <w:rFonts w:cs="Arial"/>
          <w:lang w:val="es-ES_tradnl"/>
        </w:rPr>
        <w:t>” y seguro casco “ANCAP IX” por U$S 26.141,53</w:t>
      </w:r>
      <w:r>
        <w:rPr>
          <w:rFonts w:cs="Arial"/>
          <w:lang w:val="es-ES_tradnl"/>
        </w:rPr>
        <w:t xml:space="preserve"> equivalente a </w:t>
      </w:r>
      <w:r w:rsidRPr="004632CA">
        <w:rPr>
          <w:rFonts w:cs="Arial"/>
          <w:lang w:val="es-ES_tradnl"/>
        </w:rPr>
        <w:t>$ 766.992,</w:t>
      </w:r>
      <w:r w:rsidRPr="005E432D">
        <w:rPr>
          <w:rFonts w:cs="Arial"/>
          <w:lang w:val="es-ES_tradnl"/>
        </w:rPr>
        <w:t xml:space="preserve"> que ya fueron devengadas y que deberían estar registradas como pérdidas del ejercicio.</w:t>
      </w:r>
    </w:p>
    <w:p w:rsidR="001D2594" w:rsidRPr="005E432D" w:rsidRDefault="001D2594" w:rsidP="00ED6474">
      <w:pPr>
        <w:keepNext/>
        <w:widowControl w:val="0"/>
        <w:tabs>
          <w:tab w:val="left" w:pos="426"/>
          <w:tab w:val="right" w:pos="8222"/>
        </w:tabs>
        <w:spacing w:after="0" w:line="360" w:lineRule="auto"/>
        <w:ind w:left="426"/>
        <w:rPr>
          <w:rFonts w:cs="Arial"/>
          <w:lang w:val="es-ES_tradnl"/>
        </w:rPr>
      </w:pPr>
    </w:p>
    <w:p w:rsidR="001D2594" w:rsidRPr="005E432D" w:rsidRDefault="001D2594" w:rsidP="00ED6474">
      <w:pPr>
        <w:keepNext/>
        <w:widowControl w:val="0"/>
        <w:tabs>
          <w:tab w:val="left" w:pos="1134"/>
          <w:tab w:val="right" w:pos="5387"/>
          <w:tab w:val="right" w:pos="8222"/>
        </w:tabs>
        <w:spacing w:after="0" w:line="360" w:lineRule="auto"/>
        <w:ind w:left="426"/>
        <w:rPr>
          <w:rFonts w:cs="Arial"/>
          <w:b/>
          <w:bCs/>
          <w:szCs w:val="24"/>
        </w:rPr>
      </w:pPr>
      <w:r w:rsidRPr="005E432D">
        <w:rPr>
          <w:rFonts w:cs="Arial"/>
          <w:b/>
          <w:bCs/>
          <w:szCs w:val="24"/>
        </w:rPr>
        <w:t>4.5</w:t>
      </w:r>
      <w:r>
        <w:rPr>
          <w:rFonts w:cs="Arial"/>
          <w:b/>
          <w:bCs/>
          <w:szCs w:val="24"/>
        </w:rPr>
        <w:t xml:space="preserve"> Préstamos a Funcionarios</w:t>
      </w:r>
    </w:p>
    <w:p w:rsidR="001D2594" w:rsidRPr="005E432D" w:rsidRDefault="001D2594" w:rsidP="00ED6474">
      <w:pPr>
        <w:keepNext/>
        <w:widowControl w:val="0"/>
        <w:tabs>
          <w:tab w:val="left" w:pos="1134"/>
          <w:tab w:val="right" w:pos="5387"/>
          <w:tab w:val="right" w:pos="8222"/>
        </w:tabs>
        <w:spacing w:after="0" w:line="360" w:lineRule="auto"/>
        <w:ind w:left="426"/>
        <w:rPr>
          <w:rFonts w:cs="Arial"/>
          <w:bCs/>
          <w:szCs w:val="24"/>
        </w:rPr>
      </w:pPr>
      <w:r>
        <w:rPr>
          <w:rFonts w:cs="Arial"/>
          <w:bCs/>
          <w:szCs w:val="24"/>
        </w:rPr>
        <w:t xml:space="preserve">ANCAP </w:t>
      </w:r>
      <w:r w:rsidRPr="005E432D">
        <w:rPr>
          <w:rFonts w:cs="Arial"/>
          <w:bCs/>
          <w:szCs w:val="24"/>
        </w:rPr>
        <w:t xml:space="preserve">cuenta con un Reglamento para </w:t>
      </w:r>
      <w:r>
        <w:rPr>
          <w:rFonts w:cs="Arial"/>
          <w:bCs/>
          <w:szCs w:val="24"/>
        </w:rPr>
        <w:tab/>
        <w:t>P</w:t>
      </w:r>
      <w:r w:rsidRPr="005E432D">
        <w:rPr>
          <w:rFonts w:cs="Arial"/>
          <w:bCs/>
          <w:szCs w:val="24"/>
        </w:rPr>
        <w:t xml:space="preserve">réstamos al </w:t>
      </w:r>
      <w:r>
        <w:rPr>
          <w:rFonts w:cs="Arial"/>
          <w:bCs/>
          <w:szCs w:val="24"/>
        </w:rPr>
        <w:t>P</w:t>
      </w:r>
      <w:r w:rsidRPr="005E432D">
        <w:rPr>
          <w:rFonts w:cs="Arial"/>
          <w:bCs/>
          <w:szCs w:val="24"/>
        </w:rPr>
        <w:t xml:space="preserve">ersonal (Fondo de Ayuda Social) aprobado por el Directorio del Ente. </w:t>
      </w:r>
      <w:r>
        <w:rPr>
          <w:rFonts w:cs="Arial"/>
          <w:bCs/>
          <w:szCs w:val="24"/>
        </w:rPr>
        <w:t>N</w:t>
      </w:r>
      <w:r w:rsidRPr="005E432D">
        <w:rPr>
          <w:rFonts w:cs="Arial"/>
          <w:bCs/>
          <w:szCs w:val="24"/>
        </w:rPr>
        <w:t xml:space="preserve">o </w:t>
      </w:r>
      <w:r>
        <w:rPr>
          <w:rFonts w:cs="Arial"/>
          <w:bCs/>
          <w:szCs w:val="24"/>
        </w:rPr>
        <w:t xml:space="preserve">se </w:t>
      </w:r>
      <w:r w:rsidRPr="005E432D">
        <w:rPr>
          <w:rFonts w:cs="Arial"/>
          <w:bCs/>
          <w:szCs w:val="24"/>
        </w:rPr>
        <w:t>realiza</w:t>
      </w:r>
      <w:r>
        <w:rPr>
          <w:rFonts w:cs="Arial"/>
          <w:bCs/>
          <w:szCs w:val="24"/>
        </w:rPr>
        <w:t>n</w:t>
      </w:r>
      <w:r w:rsidRPr="005E432D">
        <w:rPr>
          <w:rFonts w:cs="Arial"/>
          <w:bCs/>
          <w:szCs w:val="24"/>
        </w:rPr>
        <w:t xml:space="preserve"> conciliaciones entre los saldos de Préstamos Sociales que figuran en el sistema de </w:t>
      </w:r>
      <w:r>
        <w:rPr>
          <w:rFonts w:cs="Arial"/>
          <w:bCs/>
          <w:szCs w:val="24"/>
        </w:rPr>
        <w:t>s</w:t>
      </w:r>
      <w:r w:rsidRPr="005E432D">
        <w:rPr>
          <w:rFonts w:cs="Arial"/>
          <w:bCs/>
          <w:szCs w:val="24"/>
        </w:rPr>
        <w:t xml:space="preserve">ueldos con el saldo contable correspondiente. </w:t>
      </w:r>
      <w:r>
        <w:rPr>
          <w:rFonts w:cs="Arial"/>
          <w:bCs/>
          <w:szCs w:val="24"/>
        </w:rPr>
        <w:t>Por otra parte n</w:t>
      </w:r>
      <w:r w:rsidRPr="005E432D">
        <w:rPr>
          <w:rFonts w:cs="Arial"/>
          <w:bCs/>
          <w:szCs w:val="24"/>
        </w:rPr>
        <w:t>o se reclasifica la porción no corriente de</w:t>
      </w:r>
      <w:r>
        <w:rPr>
          <w:rFonts w:cs="Arial"/>
          <w:bCs/>
          <w:szCs w:val="24"/>
        </w:rPr>
        <w:t xml:space="preserve"> dichos</w:t>
      </w:r>
      <w:r w:rsidRPr="005E432D">
        <w:rPr>
          <w:rFonts w:cs="Arial"/>
          <w:bCs/>
          <w:szCs w:val="24"/>
        </w:rPr>
        <w:t xml:space="preserve"> préstamos en l</w:t>
      </w:r>
      <w:r>
        <w:rPr>
          <w:rFonts w:cs="Arial"/>
          <w:bCs/>
          <w:szCs w:val="24"/>
        </w:rPr>
        <w:t xml:space="preserve">os </w:t>
      </w:r>
      <w:r w:rsidRPr="00341683">
        <w:rPr>
          <w:rFonts w:cs="Arial"/>
          <w:bCs/>
          <w:szCs w:val="24"/>
        </w:rPr>
        <w:t>registros  contables.</w:t>
      </w:r>
    </w:p>
    <w:p w:rsidR="001D2594" w:rsidRPr="005E432D" w:rsidRDefault="001D2594" w:rsidP="00ED6474">
      <w:pPr>
        <w:keepNext/>
        <w:widowControl w:val="0"/>
        <w:tabs>
          <w:tab w:val="left" w:pos="1134"/>
          <w:tab w:val="right" w:pos="5387"/>
          <w:tab w:val="right" w:pos="8222"/>
        </w:tabs>
        <w:spacing w:after="0" w:line="360" w:lineRule="auto"/>
        <w:rPr>
          <w:rFonts w:cs="Arial"/>
          <w:b/>
          <w:bCs/>
          <w:szCs w:val="24"/>
        </w:rPr>
      </w:pPr>
    </w:p>
    <w:p w:rsidR="001D2594" w:rsidRPr="005E432D" w:rsidRDefault="001D2594" w:rsidP="00ED6474">
      <w:pPr>
        <w:keepNext/>
        <w:widowControl w:val="0"/>
        <w:tabs>
          <w:tab w:val="left" w:pos="1134"/>
          <w:tab w:val="right" w:pos="5387"/>
          <w:tab w:val="right" w:pos="8222"/>
        </w:tabs>
        <w:spacing w:after="0" w:line="360" w:lineRule="auto"/>
        <w:ind w:left="426"/>
        <w:rPr>
          <w:rFonts w:cs="Arial"/>
          <w:szCs w:val="24"/>
          <w:lang w:val="es-ES_tradnl"/>
        </w:rPr>
      </w:pPr>
      <w:r w:rsidRPr="005E432D">
        <w:rPr>
          <w:rFonts w:cs="Arial"/>
          <w:b/>
          <w:bCs/>
          <w:szCs w:val="24"/>
        </w:rPr>
        <w:t>4.6 Gestión de Riesgos</w:t>
      </w:r>
    </w:p>
    <w:p w:rsidR="001D2594" w:rsidRPr="005E432D" w:rsidRDefault="001D2594" w:rsidP="00ED6474">
      <w:pPr>
        <w:pStyle w:val="Prrafodelista"/>
        <w:keepNext/>
        <w:widowControl w:val="0"/>
        <w:tabs>
          <w:tab w:val="left" w:pos="709"/>
          <w:tab w:val="right" w:pos="5387"/>
          <w:tab w:val="right" w:pos="8222"/>
        </w:tabs>
        <w:spacing w:after="0" w:line="360" w:lineRule="auto"/>
        <w:ind w:left="426"/>
        <w:jc w:val="both"/>
        <w:rPr>
          <w:rFonts w:ascii="Arial" w:hAnsi="Arial" w:cs="Arial"/>
          <w:sz w:val="24"/>
          <w:szCs w:val="24"/>
          <w:lang w:val="es-ES_tradnl"/>
        </w:rPr>
      </w:pPr>
      <w:r w:rsidRPr="005E432D">
        <w:rPr>
          <w:rFonts w:ascii="Arial" w:hAnsi="Arial" w:cs="Arial"/>
          <w:sz w:val="24"/>
          <w:szCs w:val="24"/>
          <w:lang w:val="es-ES_tradnl"/>
        </w:rPr>
        <w:t>ANCAP no incluye entre sus objetivos de gestión Integral de Riesgos los derivados de la suscripción de fianzas</w:t>
      </w:r>
      <w:r>
        <w:rPr>
          <w:rFonts w:ascii="Arial" w:hAnsi="Arial" w:cs="Arial"/>
          <w:sz w:val="24"/>
          <w:szCs w:val="24"/>
          <w:lang w:val="es-ES_tradnl"/>
        </w:rPr>
        <w:t>,</w:t>
      </w:r>
      <w:r w:rsidRPr="005E432D">
        <w:rPr>
          <w:rFonts w:ascii="Arial" w:hAnsi="Arial" w:cs="Arial"/>
          <w:sz w:val="24"/>
          <w:szCs w:val="24"/>
          <w:lang w:val="es-ES_tradnl"/>
        </w:rPr>
        <w:t xml:space="preserve"> avales y garantías reales y otras genéricas.</w:t>
      </w:r>
    </w:p>
    <w:p w:rsidR="001D2594" w:rsidRPr="005E432D" w:rsidRDefault="001D2594" w:rsidP="00ED6474">
      <w:pPr>
        <w:pStyle w:val="Prrafodelista"/>
        <w:keepNext/>
        <w:widowControl w:val="0"/>
        <w:tabs>
          <w:tab w:val="left" w:pos="709"/>
          <w:tab w:val="right" w:pos="5387"/>
          <w:tab w:val="right" w:pos="8222"/>
        </w:tabs>
        <w:spacing w:line="360" w:lineRule="auto"/>
        <w:ind w:left="426"/>
        <w:jc w:val="both"/>
        <w:rPr>
          <w:rFonts w:ascii="Arial" w:hAnsi="Arial" w:cs="Arial"/>
          <w:sz w:val="24"/>
          <w:szCs w:val="24"/>
          <w:lang w:val="es-ES_tradnl"/>
        </w:rPr>
      </w:pPr>
      <w:r w:rsidRPr="005E432D">
        <w:rPr>
          <w:rFonts w:ascii="Arial" w:hAnsi="Arial" w:cs="Arial"/>
          <w:sz w:val="24"/>
          <w:szCs w:val="24"/>
          <w:lang w:val="es-ES_tradnl"/>
        </w:rPr>
        <w:t xml:space="preserve">El Sector Riesgos no cuenta con un Manual de Procedimientos que defina qué coberturas se deben contratar en forma centralizada para sus sociedades vinculadas (a través de ANCAP) ya sea sobre bienes de cambio o Bienes de Uso, </w:t>
      </w:r>
      <w:r>
        <w:rPr>
          <w:rFonts w:ascii="Arial" w:hAnsi="Arial" w:cs="Arial"/>
          <w:sz w:val="24"/>
          <w:szCs w:val="24"/>
          <w:lang w:val="es-ES_tradnl"/>
        </w:rPr>
        <w:t>ni</w:t>
      </w:r>
      <w:r w:rsidRPr="005E432D">
        <w:rPr>
          <w:rFonts w:ascii="Arial" w:hAnsi="Arial" w:cs="Arial"/>
          <w:sz w:val="24"/>
          <w:szCs w:val="24"/>
          <w:lang w:val="es-ES_tradnl"/>
        </w:rPr>
        <w:t xml:space="preserve"> realiza</w:t>
      </w:r>
      <w:r>
        <w:rPr>
          <w:rFonts w:ascii="Arial" w:hAnsi="Arial" w:cs="Arial"/>
          <w:sz w:val="24"/>
          <w:szCs w:val="24"/>
          <w:lang w:val="es-ES_tradnl"/>
        </w:rPr>
        <w:t xml:space="preserve"> el</w:t>
      </w:r>
      <w:r w:rsidRPr="005E432D">
        <w:rPr>
          <w:rFonts w:ascii="Arial" w:hAnsi="Arial" w:cs="Arial"/>
          <w:sz w:val="24"/>
          <w:szCs w:val="24"/>
          <w:lang w:val="es-ES_tradnl"/>
        </w:rPr>
        <w:t xml:space="preserve"> seguimiento integral de las políticas de riesgo o coberturas contratadas por las mismas.</w:t>
      </w:r>
    </w:p>
    <w:p w:rsidR="001D2594" w:rsidRPr="005E432D" w:rsidRDefault="001D2594" w:rsidP="00ED6474">
      <w:pPr>
        <w:keepNext/>
        <w:widowControl w:val="0"/>
        <w:tabs>
          <w:tab w:val="left" w:pos="1134"/>
          <w:tab w:val="right" w:pos="5387"/>
          <w:tab w:val="right" w:pos="8222"/>
        </w:tabs>
        <w:spacing w:line="360" w:lineRule="auto"/>
        <w:ind w:left="426"/>
        <w:rPr>
          <w:rFonts w:cs="Arial"/>
          <w:szCs w:val="24"/>
          <w:lang w:val="es-ES_tradnl"/>
        </w:rPr>
      </w:pPr>
      <w:r w:rsidRPr="005E432D">
        <w:rPr>
          <w:rFonts w:cs="Arial"/>
          <w:b/>
          <w:bCs/>
          <w:szCs w:val="24"/>
        </w:rPr>
        <w:t>4.7 Auditoría Interna</w:t>
      </w:r>
    </w:p>
    <w:p w:rsidR="001D2594" w:rsidRPr="005E432D" w:rsidRDefault="001D2594" w:rsidP="00ED6474">
      <w:pPr>
        <w:keepNext/>
        <w:widowControl w:val="0"/>
        <w:tabs>
          <w:tab w:val="left" w:pos="1134"/>
          <w:tab w:val="right" w:pos="5387"/>
          <w:tab w:val="right" w:pos="8222"/>
        </w:tabs>
        <w:spacing w:after="0" w:line="360" w:lineRule="auto"/>
        <w:ind w:left="426"/>
        <w:rPr>
          <w:rFonts w:cs="Arial"/>
          <w:szCs w:val="24"/>
          <w:lang w:val="es-CO"/>
        </w:rPr>
      </w:pPr>
      <w:r w:rsidRPr="005E432D">
        <w:rPr>
          <w:rFonts w:cs="Arial"/>
          <w:szCs w:val="24"/>
          <w:lang w:val="es-CO"/>
        </w:rPr>
        <w:t>Auditoría Interna no cuenta con manuales de procedimientos aprobados</w:t>
      </w:r>
      <w:r>
        <w:rPr>
          <w:rFonts w:cs="Arial"/>
          <w:szCs w:val="24"/>
          <w:lang w:val="es-CO"/>
        </w:rPr>
        <w:t xml:space="preserve"> por el Directorio</w:t>
      </w:r>
      <w:r w:rsidR="00120C95">
        <w:rPr>
          <w:rFonts w:cs="Arial"/>
          <w:szCs w:val="24"/>
          <w:lang w:val="es-CO"/>
        </w:rPr>
        <w:t>.</w:t>
      </w:r>
    </w:p>
    <w:p w:rsidR="001D2594" w:rsidRPr="005E432D" w:rsidRDefault="001D2594" w:rsidP="00ED6474">
      <w:pPr>
        <w:keepNext/>
        <w:widowControl w:val="0"/>
        <w:tabs>
          <w:tab w:val="left" w:pos="1134"/>
          <w:tab w:val="right" w:pos="5387"/>
          <w:tab w:val="right" w:pos="8222"/>
        </w:tabs>
        <w:spacing w:after="0" w:line="360" w:lineRule="auto"/>
        <w:ind w:left="426"/>
        <w:rPr>
          <w:rFonts w:cs="Arial"/>
          <w:szCs w:val="24"/>
          <w:lang w:val="es-CO"/>
        </w:rPr>
      </w:pPr>
      <w:r>
        <w:rPr>
          <w:rFonts w:eastAsia="Times New Roman" w:cs="Arial"/>
          <w:szCs w:val="24"/>
          <w:lang w:val="es-ES_tradnl" w:eastAsia="es-UY"/>
        </w:rPr>
        <w:t xml:space="preserve">Por otra parte no </w:t>
      </w:r>
      <w:r w:rsidRPr="005E432D">
        <w:rPr>
          <w:rFonts w:eastAsia="Times New Roman" w:cs="Arial"/>
          <w:szCs w:val="24"/>
          <w:lang w:val="es-ES_tradnl" w:eastAsia="es-UY"/>
        </w:rPr>
        <w:t xml:space="preserve">efectúa procedimientos de control con relación a la documentación y valores relacionados con las garantías recibidas en </w:t>
      </w:r>
      <w:r w:rsidRPr="005E432D">
        <w:rPr>
          <w:rFonts w:cs="Arial"/>
          <w:szCs w:val="24"/>
          <w:lang w:val="es-CO"/>
        </w:rPr>
        <w:t>oportunidad de realizar aqueos en la Tesorería General.</w:t>
      </w:r>
    </w:p>
    <w:p w:rsidR="001D2594" w:rsidRPr="005E432D" w:rsidRDefault="001D2594" w:rsidP="00ED6474">
      <w:pPr>
        <w:keepNext/>
        <w:widowControl w:val="0"/>
        <w:tabs>
          <w:tab w:val="left" w:pos="1134"/>
          <w:tab w:val="right" w:pos="5387"/>
          <w:tab w:val="right" w:pos="8222"/>
        </w:tabs>
        <w:spacing w:after="0" w:line="360" w:lineRule="auto"/>
        <w:ind w:left="426"/>
        <w:rPr>
          <w:rFonts w:cs="Arial"/>
          <w:szCs w:val="24"/>
          <w:lang w:val="es-CO"/>
        </w:rPr>
      </w:pPr>
      <w:r w:rsidRPr="005E432D">
        <w:rPr>
          <w:rFonts w:cs="Arial"/>
          <w:szCs w:val="24"/>
          <w:lang w:val="es-CO"/>
        </w:rPr>
        <w:t xml:space="preserve">En cuanto a los arqueos que realiza  Auditoria </w:t>
      </w:r>
      <w:r>
        <w:rPr>
          <w:rFonts w:cs="Arial"/>
          <w:szCs w:val="24"/>
          <w:lang w:val="es-CO"/>
        </w:rPr>
        <w:t>I</w:t>
      </w:r>
      <w:r w:rsidRPr="005E432D">
        <w:rPr>
          <w:rFonts w:cs="Arial"/>
          <w:szCs w:val="24"/>
          <w:lang w:val="es-CO"/>
        </w:rPr>
        <w:t>nterna</w:t>
      </w:r>
      <w:r>
        <w:rPr>
          <w:rFonts w:cs="Arial"/>
          <w:szCs w:val="24"/>
          <w:lang w:val="es-CO"/>
        </w:rPr>
        <w:t>,</w:t>
      </w:r>
      <w:r w:rsidRPr="005E432D">
        <w:rPr>
          <w:rFonts w:cs="Arial"/>
          <w:szCs w:val="24"/>
          <w:lang w:val="es-CO"/>
        </w:rPr>
        <w:t xml:space="preserve"> no queda constancia en las Actas de Arqueo del “corte de documentación” necesario para la verificación de los saldos correspondientes, que establece la numeración de los comprobantes de ingresos y egresos que fueron considerados en los registros contables.</w:t>
      </w:r>
    </w:p>
    <w:p w:rsidR="001D2594" w:rsidRPr="005E432D" w:rsidRDefault="001D2594" w:rsidP="00ED6474">
      <w:pPr>
        <w:keepNext/>
        <w:widowControl w:val="0"/>
        <w:tabs>
          <w:tab w:val="left" w:pos="1134"/>
          <w:tab w:val="right" w:pos="5387"/>
          <w:tab w:val="right" w:pos="8222"/>
        </w:tabs>
        <w:spacing w:line="360" w:lineRule="auto"/>
        <w:ind w:left="426"/>
        <w:rPr>
          <w:rFonts w:cs="Arial"/>
          <w:szCs w:val="24"/>
          <w:lang w:val="es-CO"/>
        </w:rPr>
      </w:pPr>
      <w:r w:rsidRPr="005E432D">
        <w:rPr>
          <w:rFonts w:cs="Arial"/>
          <w:szCs w:val="24"/>
          <w:lang w:val="es-ES_tradnl"/>
        </w:rPr>
        <w:t>Con relación a recuentos físicos que Auditoría Interna realiza en las distintas Plantas, no siempre efectúa el corte de documentación previo a los recuentos físicos de bienes y materiales.</w:t>
      </w:r>
    </w:p>
    <w:p w:rsidR="001D2594" w:rsidRPr="005E432D" w:rsidRDefault="001D2594" w:rsidP="00ED6474">
      <w:pPr>
        <w:keepNext/>
        <w:widowControl w:val="0"/>
        <w:tabs>
          <w:tab w:val="left" w:pos="1134"/>
          <w:tab w:val="right" w:pos="5387"/>
          <w:tab w:val="right" w:pos="8222"/>
        </w:tabs>
        <w:spacing w:line="360" w:lineRule="auto"/>
        <w:ind w:left="426"/>
        <w:rPr>
          <w:rFonts w:cs="Arial"/>
          <w:b/>
          <w:bCs/>
          <w:szCs w:val="24"/>
        </w:rPr>
      </w:pPr>
      <w:r w:rsidRPr="005E432D">
        <w:rPr>
          <w:rFonts w:cs="Arial"/>
          <w:b/>
          <w:bCs/>
          <w:szCs w:val="24"/>
        </w:rPr>
        <w:t>4.</w:t>
      </w:r>
      <w:r>
        <w:rPr>
          <w:rFonts w:cs="Arial"/>
          <w:b/>
          <w:bCs/>
          <w:szCs w:val="24"/>
        </w:rPr>
        <w:t>8</w:t>
      </w:r>
      <w:r w:rsidRPr="005E432D">
        <w:rPr>
          <w:rFonts w:cs="Arial"/>
          <w:b/>
          <w:bCs/>
          <w:szCs w:val="24"/>
        </w:rPr>
        <w:t xml:space="preserve"> Créditos por ventas</w:t>
      </w:r>
    </w:p>
    <w:p w:rsidR="001D2594" w:rsidRDefault="001D2594" w:rsidP="00ED6474">
      <w:pPr>
        <w:keepNext/>
        <w:widowControl w:val="0"/>
        <w:tabs>
          <w:tab w:val="left" w:pos="1134"/>
          <w:tab w:val="right" w:pos="5387"/>
          <w:tab w:val="right" w:pos="8222"/>
        </w:tabs>
        <w:spacing w:line="360" w:lineRule="auto"/>
        <w:ind w:left="426"/>
        <w:rPr>
          <w:rFonts w:cs="Arial"/>
          <w:bCs/>
          <w:szCs w:val="24"/>
        </w:rPr>
      </w:pPr>
      <w:r w:rsidRPr="005E432D">
        <w:rPr>
          <w:rFonts w:cs="Arial"/>
          <w:bCs/>
          <w:szCs w:val="24"/>
        </w:rPr>
        <w:t xml:space="preserve">Para calcular la previsión para incobrables, el Organismo no toma en cuenta la posible incobrabilidad y/o demoras en la cobranza de las deudas de las Intendencias, de otros Entes del Estado, de organismos oficiales por los que se estén gestionando refinanciaciones ni de los saldos con vinculadas, por lo que se considera que las cifras </w:t>
      </w:r>
      <w:proofErr w:type="spellStart"/>
      <w:r w:rsidRPr="005E432D">
        <w:rPr>
          <w:rFonts w:cs="Arial"/>
          <w:bCs/>
          <w:szCs w:val="24"/>
        </w:rPr>
        <w:t>previsionadas</w:t>
      </w:r>
      <w:proofErr w:type="spellEnd"/>
      <w:r w:rsidRPr="005E432D">
        <w:rPr>
          <w:rFonts w:cs="Arial"/>
          <w:bCs/>
          <w:szCs w:val="24"/>
        </w:rPr>
        <w:t xml:space="preserve"> son insuficientes.</w:t>
      </w:r>
    </w:p>
    <w:p w:rsidR="001D2594" w:rsidRPr="00FF4E39" w:rsidRDefault="001D2594" w:rsidP="00ED6474">
      <w:pPr>
        <w:keepNext/>
        <w:widowControl w:val="0"/>
        <w:tabs>
          <w:tab w:val="left" w:pos="1134"/>
          <w:tab w:val="right" w:pos="5387"/>
          <w:tab w:val="right" w:pos="8222"/>
        </w:tabs>
        <w:spacing w:line="360" w:lineRule="auto"/>
        <w:ind w:left="426"/>
        <w:rPr>
          <w:rFonts w:cs="Arial"/>
          <w:b/>
          <w:bCs/>
          <w:szCs w:val="24"/>
        </w:rPr>
      </w:pPr>
      <w:r>
        <w:rPr>
          <w:rFonts w:cs="Arial"/>
          <w:b/>
          <w:bCs/>
          <w:szCs w:val="24"/>
        </w:rPr>
        <w:t>4.9</w:t>
      </w:r>
      <w:r w:rsidRPr="00FF4E39">
        <w:rPr>
          <w:rFonts w:cs="Arial"/>
          <w:b/>
          <w:bCs/>
          <w:szCs w:val="24"/>
        </w:rPr>
        <w:t xml:space="preserve"> Cont</w:t>
      </w:r>
      <w:r>
        <w:rPr>
          <w:rFonts w:cs="Arial"/>
          <w:b/>
          <w:bCs/>
          <w:szCs w:val="24"/>
        </w:rPr>
        <w:t>roles Movimientos Bienes de Uso</w:t>
      </w:r>
    </w:p>
    <w:p w:rsidR="001D2594" w:rsidRDefault="001D2594" w:rsidP="00ED6474">
      <w:pPr>
        <w:keepNext/>
        <w:widowControl w:val="0"/>
        <w:tabs>
          <w:tab w:val="left" w:pos="1134"/>
          <w:tab w:val="right" w:pos="5387"/>
          <w:tab w:val="right" w:pos="8222"/>
        </w:tabs>
        <w:spacing w:line="360" w:lineRule="auto"/>
        <w:ind w:left="426"/>
        <w:rPr>
          <w:rFonts w:cs="Arial"/>
          <w:bCs/>
          <w:szCs w:val="24"/>
        </w:rPr>
      </w:pPr>
      <w:r w:rsidRPr="00FF4E39">
        <w:rPr>
          <w:rFonts w:cs="Arial"/>
          <w:bCs/>
          <w:szCs w:val="24"/>
        </w:rPr>
        <w:t xml:space="preserve">La Norma General </w:t>
      </w:r>
      <w:r>
        <w:rPr>
          <w:rFonts w:cs="Arial"/>
          <w:bCs/>
          <w:szCs w:val="24"/>
        </w:rPr>
        <w:t xml:space="preserve">con la que cuenta el Ente </w:t>
      </w:r>
      <w:r w:rsidRPr="00FF4E39">
        <w:rPr>
          <w:rFonts w:cs="Arial"/>
          <w:bCs/>
          <w:szCs w:val="24"/>
        </w:rPr>
        <w:t>sobre movimiento de Activo Fijo, en su punto 7.2.1</w:t>
      </w:r>
      <w:r>
        <w:rPr>
          <w:rFonts w:cs="Arial"/>
          <w:bCs/>
          <w:szCs w:val="24"/>
        </w:rPr>
        <w:t xml:space="preserve"> </w:t>
      </w:r>
      <w:r w:rsidRPr="00FF4E39">
        <w:rPr>
          <w:rFonts w:cs="Arial"/>
          <w:bCs/>
          <w:szCs w:val="24"/>
        </w:rPr>
        <w:t>menciona que los bienes dados de baja deben ser enviados a “Materiales en Desuso”, pero el organismo no cuenta con un depósito para estos materiales.</w:t>
      </w:r>
    </w:p>
    <w:p w:rsidR="001D2594" w:rsidRPr="002D3C0C" w:rsidRDefault="001D2594" w:rsidP="00ED6474">
      <w:pPr>
        <w:keepNext/>
        <w:widowControl w:val="0"/>
        <w:tabs>
          <w:tab w:val="left" w:pos="1134"/>
          <w:tab w:val="right" w:pos="5387"/>
          <w:tab w:val="right" w:pos="8222"/>
        </w:tabs>
        <w:spacing w:line="360" w:lineRule="auto"/>
        <w:ind w:left="1134" w:hanging="708"/>
        <w:rPr>
          <w:rFonts w:cs="Arial"/>
          <w:b/>
          <w:bCs/>
          <w:szCs w:val="24"/>
        </w:rPr>
      </w:pPr>
      <w:r w:rsidRPr="002D3C0C">
        <w:rPr>
          <w:rFonts w:cs="Arial"/>
          <w:b/>
          <w:bCs/>
          <w:szCs w:val="24"/>
        </w:rPr>
        <w:t>4.1</w:t>
      </w:r>
      <w:r>
        <w:rPr>
          <w:rFonts w:cs="Arial"/>
          <w:b/>
          <w:bCs/>
          <w:szCs w:val="24"/>
        </w:rPr>
        <w:t>0</w:t>
      </w:r>
      <w:r w:rsidRPr="002D3C0C">
        <w:rPr>
          <w:rFonts w:cs="Arial"/>
          <w:b/>
          <w:bCs/>
          <w:szCs w:val="24"/>
        </w:rPr>
        <w:t xml:space="preserve"> Revelaciones exigidas </w:t>
      </w:r>
      <w:r>
        <w:rPr>
          <w:rFonts w:cs="Arial"/>
          <w:b/>
          <w:bCs/>
          <w:szCs w:val="24"/>
        </w:rPr>
        <w:t xml:space="preserve">por la </w:t>
      </w:r>
      <w:r w:rsidRPr="002D3C0C">
        <w:rPr>
          <w:rFonts w:cs="Arial"/>
          <w:b/>
          <w:bCs/>
          <w:szCs w:val="24"/>
        </w:rPr>
        <w:t>NIC 37</w:t>
      </w:r>
      <w:r w:rsidRPr="005E432D">
        <w:rPr>
          <w:rFonts w:cs="Arial"/>
          <w:b/>
          <w:bCs/>
          <w:szCs w:val="24"/>
        </w:rPr>
        <w:t xml:space="preserve"> referente a sentencias</w:t>
      </w:r>
      <w:r>
        <w:rPr>
          <w:rFonts w:cs="Arial"/>
          <w:b/>
          <w:bCs/>
          <w:szCs w:val="24"/>
        </w:rPr>
        <w:t xml:space="preserve"> judiciales</w:t>
      </w:r>
    </w:p>
    <w:p w:rsidR="001D2594" w:rsidRPr="005E432D" w:rsidRDefault="001D2594" w:rsidP="00ED6474">
      <w:pPr>
        <w:keepNext/>
        <w:widowControl w:val="0"/>
        <w:tabs>
          <w:tab w:val="left" w:pos="1134"/>
          <w:tab w:val="right" w:pos="5387"/>
          <w:tab w:val="right" w:pos="8222"/>
        </w:tabs>
        <w:spacing w:line="360" w:lineRule="auto"/>
        <w:ind w:left="426"/>
        <w:rPr>
          <w:rFonts w:cs="Arial"/>
          <w:bCs/>
          <w:szCs w:val="24"/>
        </w:rPr>
      </w:pPr>
      <w:r w:rsidRPr="002D3C0C">
        <w:rPr>
          <w:rFonts w:cs="Arial"/>
          <w:bCs/>
          <w:szCs w:val="24"/>
        </w:rPr>
        <w:t xml:space="preserve">La información en Notas a los estados financieros individuales y consolidados al 31/12/2016, no revela la probabilidad de sentencias desfavorables para cada tipo </w:t>
      </w:r>
      <w:r>
        <w:rPr>
          <w:rFonts w:cs="Arial"/>
          <w:bCs/>
          <w:szCs w:val="24"/>
        </w:rPr>
        <w:t>de litigio que mantiene el E</w:t>
      </w:r>
      <w:r w:rsidRPr="002D3C0C">
        <w:rPr>
          <w:rFonts w:cs="Arial"/>
          <w:bCs/>
          <w:szCs w:val="24"/>
        </w:rPr>
        <w:t>nte y el grupo, ni se expresaron los términos previstos en los párrafos 85, 86, 91 y /o 92 de la NIC 37.</w:t>
      </w:r>
    </w:p>
    <w:p w:rsidR="001D2594" w:rsidRPr="005E059C" w:rsidRDefault="001D2594" w:rsidP="00ED6474">
      <w:pPr>
        <w:keepNext/>
        <w:widowControl w:val="0"/>
        <w:tabs>
          <w:tab w:val="left" w:pos="1134"/>
          <w:tab w:val="right" w:pos="5387"/>
          <w:tab w:val="right" w:pos="8222"/>
        </w:tabs>
        <w:spacing w:line="360" w:lineRule="auto"/>
        <w:ind w:left="426"/>
        <w:rPr>
          <w:rFonts w:cs="Arial"/>
          <w:b/>
          <w:bCs/>
          <w:szCs w:val="24"/>
        </w:rPr>
      </w:pPr>
      <w:r w:rsidRPr="005E432D">
        <w:rPr>
          <w:rFonts w:cs="Arial"/>
          <w:b/>
          <w:bCs/>
          <w:szCs w:val="24"/>
        </w:rPr>
        <w:t>4.1</w:t>
      </w:r>
      <w:r>
        <w:rPr>
          <w:rFonts w:cs="Arial"/>
          <w:b/>
          <w:bCs/>
          <w:szCs w:val="24"/>
        </w:rPr>
        <w:t>1</w:t>
      </w:r>
      <w:r w:rsidRPr="005E432D">
        <w:rPr>
          <w:rFonts w:cs="Arial"/>
          <w:b/>
          <w:bCs/>
          <w:szCs w:val="24"/>
        </w:rPr>
        <w:t xml:space="preserve"> </w:t>
      </w:r>
      <w:r w:rsidRPr="005E059C">
        <w:rPr>
          <w:rFonts w:cs="Arial"/>
          <w:b/>
          <w:bCs/>
          <w:szCs w:val="24"/>
        </w:rPr>
        <w:t xml:space="preserve">Segregación </w:t>
      </w:r>
      <w:r>
        <w:rPr>
          <w:rFonts w:cs="Arial"/>
          <w:b/>
          <w:bCs/>
          <w:szCs w:val="24"/>
        </w:rPr>
        <w:t>de funciones de ventas y otras</w:t>
      </w:r>
    </w:p>
    <w:p w:rsidR="001D2594" w:rsidRPr="005E059C" w:rsidRDefault="001D2594" w:rsidP="00ED6474">
      <w:pPr>
        <w:keepNext/>
        <w:widowControl w:val="0"/>
        <w:spacing w:after="0" w:line="360" w:lineRule="auto"/>
        <w:ind w:left="426"/>
        <w:rPr>
          <w:rFonts w:eastAsia="Times New Roman" w:cs="Arial"/>
          <w:szCs w:val="24"/>
          <w:lang w:val="es-ES" w:eastAsia="es-ES"/>
        </w:rPr>
      </w:pPr>
      <w:r w:rsidRPr="005E059C">
        <w:rPr>
          <w:rFonts w:eastAsia="Times New Roman" w:cs="Arial"/>
          <w:szCs w:val="24"/>
          <w:lang w:val="es-ES" w:eastAsia="es-ES"/>
        </w:rPr>
        <w:t xml:space="preserve">A la fecha de este informe, en las Plantas de Carrasco, Laguna del Sauce y Juan </w:t>
      </w:r>
      <w:proofErr w:type="spellStart"/>
      <w:r w:rsidRPr="005E059C">
        <w:rPr>
          <w:rFonts w:eastAsia="Times New Roman" w:cs="Arial"/>
          <w:szCs w:val="24"/>
          <w:lang w:val="es-ES" w:eastAsia="es-ES"/>
        </w:rPr>
        <w:t>Lacaze</w:t>
      </w:r>
      <w:proofErr w:type="spellEnd"/>
      <w:r w:rsidRPr="005E059C">
        <w:rPr>
          <w:rFonts w:eastAsia="Times New Roman" w:cs="Arial"/>
          <w:szCs w:val="24"/>
          <w:lang w:val="es-ES" w:eastAsia="es-ES"/>
        </w:rPr>
        <w:t xml:space="preserve"> permanece la situación de falta de oposición de intereses en cuanto al despacho d</w:t>
      </w:r>
      <w:r>
        <w:rPr>
          <w:rFonts w:eastAsia="Times New Roman" w:cs="Arial"/>
          <w:szCs w:val="24"/>
          <w:lang w:val="es-ES" w:eastAsia="es-ES"/>
        </w:rPr>
        <w:t xml:space="preserve">e </w:t>
      </w:r>
      <w:r w:rsidRPr="00D54542">
        <w:rPr>
          <w:rFonts w:eastAsia="Times New Roman" w:cs="Arial"/>
          <w:szCs w:val="24"/>
          <w:lang w:val="es-ES" w:eastAsia="es-ES"/>
        </w:rPr>
        <w:t>combustible y documentación</w:t>
      </w:r>
      <w:r>
        <w:rPr>
          <w:rFonts w:eastAsia="Times New Roman" w:cs="Arial"/>
          <w:szCs w:val="24"/>
          <w:lang w:val="es-ES" w:eastAsia="es-ES"/>
        </w:rPr>
        <w:t xml:space="preserve"> de la venta</w:t>
      </w:r>
      <w:r w:rsidRPr="005E059C">
        <w:rPr>
          <w:rFonts w:eastAsia="Times New Roman" w:cs="Arial"/>
          <w:szCs w:val="24"/>
          <w:lang w:val="es-ES" w:eastAsia="es-ES"/>
        </w:rPr>
        <w:t>, tareas que realiza un mismo funcionario. En estas actuaciones se constató menor asignación de personal a dichas Plantas que en ejercicios anteriores.</w:t>
      </w:r>
    </w:p>
    <w:p w:rsidR="001D2594" w:rsidRPr="005E059C" w:rsidRDefault="001D2594" w:rsidP="00ED6474">
      <w:pPr>
        <w:keepNext/>
        <w:widowControl w:val="0"/>
        <w:spacing w:after="0" w:line="360" w:lineRule="auto"/>
        <w:ind w:left="426"/>
        <w:rPr>
          <w:rFonts w:eastAsia="Times New Roman" w:cs="Arial"/>
          <w:szCs w:val="24"/>
          <w:lang w:val="es-ES" w:eastAsia="es-ES"/>
        </w:rPr>
      </w:pPr>
      <w:r w:rsidRPr="005E059C">
        <w:rPr>
          <w:rFonts w:eastAsia="Times New Roman" w:cs="Arial"/>
          <w:szCs w:val="24"/>
          <w:lang w:val="es-ES" w:eastAsia="es-ES"/>
        </w:rPr>
        <w:t>En la planta de Minas, de Manga y Planta Paysandú (Portland), se mantienen los registros de los bienes de stock por parte de funcionarios de los sectores operación, producción y cantera que asimismo cumplen funciones de compras, recepción, embarques, registro de entradas y salidas de bienes, producción , consumos y conformidad de ingresos para pago a proveedores de bienes y servicios.</w:t>
      </w:r>
    </w:p>
    <w:p w:rsidR="001D2594" w:rsidRPr="002D3C0C" w:rsidRDefault="001D2594" w:rsidP="00ED6474">
      <w:pPr>
        <w:keepNext/>
        <w:widowControl w:val="0"/>
        <w:tabs>
          <w:tab w:val="left" w:pos="1134"/>
          <w:tab w:val="right" w:pos="5387"/>
          <w:tab w:val="right" w:pos="8222"/>
        </w:tabs>
        <w:spacing w:after="0" w:line="360" w:lineRule="auto"/>
        <w:rPr>
          <w:rFonts w:cs="Arial"/>
          <w:bCs/>
          <w:szCs w:val="24"/>
        </w:rPr>
      </w:pPr>
      <w:r w:rsidRPr="002D3C0C">
        <w:rPr>
          <w:rFonts w:cs="Arial"/>
          <w:bCs/>
          <w:szCs w:val="24"/>
        </w:rPr>
        <w:t xml:space="preserve">  </w:t>
      </w:r>
    </w:p>
    <w:p w:rsidR="001D2594" w:rsidRPr="005E432D" w:rsidRDefault="001D2594" w:rsidP="00ED6474">
      <w:pPr>
        <w:keepNext/>
        <w:widowControl w:val="0"/>
        <w:numPr>
          <w:ilvl w:val="0"/>
          <w:numId w:val="1"/>
        </w:numPr>
        <w:tabs>
          <w:tab w:val="clear" w:pos="720"/>
          <w:tab w:val="num" w:pos="426"/>
        </w:tabs>
        <w:spacing w:after="0" w:line="360" w:lineRule="auto"/>
        <w:ind w:left="0" w:firstLine="0"/>
        <w:rPr>
          <w:rFonts w:cs="Arial"/>
          <w:b/>
          <w:szCs w:val="24"/>
        </w:rPr>
      </w:pPr>
      <w:r w:rsidRPr="005E432D">
        <w:rPr>
          <w:rFonts w:cs="Arial"/>
          <w:b/>
          <w:szCs w:val="24"/>
        </w:rPr>
        <w:t>Incumplimientos de normas legales</w:t>
      </w:r>
    </w:p>
    <w:p w:rsidR="001D2594" w:rsidRPr="005E432D" w:rsidRDefault="001D2594" w:rsidP="00ED6474">
      <w:pPr>
        <w:keepNext/>
        <w:widowControl w:val="0"/>
        <w:tabs>
          <w:tab w:val="left" w:pos="1134"/>
          <w:tab w:val="right" w:pos="5387"/>
          <w:tab w:val="right" w:pos="8222"/>
        </w:tabs>
        <w:spacing w:after="0" w:line="360" w:lineRule="auto"/>
        <w:rPr>
          <w:rFonts w:cs="Arial"/>
          <w:szCs w:val="24"/>
        </w:rPr>
      </w:pPr>
      <w:r w:rsidRPr="005E432D">
        <w:rPr>
          <w:rFonts w:cs="Arial"/>
          <w:b/>
          <w:szCs w:val="24"/>
        </w:rPr>
        <w:t>5.1 Artículo</w:t>
      </w:r>
      <w:r w:rsidRPr="005E432D">
        <w:rPr>
          <w:rFonts w:cs="Arial"/>
          <w:b/>
          <w:szCs w:val="24"/>
          <w:lang w:val="es-ES_tradnl"/>
        </w:rPr>
        <w:t xml:space="preserve"> 191 de la Constitución de l</w:t>
      </w:r>
      <w:r>
        <w:rPr>
          <w:rFonts w:cs="Arial"/>
          <w:b/>
          <w:szCs w:val="24"/>
          <w:lang w:val="es-ES_tradnl"/>
        </w:rPr>
        <w:t>a República, Artículo 1° de la L</w:t>
      </w:r>
      <w:r w:rsidRPr="005E432D">
        <w:rPr>
          <w:rFonts w:cs="Arial"/>
          <w:b/>
          <w:szCs w:val="24"/>
          <w:lang w:val="es-ES_tradnl"/>
        </w:rPr>
        <w:t>ey 17.040</w:t>
      </w:r>
      <w:r>
        <w:rPr>
          <w:rFonts w:cs="Arial"/>
          <w:b/>
          <w:szCs w:val="24"/>
          <w:lang w:val="es-ES_tradnl"/>
        </w:rPr>
        <w:t>, Artículo 5°</w:t>
      </w:r>
      <w:r w:rsidRPr="005E432D">
        <w:rPr>
          <w:rFonts w:cs="Arial"/>
          <w:b/>
          <w:szCs w:val="24"/>
          <w:lang w:val="es-ES_tradnl"/>
        </w:rPr>
        <w:t xml:space="preserve"> </w:t>
      </w:r>
      <w:r>
        <w:rPr>
          <w:rFonts w:cs="Arial"/>
          <w:b/>
          <w:szCs w:val="24"/>
          <w:lang w:val="es-ES_tradnl"/>
        </w:rPr>
        <w:t xml:space="preserve">de la Ley 18.381 </w:t>
      </w:r>
      <w:r w:rsidRPr="005E432D">
        <w:rPr>
          <w:rFonts w:cs="Arial"/>
          <w:b/>
          <w:szCs w:val="24"/>
          <w:lang w:val="es-ES_tradnl"/>
        </w:rPr>
        <w:t xml:space="preserve">y Numeral 30 de la </w:t>
      </w:r>
      <w:r>
        <w:rPr>
          <w:rFonts w:cs="Arial"/>
          <w:b/>
          <w:szCs w:val="24"/>
          <w:lang w:val="es-ES_tradnl"/>
        </w:rPr>
        <w:t>Ordenanza 81 del T</w:t>
      </w:r>
      <w:r w:rsidRPr="005E432D">
        <w:rPr>
          <w:rFonts w:cs="Arial"/>
          <w:b/>
          <w:szCs w:val="24"/>
          <w:lang w:val="es-ES_tradnl"/>
        </w:rPr>
        <w:t>ribunal de Cuentas</w:t>
      </w:r>
    </w:p>
    <w:p w:rsidR="001D2594" w:rsidRPr="005E432D" w:rsidRDefault="001D2594" w:rsidP="00ED6474">
      <w:pPr>
        <w:keepNext/>
        <w:widowControl w:val="0"/>
        <w:spacing w:after="0" w:line="360" w:lineRule="auto"/>
        <w:ind w:left="426"/>
        <w:rPr>
          <w:rFonts w:eastAsia="Times New Roman" w:cs="Arial"/>
          <w:bCs/>
          <w:szCs w:val="24"/>
          <w:lang w:val="es-ES" w:eastAsia="es-ES"/>
        </w:rPr>
      </w:pPr>
      <w:r w:rsidRPr="005E432D">
        <w:rPr>
          <w:rFonts w:eastAsia="Times New Roman" w:cs="Arial"/>
          <w:bCs/>
          <w:szCs w:val="24"/>
          <w:lang w:val="es-ES" w:eastAsia="es-ES"/>
        </w:rPr>
        <w:t xml:space="preserve">Los Estados Financieros </w:t>
      </w:r>
      <w:r>
        <w:rPr>
          <w:rFonts w:eastAsia="Times New Roman" w:cs="Arial"/>
          <w:bCs/>
          <w:szCs w:val="24"/>
          <w:lang w:val="es-ES" w:eastAsia="es-ES"/>
        </w:rPr>
        <w:t>Consolidados e Individuales de ANCAP al 31/12/</w:t>
      </w:r>
      <w:r w:rsidRPr="005E432D">
        <w:rPr>
          <w:rFonts w:eastAsia="Times New Roman" w:cs="Arial"/>
          <w:bCs/>
          <w:szCs w:val="24"/>
          <w:lang w:val="es-ES" w:eastAsia="es-ES"/>
        </w:rPr>
        <w:t>15</w:t>
      </w:r>
      <w:r>
        <w:rPr>
          <w:rFonts w:eastAsia="Times New Roman" w:cs="Arial"/>
          <w:bCs/>
          <w:szCs w:val="24"/>
          <w:lang w:val="es-ES" w:eastAsia="es-ES"/>
        </w:rPr>
        <w:t>,</w:t>
      </w:r>
      <w:r w:rsidRPr="005E432D">
        <w:rPr>
          <w:rFonts w:eastAsia="Times New Roman" w:cs="Arial"/>
          <w:bCs/>
          <w:szCs w:val="24"/>
          <w:lang w:val="es-ES" w:eastAsia="es-ES"/>
        </w:rPr>
        <w:t xml:space="preserve"> fueron dictaminados por el Tribunal de Cuentas en sesión de fecha  23/11/2016 y remitidos al Organismo por Oficio de fecha 2/12/2016.</w:t>
      </w:r>
    </w:p>
    <w:p w:rsidR="001D2594" w:rsidRPr="005E432D" w:rsidRDefault="001D2594" w:rsidP="00ED6474">
      <w:pPr>
        <w:keepNext/>
        <w:widowControl w:val="0"/>
        <w:spacing w:after="0" w:line="360" w:lineRule="auto"/>
        <w:ind w:left="426"/>
        <w:rPr>
          <w:rFonts w:eastAsia="Times New Roman" w:cs="Arial"/>
          <w:bCs/>
          <w:sz w:val="20"/>
          <w:szCs w:val="20"/>
          <w:lang w:eastAsia="es-ES"/>
        </w:rPr>
      </w:pPr>
      <w:r w:rsidRPr="005E432D">
        <w:rPr>
          <w:rFonts w:eastAsia="Times New Roman" w:cs="Arial"/>
          <w:bCs/>
          <w:szCs w:val="24"/>
          <w:lang w:val="es-ES" w:eastAsia="es-ES"/>
        </w:rPr>
        <w:t xml:space="preserve">El organismo publicó los </w:t>
      </w:r>
      <w:r>
        <w:rPr>
          <w:rFonts w:eastAsia="Times New Roman" w:cs="Arial"/>
          <w:bCs/>
          <w:szCs w:val="24"/>
          <w:lang w:val="es-ES" w:eastAsia="es-ES"/>
        </w:rPr>
        <w:t>mencionados Estados Financieros</w:t>
      </w:r>
      <w:r w:rsidRPr="005E432D">
        <w:rPr>
          <w:rFonts w:eastAsia="Times New Roman" w:cs="Arial"/>
          <w:bCs/>
          <w:szCs w:val="24"/>
          <w:lang w:val="es-ES" w:eastAsia="es-ES"/>
        </w:rPr>
        <w:t xml:space="preserve"> con fecha 15/7/2016 en dos diarios de circulación Nacional (La República y el Observador)</w:t>
      </w:r>
      <w:r>
        <w:rPr>
          <w:rFonts w:eastAsia="Times New Roman" w:cs="Arial"/>
          <w:bCs/>
          <w:szCs w:val="24"/>
          <w:lang w:val="es-ES" w:eastAsia="es-ES"/>
        </w:rPr>
        <w:t xml:space="preserve"> sin contar con el Dictamen del Tribunal de Cuentas</w:t>
      </w:r>
      <w:r w:rsidRPr="005E432D">
        <w:rPr>
          <w:rFonts w:eastAsia="Times New Roman" w:cs="Arial"/>
          <w:bCs/>
          <w:szCs w:val="24"/>
          <w:lang w:val="es-ES" w:eastAsia="es-ES"/>
        </w:rPr>
        <w:t xml:space="preserve">. Dicha publicación la realizó de acuerdo con la Resolución de Directorio documentada en </w:t>
      </w:r>
      <w:proofErr w:type="spellStart"/>
      <w:r w:rsidRPr="005E432D">
        <w:rPr>
          <w:rFonts w:eastAsia="Times New Roman" w:cs="Arial"/>
          <w:bCs/>
          <w:szCs w:val="24"/>
          <w:lang w:val="es-ES" w:eastAsia="es-ES"/>
        </w:rPr>
        <w:t>Exp</w:t>
      </w:r>
      <w:proofErr w:type="spellEnd"/>
      <w:r w:rsidRPr="005E432D">
        <w:rPr>
          <w:rFonts w:eastAsia="Times New Roman" w:cs="Arial"/>
          <w:bCs/>
          <w:szCs w:val="24"/>
          <w:lang w:val="es-ES" w:eastAsia="es-ES"/>
        </w:rPr>
        <w:t xml:space="preserve">. 250959/0, </w:t>
      </w:r>
      <w:proofErr w:type="gramStart"/>
      <w:r w:rsidRPr="005E432D">
        <w:rPr>
          <w:rFonts w:eastAsia="Times New Roman" w:cs="Arial"/>
          <w:bCs/>
          <w:szCs w:val="24"/>
          <w:lang w:val="es-ES" w:eastAsia="es-ES"/>
        </w:rPr>
        <w:t>en</w:t>
      </w:r>
      <w:proofErr w:type="gramEnd"/>
      <w:r w:rsidRPr="005E432D">
        <w:rPr>
          <w:rFonts w:eastAsia="Times New Roman" w:cs="Arial"/>
          <w:bCs/>
          <w:szCs w:val="24"/>
          <w:lang w:val="es-ES" w:eastAsia="es-ES"/>
        </w:rPr>
        <w:t xml:space="preserve"> la misma se ”dispone la publicación de los Estados Contables correspondientes a 2015, en la forma establecida por la normativa vigente conjuntamente con el dictamen del Tribunal de Cuentas de la República o, de no contarse con éste, a más tardar el 30/6/2016, debiéndose en ese caso dejar la constancia respectiva de que no se ha contado a esa fecha con el referido Dictamen</w:t>
      </w:r>
      <w:r w:rsidR="008A6896">
        <w:rPr>
          <w:rFonts w:eastAsia="Times New Roman" w:cs="Arial"/>
          <w:bCs/>
          <w:szCs w:val="24"/>
          <w:lang w:val="es-ES" w:eastAsia="es-ES"/>
        </w:rPr>
        <w:t>.</w:t>
      </w:r>
    </w:p>
    <w:p w:rsidR="001D2594" w:rsidRPr="005E432D" w:rsidRDefault="001D2594" w:rsidP="008A6896">
      <w:pPr>
        <w:keepNext/>
        <w:widowControl w:val="0"/>
        <w:spacing w:after="0" w:line="360" w:lineRule="auto"/>
        <w:ind w:left="426"/>
        <w:rPr>
          <w:rFonts w:eastAsia="Times New Roman" w:cs="Arial"/>
          <w:bCs/>
          <w:szCs w:val="24"/>
          <w:lang w:val="es-ES" w:eastAsia="es-ES"/>
        </w:rPr>
      </w:pPr>
      <w:r w:rsidRPr="005E432D">
        <w:rPr>
          <w:rFonts w:eastAsia="Times New Roman" w:cs="Arial"/>
          <w:bCs/>
          <w:szCs w:val="24"/>
          <w:lang w:val="es-ES" w:eastAsia="es-ES"/>
        </w:rPr>
        <w:t>ANCAP no dio cumplimiento a lo establecido en las citadas normas, al no publicar en dos periódicos de circulación nacional los estados financieros individuales y consolidados con Dictamen de auditoría del Tribunal de Cuentas corr</w:t>
      </w:r>
      <w:r w:rsidR="008A6896">
        <w:rPr>
          <w:rFonts w:eastAsia="Times New Roman" w:cs="Arial"/>
          <w:bCs/>
          <w:szCs w:val="24"/>
          <w:lang w:val="es-ES" w:eastAsia="es-ES"/>
        </w:rPr>
        <w:t>espondientes al ejercicio 2015.</w:t>
      </w:r>
    </w:p>
    <w:p w:rsidR="001D2594" w:rsidRPr="005E432D" w:rsidRDefault="001D2594" w:rsidP="00ED6474">
      <w:pPr>
        <w:keepNext/>
        <w:widowControl w:val="0"/>
        <w:spacing w:after="0" w:line="360" w:lineRule="auto"/>
        <w:jc w:val="left"/>
        <w:rPr>
          <w:rFonts w:eastAsia="Times New Roman" w:cs="Arial"/>
          <w:bCs/>
          <w:szCs w:val="24"/>
          <w:lang w:val="es-ES" w:eastAsia="es-ES"/>
        </w:rPr>
      </w:pPr>
    </w:p>
    <w:p w:rsidR="001D2594" w:rsidRPr="005E432D" w:rsidRDefault="001D2594" w:rsidP="00ED6474">
      <w:pPr>
        <w:keepNext/>
        <w:widowControl w:val="0"/>
        <w:spacing w:line="360" w:lineRule="auto"/>
        <w:ind w:left="426"/>
        <w:rPr>
          <w:rFonts w:cs="Arial"/>
          <w:szCs w:val="24"/>
          <w:lang w:val="es-ES_tradnl"/>
        </w:rPr>
      </w:pPr>
      <w:r w:rsidRPr="005E432D">
        <w:rPr>
          <w:rFonts w:cs="Arial"/>
          <w:b/>
          <w:szCs w:val="24"/>
        </w:rPr>
        <w:t>5.2 Artículo 267 de la ley 18.834: Autorización del Poder Ejecutivo para</w:t>
      </w:r>
      <w:r w:rsidRPr="005E432D">
        <w:rPr>
          <w:rFonts w:cs="Arial"/>
          <w:b/>
          <w:szCs w:val="24"/>
          <w:lang w:val="es-ES_tradnl"/>
        </w:rPr>
        <w:t xml:space="preserve"> contratar financiamiento.</w:t>
      </w:r>
    </w:p>
    <w:p w:rsidR="001D2594" w:rsidRPr="005E432D" w:rsidRDefault="001D2594" w:rsidP="00ED6474">
      <w:pPr>
        <w:keepNext/>
        <w:widowControl w:val="0"/>
        <w:spacing w:line="360" w:lineRule="auto"/>
        <w:ind w:left="426"/>
        <w:rPr>
          <w:rStyle w:val="object"/>
          <w:rFonts w:cs="Arial"/>
          <w:szCs w:val="24"/>
        </w:rPr>
      </w:pPr>
      <w:r w:rsidRPr="005E432D">
        <w:rPr>
          <w:rFonts w:cs="Arial"/>
          <w:szCs w:val="24"/>
          <w:lang w:val="es-ES_tradnl"/>
        </w:rPr>
        <w:t>Las fianzas solidarias suscritas por ANCAP para la financiación de la construcción de la Planta de Etanol de ALUR S.A. superan el importe de U$S107:000.000 autorizado por Resolución del Poder Ejecutivo</w:t>
      </w:r>
      <w:r w:rsidRPr="005E432D">
        <w:rPr>
          <w:rFonts w:cs="Arial"/>
          <w:color w:val="000000"/>
          <w:szCs w:val="24"/>
        </w:rPr>
        <w:t xml:space="preserve"> de fecha </w:t>
      </w:r>
      <w:r w:rsidRPr="005E432D">
        <w:rPr>
          <w:rStyle w:val="object"/>
          <w:rFonts w:cs="Arial"/>
          <w:szCs w:val="24"/>
        </w:rPr>
        <w:t>24/04/2013</w:t>
      </w:r>
      <w:r w:rsidRPr="00452AF8">
        <w:rPr>
          <w:rStyle w:val="object"/>
          <w:rFonts w:cs="Arial"/>
          <w:szCs w:val="24"/>
        </w:rPr>
        <w:t>. En marzo de 2014 ALUR S.A. solicitó autorización al Poder Ejecutivo para endeudarse en U$S 40.000.000, con fecha 24/11/2014 el Ministerio de Economía y Finanzas comunica a ANCAP que no puede acceder a la solicitud planteada por ALUR S.A.</w:t>
      </w:r>
    </w:p>
    <w:p w:rsidR="001D2594" w:rsidRPr="005E432D" w:rsidRDefault="001D2594" w:rsidP="00ED6474">
      <w:pPr>
        <w:keepNext/>
        <w:widowControl w:val="0"/>
        <w:spacing w:after="0" w:line="360" w:lineRule="auto"/>
        <w:ind w:left="426"/>
        <w:rPr>
          <w:rFonts w:eastAsia="Times New Roman" w:cs="Arial"/>
          <w:szCs w:val="24"/>
          <w:lang w:val="es-ES" w:eastAsia="es-ES"/>
        </w:rPr>
      </w:pPr>
      <w:r w:rsidRPr="005E432D">
        <w:rPr>
          <w:rFonts w:eastAsia="Times New Roman" w:cs="Arial"/>
          <w:b/>
          <w:szCs w:val="24"/>
          <w:lang w:val="es-ES" w:eastAsia="es-ES"/>
        </w:rPr>
        <w:t>5.3</w:t>
      </w:r>
      <w:r>
        <w:rPr>
          <w:rFonts w:eastAsia="Times New Roman" w:cs="Arial"/>
          <w:b/>
          <w:szCs w:val="24"/>
          <w:lang w:val="es-ES" w:eastAsia="es-ES"/>
        </w:rPr>
        <w:t xml:space="preserve"> Numerales</w:t>
      </w:r>
      <w:r w:rsidRPr="005E432D">
        <w:rPr>
          <w:rFonts w:eastAsia="Times New Roman" w:cs="Arial"/>
          <w:b/>
          <w:szCs w:val="24"/>
          <w:lang w:val="es-ES" w:eastAsia="es-ES"/>
        </w:rPr>
        <w:t xml:space="preserve"> 15 y 27 de la Ordenanza 81</w:t>
      </w:r>
    </w:p>
    <w:p w:rsidR="001D2594" w:rsidRPr="005E432D" w:rsidRDefault="001D2594" w:rsidP="00ED6474">
      <w:pPr>
        <w:keepNext/>
        <w:widowControl w:val="0"/>
        <w:spacing w:after="0" w:line="360" w:lineRule="auto"/>
        <w:ind w:left="426"/>
        <w:rPr>
          <w:rFonts w:eastAsia="Times New Roman" w:cs="Arial"/>
          <w:szCs w:val="24"/>
          <w:lang w:val="es-ES" w:eastAsia="es-ES"/>
        </w:rPr>
      </w:pPr>
      <w:r w:rsidRPr="005E432D">
        <w:rPr>
          <w:rFonts w:eastAsia="Times New Roman" w:cs="Arial"/>
          <w:szCs w:val="24"/>
          <w:lang w:val="es-ES" w:eastAsia="es-ES"/>
        </w:rPr>
        <w:t>El Organismo remitió al Tribunal de Cuentas los Estados Financieros consolidados e individuales con fecha 27/3/2017. Se omitió adjuntar la memoria explicativa de dichos estados y los mismos no cuentan con la firma del Contador General o quien haga sus veces.</w:t>
      </w:r>
    </w:p>
    <w:p w:rsidR="001D2594" w:rsidRDefault="001D2594" w:rsidP="00ED6474">
      <w:pPr>
        <w:keepNext/>
        <w:widowControl w:val="0"/>
        <w:spacing w:after="0" w:line="360" w:lineRule="auto"/>
        <w:ind w:left="426"/>
        <w:rPr>
          <w:rFonts w:cs="Arial"/>
          <w:b/>
          <w:szCs w:val="24"/>
        </w:rPr>
      </w:pPr>
    </w:p>
    <w:p w:rsidR="001D2594" w:rsidRPr="005E432D" w:rsidRDefault="001D2594" w:rsidP="00ED6474">
      <w:pPr>
        <w:keepNext/>
        <w:widowControl w:val="0"/>
        <w:numPr>
          <w:ilvl w:val="0"/>
          <w:numId w:val="1"/>
        </w:numPr>
        <w:tabs>
          <w:tab w:val="clear" w:pos="720"/>
          <w:tab w:val="num" w:pos="426"/>
        </w:tabs>
        <w:spacing w:after="0" w:line="360" w:lineRule="auto"/>
        <w:ind w:left="426" w:hanging="426"/>
        <w:rPr>
          <w:rFonts w:cs="Arial"/>
          <w:b/>
          <w:szCs w:val="24"/>
        </w:rPr>
      </w:pPr>
      <w:r w:rsidRPr="005E432D">
        <w:rPr>
          <w:rFonts w:cs="Arial"/>
          <w:b/>
          <w:szCs w:val="24"/>
        </w:rPr>
        <w:t>Recomendaciones</w:t>
      </w:r>
    </w:p>
    <w:p w:rsidR="001D2594" w:rsidRPr="005E432D" w:rsidRDefault="001D2594" w:rsidP="00ED6474">
      <w:pPr>
        <w:keepNext/>
        <w:widowControl w:val="0"/>
        <w:spacing w:after="0" w:line="360" w:lineRule="auto"/>
        <w:ind w:left="426"/>
        <w:rPr>
          <w:rFonts w:cs="Arial"/>
          <w:b/>
          <w:szCs w:val="24"/>
        </w:rPr>
      </w:pPr>
      <w:r w:rsidRPr="005E432D">
        <w:rPr>
          <w:rFonts w:cs="Arial"/>
          <w:b/>
          <w:szCs w:val="24"/>
        </w:rPr>
        <w:t>6.1) Recomendaciones de ejercicios anteriores</w:t>
      </w:r>
    </w:p>
    <w:p w:rsidR="001D2594" w:rsidRPr="005E432D" w:rsidRDefault="001D2594" w:rsidP="00ED6474">
      <w:pPr>
        <w:keepNext/>
        <w:widowControl w:val="0"/>
        <w:spacing w:after="0" w:line="360" w:lineRule="auto"/>
        <w:ind w:left="426"/>
        <w:rPr>
          <w:rFonts w:cs="Arial"/>
          <w:szCs w:val="24"/>
        </w:rPr>
      </w:pPr>
      <w:r w:rsidRPr="005E432D">
        <w:rPr>
          <w:rFonts w:cs="Arial"/>
          <w:b/>
          <w:szCs w:val="24"/>
        </w:rPr>
        <w:t>6.1.1) Cumplidas</w:t>
      </w:r>
    </w:p>
    <w:p w:rsidR="001D2594" w:rsidRPr="005E432D" w:rsidRDefault="001D2594" w:rsidP="00ED6474">
      <w:pPr>
        <w:pStyle w:val="Textoindependiente"/>
        <w:keepNext/>
        <w:widowControl w:val="0"/>
        <w:spacing w:line="360" w:lineRule="auto"/>
        <w:ind w:left="284"/>
        <w:rPr>
          <w:rFonts w:ascii="Arial" w:hAnsi="Arial" w:cs="Arial"/>
          <w:sz w:val="24"/>
          <w:szCs w:val="24"/>
        </w:rPr>
      </w:pPr>
    </w:p>
    <w:p w:rsidR="001D2594" w:rsidRPr="005E432D" w:rsidRDefault="001D2594" w:rsidP="00ED6474">
      <w:pPr>
        <w:pStyle w:val="Sangra3detindependiente"/>
        <w:keepNext/>
        <w:widowControl w:val="0"/>
        <w:tabs>
          <w:tab w:val="left" w:pos="709"/>
        </w:tabs>
        <w:spacing w:after="0" w:line="360" w:lineRule="auto"/>
        <w:ind w:left="426"/>
        <w:rPr>
          <w:rFonts w:cs="Arial"/>
          <w:sz w:val="24"/>
          <w:szCs w:val="24"/>
        </w:rPr>
      </w:pPr>
      <w:r>
        <w:rPr>
          <w:rFonts w:cs="Arial"/>
          <w:sz w:val="24"/>
          <w:szCs w:val="24"/>
        </w:rPr>
        <w:t xml:space="preserve">6.1.1.1 </w:t>
      </w:r>
      <w:r w:rsidRPr="005E432D">
        <w:rPr>
          <w:rFonts w:cs="Arial"/>
          <w:sz w:val="24"/>
          <w:szCs w:val="24"/>
        </w:rPr>
        <w:t>La Resolución de Directorio RD 919/2016 de 3/11/2016 reduce los montos del Fondo del Tesoro  a $ 800.000 y U$S 50.000.-, procediendo de esta forma a autorizar los montos a mantener disponibles en moneda nacional y en d</w:t>
      </w:r>
      <w:r w:rsidR="008A6896">
        <w:rPr>
          <w:rFonts w:cs="Arial"/>
          <w:sz w:val="24"/>
          <w:szCs w:val="24"/>
        </w:rPr>
        <w:t>ólares en el área de Tesorería.</w:t>
      </w:r>
    </w:p>
    <w:p w:rsidR="001D2594" w:rsidRPr="005E432D" w:rsidRDefault="001D2594" w:rsidP="00ED6474">
      <w:pPr>
        <w:pStyle w:val="Prrafodelista"/>
        <w:keepNext/>
        <w:widowControl w:val="0"/>
        <w:spacing w:line="360" w:lineRule="auto"/>
        <w:ind w:left="426"/>
        <w:jc w:val="both"/>
        <w:rPr>
          <w:rFonts w:ascii="Arial" w:hAnsi="Arial" w:cs="Arial"/>
          <w:sz w:val="24"/>
          <w:szCs w:val="24"/>
        </w:rPr>
      </w:pPr>
      <w:r>
        <w:rPr>
          <w:rFonts w:ascii="Arial" w:hAnsi="Arial" w:cs="Arial"/>
          <w:sz w:val="24"/>
          <w:szCs w:val="24"/>
        </w:rPr>
        <w:t xml:space="preserve">6.1.1.2 </w:t>
      </w:r>
      <w:r w:rsidRPr="005E432D">
        <w:rPr>
          <w:rFonts w:ascii="Arial" w:hAnsi="Arial" w:cs="Arial"/>
          <w:sz w:val="24"/>
          <w:szCs w:val="24"/>
        </w:rPr>
        <w:t>Durante el ejercicio examinado, el Organismo remitió al Poder Ejecutivo la documentación requerida, referente a la gestión de las sociedades y toda otra documentación de carácter contable, jurídico o empresarial en cumplimiento con el Art. 7 de la Ley 17.292 de fecha 25/01/2001</w:t>
      </w:r>
      <w:r w:rsidR="008A6896">
        <w:rPr>
          <w:rFonts w:ascii="Arial" w:hAnsi="Arial" w:cs="Arial"/>
          <w:sz w:val="24"/>
          <w:szCs w:val="24"/>
        </w:rPr>
        <w:t>.</w:t>
      </w:r>
    </w:p>
    <w:p w:rsidR="001D2594" w:rsidRPr="005E432D" w:rsidRDefault="001D2594" w:rsidP="00ED6474">
      <w:pPr>
        <w:pStyle w:val="Prrafodelista"/>
        <w:keepNext/>
        <w:widowControl w:val="0"/>
        <w:spacing w:line="360" w:lineRule="auto"/>
        <w:ind w:left="426"/>
        <w:jc w:val="both"/>
        <w:rPr>
          <w:rFonts w:ascii="Arial" w:hAnsi="Arial" w:cs="Arial"/>
          <w:sz w:val="24"/>
          <w:szCs w:val="24"/>
        </w:rPr>
      </w:pPr>
      <w:r>
        <w:rPr>
          <w:rFonts w:ascii="Arial" w:hAnsi="Arial" w:cs="Arial"/>
          <w:sz w:val="24"/>
          <w:szCs w:val="24"/>
        </w:rPr>
        <w:t xml:space="preserve">6.1.1.3 </w:t>
      </w:r>
      <w:r w:rsidRPr="005E432D">
        <w:rPr>
          <w:rFonts w:ascii="Arial" w:hAnsi="Arial" w:cs="Arial"/>
          <w:sz w:val="24"/>
          <w:szCs w:val="24"/>
        </w:rPr>
        <w:t>El Organismo está llevando adelante una tarea de regularización de los anticipos a “BPS-Obras” lo que determina que se haya reducido sustancialmente el monto de los anticipos</w:t>
      </w:r>
      <w:r w:rsidR="008A6896">
        <w:rPr>
          <w:rFonts w:ascii="Arial" w:hAnsi="Arial" w:cs="Arial"/>
          <w:sz w:val="24"/>
          <w:szCs w:val="24"/>
        </w:rPr>
        <w:t>.</w:t>
      </w:r>
    </w:p>
    <w:p w:rsidR="001D2594" w:rsidRPr="005E432D" w:rsidRDefault="001D2594" w:rsidP="00ED6474">
      <w:pPr>
        <w:pStyle w:val="Prrafodelista"/>
        <w:keepNext/>
        <w:widowControl w:val="0"/>
        <w:spacing w:line="360" w:lineRule="auto"/>
        <w:ind w:left="426"/>
        <w:jc w:val="both"/>
        <w:rPr>
          <w:rFonts w:ascii="Arial" w:hAnsi="Arial" w:cs="Arial"/>
          <w:sz w:val="24"/>
          <w:szCs w:val="24"/>
        </w:rPr>
      </w:pPr>
      <w:r>
        <w:rPr>
          <w:rFonts w:ascii="Arial" w:hAnsi="Arial" w:cs="Arial"/>
          <w:sz w:val="24"/>
          <w:szCs w:val="24"/>
        </w:rPr>
        <w:t xml:space="preserve">6.1.1.4 </w:t>
      </w:r>
      <w:r w:rsidRPr="005E432D">
        <w:rPr>
          <w:rFonts w:ascii="Arial" w:hAnsi="Arial" w:cs="Arial"/>
          <w:sz w:val="24"/>
          <w:szCs w:val="24"/>
        </w:rPr>
        <w:t>El Organismo ha  ajustado los procedimientos de facturación a UTE a efectos de no dilatar en el tiempo la documentación de dife</w:t>
      </w:r>
      <w:r w:rsidR="008A6896">
        <w:rPr>
          <w:rFonts w:ascii="Arial" w:hAnsi="Arial" w:cs="Arial"/>
          <w:sz w:val="24"/>
          <w:szCs w:val="24"/>
        </w:rPr>
        <w:t>rencias con precios estimados.</w:t>
      </w:r>
    </w:p>
    <w:p w:rsidR="001D2594" w:rsidRPr="005E432D" w:rsidRDefault="001D2594" w:rsidP="00ED6474">
      <w:pPr>
        <w:pStyle w:val="Prrafodelista"/>
        <w:keepNext/>
        <w:widowControl w:val="0"/>
        <w:spacing w:line="360" w:lineRule="auto"/>
        <w:ind w:left="426"/>
        <w:jc w:val="both"/>
        <w:rPr>
          <w:rFonts w:ascii="Arial" w:hAnsi="Arial" w:cs="Arial"/>
          <w:sz w:val="24"/>
          <w:szCs w:val="24"/>
        </w:rPr>
      </w:pPr>
      <w:r>
        <w:rPr>
          <w:rFonts w:ascii="Arial" w:hAnsi="Arial" w:cs="Arial"/>
          <w:sz w:val="24"/>
          <w:szCs w:val="24"/>
        </w:rPr>
        <w:t xml:space="preserve">6.1.1.5 </w:t>
      </w:r>
      <w:r w:rsidRPr="005E432D">
        <w:rPr>
          <w:rFonts w:ascii="Arial" w:hAnsi="Arial" w:cs="Arial"/>
          <w:sz w:val="24"/>
          <w:szCs w:val="24"/>
        </w:rPr>
        <w:t>El Organismo Informa que para dar de baja matriculas de activo fijo informadas por los responsables de los bienes, en el módulo de Activo Fijo  y en el sistema SAP, el sector contable requiere la autorización previa del gerente respectivo.</w:t>
      </w:r>
    </w:p>
    <w:p w:rsidR="001D2594" w:rsidRPr="005E432D" w:rsidRDefault="001D2594" w:rsidP="00ED6474">
      <w:pPr>
        <w:pStyle w:val="Prrafodelista"/>
        <w:keepNext/>
        <w:widowControl w:val="0"/>
        <w:spacing w:line="360" w:lineRule="auto"/>
        <w:ind w:left="426"/>
        <w:jc w:val="both"/>
        <w:rPr>
          <w:rFonts w:ascii="Arial" w:hAnsi="Arial" w:cs="Arial"/>
          <w:sz w:val="24"/>
          <w:szCs w:val="24"/>
        </w:rPr>
      </w:pPr>
      <w:r>
        <w:rPr>
          <w:rFonts w:ascii="Arial" w:hAnsi="Arial" w:cs="Arial"/>
          <w:sz w:val="24"/>
          <w:szCs w:val="24"/>
        </w:rPr>
        <w:t xml:space="preserve">6.1.1.6 </w:t>
      </w:r>
      <w:r w:rsidRPr="005E432D">
        <w:rPr>
          <w:rFonts w:ascii="Arial" w:hAnsi="Arial" w:cs="Arial"/>
          <w:sz w:val="24"/>
          <w:szCs w:val="24"/>
        </w:rPr>
        <w:t>En 2016 se procedió a brindar una mayor apertura de los “Otros Ingresos” en la Nota  Nº 8 referente a los mismos.</w:t>
      </w:r>
    </w:p>
    <w:p w:rsidR="001D2594" w:rsidRPr="005E432D" w:rsidRDefault="001D2594" w:rsidP="00ED6474">
      <w:pPr>
        <w:pStyle w:val="Textoindependiente2"/>
        <w:keepNext/>
        <w:widowControl w:val="0"/>
        <w:spacing w:line="240" w:lineRule="auto"/>
        <w:ind w:left="426"/>
        <w:rPr>
          <w:rFonts w:cs="Arial"/>
          <w:b/>
          <w:szCs w:val="24"/>
        </w:rPr>
      </w:pPr>
      <w:r w:rsidRPr="005E432D">
        <w:rPr>
          <w:rFonts w:cs="Arial"/>
          <w:b/>
          <w:szCs w:val="24"/>
        </w:rPr>
        <w:t>6.1.2) No Cumplidas</w:t>
      </w:r>
    </w:p>
    <w:p w:rsidR="001D2594" w:rsidRPr="005E432D" w:rsidRDefault="001D2594" w:rsidP="00ED6474">
      <w:pPr>
        <w:pStyle w:val="Textoindependiente2"/>
        <w:keepNext/>
        <w:widowControl w:val="0"/>
        <w:spacing w:line="360" w:lineRule="auto"/>
        <w:ind w:left="426"/>
        <w:rPr>
          <w:rFonts w:cs="Arial"/>
          <w:szCs w:val="24"/>
        </w:rPr>
      </w:pPr>
      <w:r w:rsidRPr="005E432D">
        <w:rPr>
          <w:rFonts w:cs="Arial"/>
          <w:szCs w:val="24"/>
        </w:rPr>
        <w:t>ANCAP no ha implementado medidas correctivas respecto a los siguientes aspectos:</w:t>
      </w:r>
    </w:p>
    <w:p w:rsidR="001D2594" w:rsidRPr="005E432D" w:rsidRDefault="001D2594" w:rsidP="00ED6474">
      <w:pPr>
        <w:keepNext/>
        <w:widowControl w:val="0"/>
        <w:spacing w:after="260" w:line="360" w:lineRule="auto"/>
        <w:ind w:left="426"/>
        <w:rPr>
          <w:rFonts w:cs="Arial"/>
          <w:color w:val="000000"/>
          <w:szCs w:val="24"/>
          <w:shd w:val="clear" w:color="auto" w:fill="FFFFFF"/>
        </w:rPr>
      </w:pPr>
      <w:r w:rsidRPr="005E432D">
        <w:rPr>
          <w:rFonts w:cs="Arial"/>
          <w:b/>
          <w:szCs w:val="24"/>
        </w:rPr>
        <w:t>6.1.2.1</w:t>
      </w:r>
      <w:r w:rsidRPr="005E432D">
        <w:rPr>
          <w:rFonts w:cs="Arial"/>
          <w:szCs w:val="24"/>
        </w:rPr>
        <w:t xml:space="preserve"> </w:t>
      </w:r>
      <w:r w:rsidRPr="005E432D">
        <w:rPr>
          <w:rFonts w:cs="Arial"/>
          <w:szCs w:val="24"/>
          <w:lang w:val="es-ES_tradnl"/>
        </w:rPr>
        <w:t>Realizar las publicaciones de los estados financieros individuales y consolidados con dictamen de auditoría del Tribunal de Cuentas correspondientes al ejercicio 2015 en dos periódicos de circulación nacional, de acuerdo a lo dispuesto en el Artículo 191 de la Constitución de la República, Artículo 1° de la ley 17040 y el Numeral 30 de la Ordenanza 81 del Tribunal de Cuentas y</w:t>
      </w:r>
      <w:r w:rsidR="008A6896">
        <w:rPr>
          <w:rFonts w:cs="Arial"/>
          <w:szCs w:val="24"/>
          <w:lang w:val="es-ES_tradnl"/>
        </w:rPr>
        <w:t xml:space="preserve"> el art. 5 de la ley N° 18.381.</w:t>
      </w:r>
    </w:p>
    <w:p w:rsidR="001D2594" w:rsidRPr="005E432D" w:rsidRDefault="001D2594" w:rsidP="00ED6474">
      <w:pPr>
        <w:keepNext/>
        <w:widowControl w:val="0"/>
        <w:spacing w:line="360" w:lineRule="auto"/>
        <w:ind w:left="426"/>
        <w:rPr>
          <w:rFonts w:cs="Arial"/>
          <w:szCs w:val="24"/>
          <w:lang w:val="es-ES_tradnl"/>
        </w:rPr>
      </w:pPr>
      <w:r w:rsidRPr="005E432D">
        <w:rPr>
          <w:rFonts w:cs="Arial"/>
          <w:b/>
          <w:szCs w:val="24"/>
          <w:lang w:val="es-ES_tradnl"/>
        </w:rPr>
        <w:t>6.1.2.2</w:t>
      </w:r>
      <w:r w:rsidRPr="005E432D">
        <w:rPr>
          <w:rFonts w:cs="Arial"/>
          <w:szCs w:val="24"/>
          <w:lang w:val="es-ES_tradnl"/>
        </w:rPr>
        <w:t xml:space="preserve"> Obtener las autorizaciones del Poder Ejecutivo previstas en el artículo 267 de la ley 18.834 a efectos de contratar financiamiento.</w:t>
      </w:r>
    </w:p>
    <w:p w:rsidR="001D2594" w:rsidRPr="005E432D" w:rsidRDefault="001D2594" w:rsidP="00ED6474">
      <w:pPr>
        <w:keepNext/>
        <w:widowControl w:val="0"/>
        <w:spacing w:line="360" w:lineRule="auto"/>
        <w:ind w:left="426"/>
        <w:rPr>
          <w:rFonts w:cs="Arial"/>
          <w:szCs w:val="24"/>
        </w:rPr>
      </w:pPr>
      <w:r w:rsidRPr="005E432D">
        <w:rPr>
          <w:rFonts w:cs="Arial"/>
          <w:b/>
          <w:szCs w:val="24"/>
        </w:rPr>
        <w:t>6.1.2.3</w:t>
      </w:r>
      <w:r w:rsidRPr="005E432D">
        <w:rPr>
          <w:rFonts w:cs="Arial"/>
          <w:szCs w:val="24"/>
        </w:rPr>
        <w:t xml:space="preserve"> Revelar en Notas de los Estados Financieros Consolidados e Individuales de ANCAP todos los análisis de deterioro de activos, tanto aquellos que dan lugar a ajustes por deterioro, así como aquellos cuyas resultancias verifiquen que los valores en libros de sus activos se ajustan al valor recuperable y expresar los posibles efectos sobre el valor de las inversiones.</w:t>
      </w:r>
    </w:p>
    <w:p w:rsidR="001D2594" w:rsidRPr="005E432D" w:rsidRDefault="001D2594" w:rsidP="00ED6474">
      <w:pPr>
        <w:keepNext/>
        <w:widowControl w:val="0"/>
        <w:spacing w:line="360" w:lineRule="auto"/>
        <w:ind w:left="426"/>
        <w:rPr>
          <w:rFonts w:cs="Arial"/>
          <w:szCs w:val="24"/>
        </w:rPr>
      </w:pPr>
      <w:r w:rsidRPr="005E432D">
        <w:rPr>
          <w:rFonts w:cs="Arial"/>
          <w:b/>
          <w:szCs w:val="24"/>
        </w:rPr>
        <w:t>6.1.2.4</w:t>
      </w:r>
      <w:r w:rsidRPr="005E432D">
        <w:rPr>
          <w:rFonts w:cs="Arial"/>
          <w:szCs w:val="24"/>
        </w:rPr>
        <w:t xml:space="preserve"> Documentar en las Actas de Arqueo el “corte de documentación” que establece la numeración de los comprobantes de ingresos y egresos que fueron considerados en los registros contables, necesario para la verificación de los saldos correspondientes.</w:t>
      </w:r>
    </w:p>
    <w:p w:rsidR="001D2594" w:rsidRPr="005E432D" w:rsidRDefault="001D2594" w:rsidP="00ED6474">
      <w:pPr>
        <w:keepNext/>
        <w:widowControl w:val="0"/>
        <w:spacing w:line="360" w:lineRule="auto"/>
        <w:ind w:left="426"/>
        <w:rPr>
          <w:rFonts w:cs="Arial"/>
          <w:szCs w:val="24"/>
        </w:rPr>
      </w:pPr>
      <w:r w:rsidRPr="005E432D">
        <w:rPr>
          <w:rFonts w:cs="Arial"/>
          <w:b/>
          <w:szCs w:val="24"/>
        </w:rPr>
        <w:t>6.1.2.5</w:t>
      </w:r>
      <w:r w:rsidRPr="005E432D">
        <w:rPr>
          <w:rFonts w:cs="Arial"/>
          <w:szCs w:val="24"/>
        </w:rPr>
        <w:t xml:space="preserve"> Incluir entre los objetivos de gestión Integral de Riesgos los derivados de la suscripción de fianzas, avales, garantías reales y otras genéricas.</w:t>
      </w:r>
    </w:p>
    <w:p w:rsidR="001D2594" w:rsidRPr="005E432D" w:rsidRDefault="001D2594" w:rsidP="00ED6474">
      <w:pPr>
        <w:keepNext/>
        <w:widowControl w:val="0"/>
        <w:spacing w:line="360" w:lineRule="auto"/>
        <w:ind w:left="426"/>
        <w:rPr>
          <w:rFonts w:cs="Arial"/>
          <w:szCs w:val="24"/>
        </w:rPr>
      </w:pPr>
      <w:r w:rsidRPr="005E432D">
        <w:rPr>
          <w:rFonts w:cs="Arial"/>
          <w:b/>
          <w:szCs w:val="24"/>
        </w:rPr>
        <w:t>6.1.2.6</w:t>
      </w:r>
      <w:r w:rsidRPr="005E432D">
        <w:rPr>
          <w:rFonts w:cs="Arial"/>
          <w:szCs w:val="24"/>
        </w:rPr>
        <w:t xml:space="preserve"> Elaborar un manual de procedimientos para el Sector Riesgos que defina qué coberturas se deben contratar en forma centralizada para sus sociedades vinculadas (a través de ANCAP), ya sea sobre bienes de cambio o bienes de uso, y realizar un seguimiento integral de las políticas de riesgo o cobertu</w:t>
      </w:r>
      <w:r w:rsidR="008A6896">
        <w:rPr>
          <w:rFonts w:cs="Arial"/>
          <w:szCs w:val="24"/>
        </w:rPr>
        <w:t>ras contratadas por las mismas.</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rPr>
        <w:t>6.1.2.7</w:t>
      </w:r>
      <w:r w:rsidRPr="005E432D">
        <w:rPr>
          <w:rFonts w:cs="Arial"/>
          <w:szCs w:val="24"/>
        </w:rPr>
        <w:t xml:space="preserve"> Revisar la operativa y documentar en manuales los procedimientos  de la</w:t>
      </w:r>
      <w:r w:rsidRPr="005E432D">
        <w:rPr>
          <w:rFonts w:cs="Arial"/>
          <w:b/>
          <w:szCs w:val="24"/>
        </w:rPr>
        <w:t xml:space="preserve"> </w:t>
      </w:r>
      <w:r w:rsidRPr="005E432D">
        <w:rPr>
          <w:rFonts w:cs="Arial"/>
          <w:szCs w:val="24"/>
          <w:lang w:val="es-ES_tradnl"/>
        </w:rPr>
        <w:t xml:space="preserve"> operativa en Planta Carrasco de “Servicio Logístico” y de “Servicio de Ala”, referidas al abastecimiento de los combustibles </w:t>
      </w:r>
      <w:proofErr w:type="spellStart"/>
      <w:r w:rsidRPr="005E432D">
        <w:rPr>
          <w:rFonts w:cs="Arial"/>
          <w:szCs w:val="24"/>
          <w:lang w:val="es-ES_tradnl"/>
        </w:rPr>
        <w:t>AvGas</w:t>
      </w:r>
      <w:proofErr w:type="spellEnd"/>
      <w:r w:rsidRPr="005E432D">
        <w:rPr>
          <w:rFonts w:cs="Arial"/>
          <w:szCs w:val="24"/>
          <w:lang w:val="es-ES_tradnl"/>
        </w:rPr>
        <w:t xml:space="preserve"> y Jet A1 que en la actualidad no incluyen controles internos realizados por personal ajeno a la División Combustible.</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lang w:val="es-ES_tradnl"/>
        </w:rPr>
        <w:t xml:space="preserve">6.1.2.8 </w:t>
      </w:r>
      <w:r w:rsidRPr="005E432D">
        <w:rPr>
          <w:rFonts w:cs="Arial"/>
          <w:szCs w:val="24"/>
          <w:lang w:val="es-ES_tradnl"/>
        </w:rPr>
        <w:t xml:space="preserve">Documentar y registrar contablemente en el sistema informático SAP los préstamos y devoluciones de combustible para aeronaves efectuados por la empresa </w:t>
      </w:r>
      <w:proofErr w:type="spellStart"/>
      <w:r w:rsidRPr="005E432D">
        <w:rPr>
          <w:rFonts w:cs="Arial"/>
          <w:szCs w:val="24"/>
          <w:lang w:val="es-ES_tradnl"/>
        </w:rPr>
        <w:t>Petrobrás</w:t>
      </w:r>
      <w:proofErr w:type="spellEnd"/>
      <w:r w:rsidRPr="005E432D">
        <w:rPr>
          <w:rFonts w:cs="Arial"/>
          <w:szCs w:val="24"/>
          <w:lang w:val="es-ES_tradnl"/>
        </w:rPr>
        <w:t xml:space="preserve"> a la Planta Carrasco de ANCAP, incluyendo los debidos controles por parte de personal ajeno a la División Combustible.</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lang w:val="es-ES_tradnl"/>
        </w:rPr>
        <w:t>6.1.2.9</w:t>
      </w:r>
      <w:r w:rsidRPr="005E432D">
        <w:rPr>
          <w:rFonts w:cs="Arial"/>
          <w:szCs w:val="24"/>
          <w:lang w:val="es-ES_tradnl"/>
        </w:rPr>
        <w:t xml:space="preserve"> Establecer el registro y control por parte de terceros ajenos a la operativa, con relación a la recepción, custodia, mantenimiento y aplicación de los bienes de terceros que se mantienen y utilizan  en la Planta de Producción de Lubricantes</w:t>
      </w:r>
      <w:r>
        <w:rPr>
          <w:rFonts w:cs="Arial"/>
          <w:szCs w:val="24"/>
          <w:lang w:val="es-ES_tradnl"/>
        </w:rPr>
        <w:t xml:space="preserve">, así como a </w:t>
      </w:r>
      <w:r w:rsidRPr="005E432D">
        <w:rPr>
          <w:rFonts w:cs="Arial"/>
          <w:szCs w:val="24"/>
        </w:rPr>
        <w:t>envases, bolsas y bolsones pertenecientes a Cementos del Plata que se mantienen y utilizan  en la Planta de Portland-Paysandú</w:t>
      </w:r>
      <w:r>
        <w:rPr>
          <w:rFonts w:cs="Arial"/>
          <w:szCs w:val="24"/>
        </w:rPr>
        <w:t>.</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lang w:val="es-ES_tradnl"/>
        </w:rPr>
        <w:t>6.1.2.10</w:t>
      </w:r>
      <w:r w:rsidRPr="005E432D">
        <w:rPr>
          <w:rFonts w:cs="Arial"/>
          <w:szCs w:val="24"/>
          <w:lang w:val="es-ES_tradnl"/>
        </w:rPr>
        <w:t xml:space="preserve"> Incluir en el “Manual de Procedimiento para Recepción y Pago de Etanol Comprado a ALUR”, la operativa de documentación en Notas de Crédito de los saldos restantes de etanol en tanques ya vendidos y facturados a ANCAP que se reutilizan para almacenar nuevas producciones de etanol.</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lang w:val="es-ES_tradnl"/>
        </w:rPr>
        <w:t>6.1.2.11</w:t>
      </w:r>
      <w:r w:rsidRPr="005E432D">
        <w:rPr>
          <w:rFonts w:cs="Arial"/>
          <w:szCs w:val="24"/>
          <w:lang w:val="es-ES_tradnl"/>
        </w:rPr>
        <w:t xml:space="preserve"> Elaborar Manuales que establezcan los procedimientos de custodia, vigilancia, mantenimiento de inventarios y registro en todos lo</w:t>
      </w:r>
      <w:r>
        <w:rPr>
          <w:rFonts w:cs="Arial"/>
          <w:szCs w:val="24"/>
          <w:lang w:val="es-ES_tradnl"/>
        </w:rPr>
        <w:t xml:space="preserve">s depósitos de Bienes de Cambio, así como </w:t>
      </w:r>
      <w:r w:rsidRPr="005E432D">
        <w:rPr>
          <w:rFonts w:cs="Arial"/>
          <w:szCs w:val="24"/>
        </w:rPr>
        <w:t>las acciones a seguir a efectos de confeccionar informes periódicos de bienes antiguos, estropeados, obsoletos o stocks en exceso</w:t>
      </w:r>
      <w:r>
        <w:rPr>
          <w:rFonts w:cs="Arial"/>
          <w:szCs w:val="24"/>
        </w:rPr>
        <w:t>.</w:t>
      </w:r>
    </w:p>
    <w:p w:rsidR="001D2594" w:rsidRPr="005E432D" w:rsidRDefault="001D2594" w:rsidP="00ED6474">
      <w:pPr>
        <w:keepNext/>
        <w:widowControl w:val="0"/>
        <w:tabs>
          <w:tab w:val="left" w:pos="426"/>
        </w:tabs>
        <w:spacing w:line="360" w:lineRule="auto"/>
        <w:ind w:left="426"/>
        <w:rPr>
          <w:rFonts w:cs="Arial"/>
          <w:szCs w:val="24"/>
          <w:lang w:val="es-ES_tradnl"/>
        </w:rPr>
      </w:pPr>
      <w:r w:rsidRPr="005E432D">
        <w:rPr>
          <w:rFonts w:cs="Arial"/>
          <w:b/>
          <w:szCs w:val="24"/>
          <w:lang w:val="es-ES_tradnl"/>
        </w:rPr>
        <w:t>6.1.2.12</w:t>
      </w:r>
      <w:r w:rsidRPr="005E432D">
        <w:rPr>
          <w:rFonts w:cs="Arial"/>
          <w:szCs w:val="24"/>
          <w:lang w:val="es-ES_tradnl"/>
        </w:rPr>
        <w:t xml:space="preserve"> Ampliar el horario de vigilancia a las 24 horas en los locales de depósito de la Planta de Carrasco y restringir el acceso a la Planta de Lubricantes de </w:t>
      </w:r>
      <w:r w:rsidR="008A6896">
        <w:rPr>
          <w:rFonts w:cs="Arial"/>
          <w:szCs w:val="24"/>
          <w:lang w:val="es-ES_tradnl"/>
        </w:rPr>
        <w:t>la Teja al personal autorizado.</w:t>
      </w:r>
    </w:p>
    <w:p w:rsidR="001D2594" w:rsidRPr="005E432D" w:rsidRDefault="001D2594" w:rsidP="00ED6474">
      <w:pPr>
        <w:keepNext/>
        <w:widowControl w:val="0"/>
        <w:tabs>
          <w:tab w:val="left" w:pos="426"/>
        </w:tabs>
        <w:spacing w:line="360" w:lineRule="auto"/>
        <w:ind w:left="426"/>
        <w:rPr>
          <w:rFonts w:cs="Arial"/>
          <w:szCs w:val="24"/>
          <w:lang w:val="es-CO"/>
        </w:rPr>
      </w:pPr>
      <w:r w:rsidRPr="005E432D">
        <w:rPr>
          <w:rFonts w:cs="Arial"/>
          <w:b/>
          <w:szCs w:val="24"/>
          <w:lang w:val="es-CO"/>
        </w:rPr>
        <w:t>6.1.2.13</w:t>
      </w:r>
      <w:r w:rsidRPr="005E432D">
        <w:rPr>
          <w:rFonts w:cs="Arial"/>
          <w:szCs w:val="24"/>
          <w:lang w:val="es-CO"/>
        </w:rPr>
        <w:t xml:space="preserve">  Documentar</w:t>
      </w:r>
      <w:r w:rsidRPr="005E432D">
        <w:rPr>
          <w:rFonts w:cs="Arial"/>
          <w:szCs w:val="24"/>
        </w:rPr>
        <w:t xml:space="preserve"> por Auditoría Interna</w:t>
      </w:r>
      <w:r w:rsidRPr="005E432D">
        <w:rPr>
          <w:rFonts w:cs="Arial"/>
          <w:szCs w:val="24"/>
          <w:lang w:val="es-CO"/>
        </w:rPr>
        <w:t xml:space="preserve"> </w:t>
      </w:r>
      <w:r w:rsidRPr="005E432D">
        <w:rPr>
          <w:rFonts w:cs="Arial"/>
          <w:szCs w:val="24"/>
        </w:rPr>
        <w:t>el corte de documentos previo al recuento físico de bienes y materiales en las distintas plantas.</w:t>
      </w:r>
    </w:p>
    <w:p w:rsidR="001D2594" w:rsidRPr="005E432D" w:rsidRDefault="001D2594" w:rsidP="00ED6474">
      <w:pPr>
        <w:keepNext/>
        <w:widowControl w:val="0"/>
        <w:tabs>
          <w:tab w:val="left" w:pos="426"/>
          <w:tab w:val="right" w:pos="5387"/>
          <w:tab w:val="right" w:pos="8222"/>
        </w:tabs>
        <w:spacing w:line="360" w:lineRule="auto"/>
        <w:ind w:left="426"/>
        <w:rPr>
          <w:rFonts w:eastAsia="Times New Roman"/>
          <w:lang w:eastAsia="es-UY"/>
        </w:rPr>
      </w:pPr>
      <w:r w:rsidRPr="005E432D">
        <w:rPr>
          <w:rFonts w:cs="Arial"/>
          <w:b/>
          <w:szCs w:val="24"/>
        </w:rPr>
        <w:t>6.1.2.14</w:t>
      </w:r>
      <w:r w:rsidRPr="005E432D">
        <w:rPr>
          <w:rFonts w:cs="Arial"/>
          <w:szCs w:val="24"/>
        </w:rPr>
        <w:t xml:space="preserve"> Revelar en las Notas a los Estados Financieros la información detallada de la totalidad de las garantías, fianzas y avales otorgados por el Ente, tanto en Uruguay como en otros países, en particular </w:t>
      </w:r>
      <w:r w:rsidRPr="005E432D">
        <w:rPr>
          <w:rFonts w:eastAsia="Times New Roman" w:cs="Arial"/>
          <w:szCs w:val="24"/>
          <w:lang w:val="es-ES_tradnl"/>
        </w:rPr>
        <w:t xml:space="preserve">la garantía otorgada a </w:t>
      </w:r>
      <w:proofErr w:type="spellStart"/>
      <w:r w:rsidRPr="005E432D">
        <w:rPr>
          <w:rFonts w:eastAsia="Times New Roman" w:cs="Arial"/>
          <w:szCs w:val="24"/>
          <w:lang w:val="es-ES_tradnl"/>
        </w:rPr>
        <w:t>Petrouruguay</w:t>
      </w:r>
      <w:proofErr w:type="spellEnd"/>
      <w:r>
        <w:rPr>
          <w:rFonts w:eastAsia="Times New Roman" w:cs="Arial"/>
          <w:szCs w:val="24"/>
          <w:lang w:val="es-ES_tradnl"/>
        </w:rPr>
        <w:t xml:space="preserve"> S.A.</w:t>
      </w:r>
      <w:r w:rsidRPr="005E432D">
        <w:rPr>
          <w:rFonts w:eastAsia="Times New Roman"/>
          <w:lang w:eastAsia="es-UY"/>
        </w:rPr>
        <w:t xml:space="preserve"> ante la Secretaría de Energía – Argentina para que ésta se inscribiera en el Registro de Empresas de Exploración y Explotación de Hidrocarburos en Argentina y en el Registro de Empresas Petroleras Transportistas en Argentina.</w:t>
      </w:r>
    </w:p>
    <w:p w:rsidR="001D2594" w:rsidRDefault="001D2594" w:rsidP="00ED6474">
      <w:pPr>
        <w:keepNext/>
        <w:widowControl w:val="0"/>
        <w:spacing w:line="360" w:lineRule="auto"/>
        <w:ind w:left="426"/>
        <w:rPr>
          <w:rFonts w:eastAsia="Times New Roman" w:cs="Arial"/>
          <w:szCs w:val="24"/>
          <w:lang w:val="es-ES_tradnl" w:eastAsia="es-UY"/>
        </w:rPr>
      </w:pPr>
      <w:r w:rsidRPr="005E432D">
        <w:rPr>
          <w:rFonts w:cs="Arial"/>
          <w:b/>
          <w:szCs w:val="24"/>
        </w:rPr>
        <w:t>6.1.2.15</w:t>
      </w:r>
      <w:r w:rsidRPr="005E432D">
        <w:rPr>
          <w:rFonts w:cs="Arial"/>
          <w:szCs w:val="24"/>
        </w:rPr>
        <w:t xml:space="preserve"> Establecer procedimientos de control </w:t>
      </w:r>
      <w:r w:rsidRPr="005E432D">
        <w:rPr>
          <w:rFonts w:eastAsia="Times New Roman" w:cs="Arial"/>
          <w:szCs w:val="24"/>
          <w:lang w:val="es-ES_tradnl" w:eastAsia="es-UY"/>
        </w:rPr>
        <w:t>con relación a la documentación y valores relacionados con garantías recibidas en oportunidad de realizar arqueos en la Tesorería General por parte de Auditoria Interna.</w:t>
      </w:r>
    </w:p>
    <w:p w:rsidR="001D2594" w:rsidRPr="005E432D" w:rsidRDefault="001D2594" w:rsidP="00ED6474">
      <w:pPr>
        <w:keepNext/>
        <w:widowControl w:val="0"/>
        <w:spacing w:line="360" w:lineRule="auto"/>
        <w:ind w:left="426"/>
        <w:rPr>
          <w:rFonts w:cs="Arial"/>
          <w:b/>
          <w:szCs w:val="24"/>
        </w:rPr>
      </w:pPr>
      <w:r w:rsidRPr="005E432D">
        <w:rPr>
          <w:rFonts w:cs="Arial"/>
          <w:b/>
          <w:szCs w:val="24"/>
        </w:rPr>
        <w:t>6.1.2.16</w:t>
      </w:r>
      <w:r w:rsidRPr="005E432D">
        <w:rPr>
          <w:rFonts w:cs="Arial"/>
          <w:szCs w:val="24"/>
        </w:rPr>
        <w:t xml:space="preserve"> Realizar los procedimientos tendientes a evitar las responsabilidades determinadas por el Artículo 1º de la Ley Nº 18.099 y el Artículo 4º de la ley Nº18.251, por parte del Departamento de Control de Procedimientos y Operaciones y la Gerencia de Comercialización, con relación a los contratos que se mantien</w:t>
      </w:r>
      <w:r>
        <w:rPr>
          <w:rFonts w:cs="Arial"/>
          <w:szCs w:val="24"/>
        </w:rPr>
        <w:t>en con las empresas vinculadas.</w:t>
      </w:r>
    </w:p>
    <w:p w:rsidR="001D2594" w:rsidRPr="005E432D" w:rsidRDefault="001D2594" w:rsidP="00ED6474">
      <w:pPr>
        <w:pStyle w:val="Sangra3detindependiente"/>
        <w:keepNext/>
        <w:widowControl w:val="0"/>
        <w:tabs>
          <w:tab w:val="left" w:pos="900"/>
        </w:tabs>
        <w:spacing w:after="0" w:line="360" w:lineRule="auto"/>
        <w:ind w:left="426"/>
        <w:rPr>
          <w:rFonts w:cs="Arial"/>
          <w:sz w:val="24"/>
          <w:szCs w:val="24"/>
        </w:rPr>
      </w:pPr>
      <w:r w:rsidRPr="005E432D">
        <w:rPr>
          <w:rFonts w:cs="Arial"/>
          <w:b/>
          <w:sz w:val="24"/>
          <w:szCs w:val="24"/>
        </w:rPr>
        <w:t>6.1.2.17</w:t>
      </w:r>
      <w:r w:rsidRPr="005E432D">
        <w:rPr>
          <w:rFonts w:cs="Arial"/>
          <w:sz w:val="24"/>
          <w:szCs w:val="24"/>
        </w:rPr>
        <w:t xml:space="preserve"> Elaborar un manual de procedimientos que determine las responsabilidades de cada sector en la contratación y renovación de préstamos, su registro, la custodia de su documentación, los cálculos correspondientes y los controles de saldos contables.</w:t>
      </w:r>
    </w:p>
    <w:p w:rsidR="001D2594" w:rsidRPr="005E432D" w:rsidRDefault="001D2594" w:rsidP="00ED6474">
      <w:pPr>
        <w:pStyle w:val="Sangra3detindependiente"/>
        <w:keepNext/>
        <w:widowControl w:val="0"/>
        <w:tabs>
          <w:tab w:val="left" w:pos="900"/>
        </w:tabs>
        <w:spacing w:after="0" w:line="360" w:lineRule="auto"/>
        <w:ind w:left="426"/>
        <w:rPr>
          <w:rFonts w:cs="Arial"/>
          <w:b/>
          <w:sz w:val="24"/>
          <w:szCs w:val="24"/>
        </w:rPr>
      </w:pPr>
    </w:p>
    <w:p w:rsidR="001D2594" w:rsidRPr="005E432D" w:rsidRDefault="001D2594" w:rsidP="00ED6474">
      <w:pPr>
        <w:pStyle w:val="Sangra3detindependiente"/>
        <w:keepNext/>
        <w:widowControl w:val="0"/>
        <w:tabs>
          <w:tab w:val="left" w:pos="900"/>
        </w:tabs>
        <w:spacing w:after="0" w:line="360" w:lineRule="auto"/>
        <w:ind w:left="426"/>
        <w:rPr>
          <w:rFonts w:cs="Arial"/>
          <w:sz w:val="24"/>
          <w:szCs w:val="24"/>
        </w:rPr>
      </w:pPr>
      <w:r w:rsidRPr="005E432D">
        <w:rPr>
          <w:rFonts w:cs="Arial"/>
          <w:b/>
          <w:sz w:val="24"/>
          <w:szCs w:val="24"/>
        </w:rPr>
        <w:t>6.1.2.18</w:t>
      </w:r>
      <w:r w:rsidRPr="005E432D">
        <w:rPr>
          <w:rFonts w:cs="Arial"/>
          <w:sz w:val="24"/>
          <w:szCs w:val="24"/>
        </w:rPr>
        <w:t xml:space="preserve"> El Sector de Cuentas Corrientes deberá contar con manuales de procedimientos que definan las responsabilidades y los procedimientos concernientes al Sector y sus funcionarios.</w:t>
      </w:r>
    </w:p>
    <w:p w:rsidR="001D2594" w:rsidRPr="005E432D" w:rsidRDefault="001D2594" w:rsidP="00ED6474">
      <w:pPr>
        <w:pStyle w:val="Sangra3detindependiente"/>
        <w:keepNext/>
        <w:widowControl w:val="0"/>
        <w:tabs>
          <w:tab w:val="left" w:pos="900"/>
        </w:tabs>
        <w:spacing w:after="0" w:line="360" w:lineRule="auto"/>
        <w:ind w:left="644"/>
        <w:rPr>
          <w:rFonts w:cs="Arial"/>
          <w:sz w:val="24"/>
          <w:szCs w:val="24"/>
        </w:rPr>
      </w:pPr>
    </w:p>
    <w:p w:rsidR="001D2594" w:rsidRPr="005E432D" w:rsidRDefault="001D2594" w:rsidP="00ED6474">
      <w:pPr>
        <w:pStyle w:val="Sangra3detindependiente"/>
        <w:keepNext/>
        <w:widowControl w:val="0"/>
        <w:numPr>
          <w:ilvl w:val="3"/>
          <w:numId w:val="24"/>
        </w:numPr>
        <w:tabs>
          <w:tab w:val="left" w:pos="900"/>
        </w:tabs>
        <w:spacing w:after="0" w:line="360" w:lineRule="auto"/>
        <w:ind w:left="426" w:firstLine="0"/>
        <w:rPr>
          <w:rFonts w:cs="Arial"/>
          <w:sz w:val="24"/>
          <w:szCs w:val="24"/>
        </w:rPr>
      </w:pPr>
      <w:r w:rsidRPr="005E432D">
        <w:rPr>
          <w:rFonts w:cs="Arial"/>
          <w:sz w:val="24"/>
          <w:szCs w:val="24"/>
        </w:rPr>
        <w:t xml:space="preserve">Los porcentajes de respuesta a las </w:t>
      </w:r>
      <w:proofErr w:type="spellStart"/>
      <w:r w:rsidRPr="005E432D">
        <w:rPr>
          <w:rFonts w:cs="Arial"/>
          <w:sz w:val="24"/>
          <w:szCs w:val="24"/>
        </w:rPr>
        <w:t>circularizaciones</w:t>
      </w:r>
      <w:proofErr w:type="spellEnd"/>
      <w:r w:rsidRPr="005E432D">
        <w:rPr>
          <w:rFonts w:cs="Arial"/>
          <w:sz w:val="24"/>
          <w:szCs w:val="24"/>
        </w:rPr>
        <w:t xml:space="preserve"> de saldos realizadas en el ejercicio son bajos, el Sector Cuenta Corrientes no realiza periódicamente procedimientos alternativos </w:t>
      </w:r>
      <w:r>
        <w:rPr>
          <w:rFonts w:cs="Arial"/>
          <w:sz w:val="24"/>
          <w:szCs w:val="24"/>
        </w:rPr>
        <w:t>de análisis del saldo</w:t>
      </w:r>
      <w:r w:rsidRPr="005E432D">
        <w:rPr>
          <w:rFonts w:cs="Arial"/>
          <w:sz w:val="24"/>
          <w:szCs w:val="24"/>
        </w:rPr>
        <w:t xml:space="preserve"> de deudores y acreedores.</w:t>
      </w:r>
    </w:p>
    <w:p w:rsidR="001D2594" w:rsidRPr="005E432D" w:rsidRDefault="001D2594" w:rsidP="00ED6474">
      <w:pPr>
        <w:pStyle w:val="Sangra3detindependiente"/>
        <w:keepNext/>
        <w:widowControl w:val="0"/>
        <w:tabs>
          <w:tab w:val="left" w:pos="900"/>
        </w:tabs>
        <w:spacing w:after="0" w:line="360" w:lineRule="auto"/>
        <w:ind w:left="0"/>
        <w:rPr>
          <w:rFonts w:cs="Arial"/>
          <w:sz w:val="24"/>
          <w:szCs w:val="24"/>
        </w:rPr>
      </w:pPr>
    </w:p>
    <w:p w:rsidR="001D2594" w:rsidRPr="005E432D" w:rsidRDefault="001D2594" w:rsidP="00ED6474">
      <w:pPr>
        <w:keepNext/>
        <w:widowControl w:val="0"/>
        <w:tabs>
          <w:tab w:val="left" w:pos="426"/>
        </w:tabs>
        <w:spacing w:line="360" w:lineRule="auto"/>
        <w:ind w:left="426"/>
        <w:rPr>
          <w:rFonts w:cs="Arial"/>
          <w:szCs w:val="24"/>
          <w:lang w:val="es-CO"/>
        </w:rPr>
      </w:pPr>
      <w:r w:rsidRPr="005E432D">
        <w:rPr>
          <w:rFonts w:cs="Arial"/>
          <w:b/>
          <w:szCs w:val="24"/>
          <w:lang w:val="es-ES_tradnl"/>
        </w:rPr>
        <w:t>6.1.2.20</w:t>
      </w:r>
      <w:r w:rsidRPr="005E432D">
        <w:rPr>
          <w:rFonts w:cs="Arial"/>
          <w:szCs w:val="24"/>
          <w:lang w:val="es-ES_tradnl"/>
        </w:rPr>
        <w:t xml:space="preserve"> Aprobar m</w:t>
      </w:r>
      <w:r w:rsidRPr="005E432D">
        <w:rPr>
          <w:rFonts w:cs="Arial"/>
          <w:szCs w:val="24"/>
          <w:lang w:val="es-CO"/>
        </w:rPr>
        <w:t>anuales de procedimientos para Auditoría Interna estableciendo la exigencia de:</w:t>
      </w:r>
    </w:p>
    <w:p w:rsidR="001D2594" w:rsidRPr="005E432D" w:rsidRDefault="001D2594" w:rsidP="008A6896">
      <w:pPr>
        <w:pStyle w:val="Prrafodelista"/>
        <w:keepNext/>
        <w:widowControl w:val="0"/>
        <w:numPr>
          <w:ilvl w:val="0"/>
          <w:numId w:val="8"/>
        </w:numPr>
        <w:tabs>
          <w:tab w:val="left" w:pos="426"/>
          <w:tab w:val="left" w:pos="1134"/>
          <w:tab w:val="right" w:pos="5387"/>
          <w:tab w:val="right" w:pos="8222"/>
        </w:tabs>
        <w:spacing w:line="360" w:lineRule="auto"/>
        <w:jc w:val="both"/>
        <w:rPr>
          <w:rFonts w:cs="Arial"/>
          <w:szCs w:val="24"/>
          <w:lang w:val="es-CO"/>
        </w:rPr>
      </w:pPr>
      <w:r w:rsidRPr="005E432D">
        <w:rPr>
          <w:rFonts w:ascii="Arial" w:hAnsi="Arial" w:cs="Arial"/>
          <w:sz w:val="24"/>
          <w:szCs w:val="24"/>
          <w:lang w:val="es-CO"/>
        </w:rPr>
        <w:t>incluir en cada actuación la respuesta de cada gerencia responsable, estableciendo las instancias de seguimiento que aseguren la atención de las recomendaciones en plazos que determinen mejoras oportunas</w:t>
      </w:r>
      <w:r w:rsidR="008A6896">
        <w:rPr>
          <w:rFonts w:ascii="Arial" w:hAnsi="Arial" w:cs="Arial"/>
          <w:sz w:val="24"/>
          <w:szCs w:val="24"/>
          <w:lang w:val="es-CO"/>
        </w:rPr>
        <w:t>.</w:t>
      </w:r>
    </w:p>
    <w:p w:rsidR="001D2594" w:rsidRPr="005E432D" w:rsidRDefault="001D2594" w:rsidP="008A6896">
      <w:pPr>
        <w:pStyle w:val="Prrafodelista"/>
        <w:keepNext/>
        <w:widowControl w:val="0"/>
        <w:numPr>
          <w:ilvl w:val="0"/>
          <w:numId w:val="8"/>
        </w:numPr>
        <w:tabs>
          <w:tab w:val="left" w:pos="426"/>
          <w:tab w:val="left" w:pos="1134"/>
          <w:tab w:val="right" w:pos="5387"/>
          <w:tab w:val="right" w:pos="8222"/>
        </w:tabs>
        <w:spacing w:line="360" w:lineRule="auto"/>
        <w:jc w:val="both"/>
        <w:rPr>
          <w:rFonts w:ascii="Arial" w:hAnsi="Arial" w:cs="Arial"/>
          <w:sz w:val="24"/>
          <w:szCs w:val="24"/>
          <w:lang w:val="es-CO"/>
        </w:rPr>
      </w:pPr>
      <w:r w:rsidRPr="005E432D">
        <w:rPr>
          <w:rFonts w:ascii="Arial" w:hAnsi="Arial" w:cs="Arial"/>
          <w:sz w:val="24"/>
          <w:szCs w:val="24"/>
        </w:rPr>
        <w:t xml:space="preserve">realizar el corte de documentos previo </w:t>
      </w:r>
      <w:proofErr w:type="gramStart"/>
      <w:r w:rsidRPr="005E432D">
        <w:rPr>
          <w:rFonts w:ascii="Arial" w:hAnsi="Arial" w:cs="Arial"/>
          <w:sz w:val="24"/>
          <w:szCs w:val="24"/>
        </w:rPr>
        <w:t>a los recuento físico</w:t>
      </w:r>
      <w:proofErr w:type="gramEnd"/>
      <w:r w:rsidRPr="005E432D">
        <w:rPr>
          <w:rFonts w:ascii="Arial" w:hAnsi="Arial" w:cs="Arial"/>
          <w:sz w:val="24"/>
          <w:szCs w:val="24"/>
        </w:rPr>
        <w:t xml:space="preserve"> de bienes y materiales en las distintas plantas</w:t>
      </w:r>
      <w:r w:rsidR="008A6896">
        <w:rPr>
          <w:rFonts w:ascii="Arial" w:hAnsi="Arial" w:cs="Arial"/>
          <w:sz w:val="24"/>
          <w:szCs w:val="24"/>
        </w:rPr>
        <w:t>.</w:t>
      </w:r>
    </w:p>
    <w:p w:rsidR="001D2594" w:rsidRPr="005E432D" w:rsidRDefault="001D2594" w:rsidP="008A6896">
      <w:pPr>
        <w:pStyle w:val="Prrafodelista"/>
        <w:keepNext/>
        <w:widowControl w:val="0"/>
        <w:numPr>
          <w:ilvl w:val="0"/>
          <w:numId w:val="8"/>
        </w:numPr>
        <w:tabs>
          <w:tab w:val="left" w:pos="426"/>
          <w:tab w:val="left" w:pos="1134"/>
          <w:tab w:val="right" w:pos="5387"/>
          <w:tab w:val="right" w:pos="8222"/>
        </w:tabs>
        <w:spacing w:line="360" w:lineRule="auto"/>
        <w:jc w:val="both"/>
        <w:rPr>
          <w:rFonts w:ascii="Arial" w:hAnsi="Arial" w:cs="Arial"/>
          <w:sz w:val="24"/>
          <w:szCs w:val="24"/>
          <w:lang w:val="es-CO"/>
        </w:rPr>
      </w:pPr>
      <w:r w:rsidRPr="005E432D">
        <w:rPr>
          <w:rFonts w:ascii="Arial" w:hAnsi="Arial" w:cs="Arial"/>
          <w:sz w:val="24"/>
          <w:szCs w:val="24"/>
        </w:rPr>
        <w:t>Establecer procedimientos de control con relación a la documentación y valores relacionados con garantías recibidas en oportunidad de realizar arqueos en la Tesorería General.</w:t>
      </w:r>
    </w:p>
    <w:p w:rsidR="001D2594" w:rsidRPr="005E432D" w:rsidRDefault="001D2594" w:rsidP="00ED6474">
      <w:pPr>
        <w:pStyle w:val="Sangra3detindependiente"/>
        <w:keepNext/>
        <w:widowControl w:val="0"/>
        <w:tabs>
          <w:tab w:val="left" w:pos="900"/>
        </w:tabs>
        <w:spacing w:after="0" w:line="360" w:lineRule="auto"/>
        <w:ind w:left="426"/>
        <w:rPr>
          <w:rFonts w:cs="Arial"/>
          <w:sz w:val="24"/>
          <w:szCs w:val="24"/>
        </w:rPr>
      </w:pPr>
      <w:r w:rsidRPr="005E432D">
        <w:rPr>
          <w:rFonts w:cs="Arial"/>
          <w:b/>
          <w:sz w:val="24"/>
          <w:szCs w:val="24"/>
        </w:rPr>
        <w:t>6.1.2.21</w:t>
      </w:r>
      <w:r w:rsidRPr="005E432D">
        <w:rPr>
          <w:rFonts w:cs="Arial"/>
          <w:sz w:val="24"/>
          <w:szCs w:val="24"/>
        </w:rPr>
        <w:t xml:space="preserve"> Implementar procedimientos de registro y custodia de los saldos de materiales de acuerdo a lo recomendado en el informe de Auditoría Interna Nº49/11 respecto al depósito de materiales de la Planta La Teja, con relación al espacio físico destinado a almacenar transitoriamente las compras en plaza que realizan las diferentes áreas, de acuerdo con los requerimientos de Mantenimiento e Ingeniería para llevar a cabo las Órdenes de Trabajo.</w:t>
      </w:r>
    </w:p>
    <w:p w:rsidR="001D2594" w:rsidRPr="005E432D" w:rsidRDefault="001D2594" w:rsidP="00ED6474">
      <w:pPr>
        <w:pStyle w:val="Sangra3detindependiente"/>
        <w:keepNext/>
        <w:widowControl w:val="0"/>
        <w:tabs>
          <w:tab w:val="left" w:pos="900"/>
        </w:tabs>
        <w:spacing w:after="0" w:line="360" w:lineRule="auto"/>
        <w:ind w:left="0"/>
        <w:rPr>
          <w:rFonts w:cs="Arial"/>
          <w:sz w:val="24"/>
          <w:szCs w:val="24"/>
        </w:rPr>
      </w:pPr>
    </w:p>
    <w:p w:rsidR="001D2594" w:rsidRPr="005E432D" w:rsidRDefault="001D2594" w:rsidP="00ED6474">
      <w:pPr>
        <w:pStyle w:val="Sangra3detindependiente"/>
        <w:keepNext/>
        <w:widowControl w:val="0"/>
        <w:tabs>
          <w:tab w:val="left" w:pos="900"/>
        </w:tabs>
        <w:spacing w:after="0" w:line="360" w:lineRule="auto"/>
        <w:ind w:left="426"/>
        <w:rPr>
          <w:rFonts w:cs="Arial"/>
          <w:sz w:val="24"/>
          <w:szCs w:val="24"/>
        </w:rPr>
      </w:pPr>
      <w:r w:rsidRPr="005E432D">
        <w:rPr>
          <w:rFonts w:cs="Arial"/>
          <w:b/>
          <w:sz w:val="24"/>
          <w:szCs w:val="24"/>
        </w:rPr>
        <w:t>6.1.2.22</w:t>
      </w:r>
      <w:r w:rsidRPr="005E432D">
        <w:rPr>
          <w:rFonts w:cs="Arial"/>
          <w:sz w:val="24"/>
          <w:szCs w:val="24"/>
        </w:rPr>
        <w:t xml:space="preserve"> El sector contable no procedió a reclasificar en sus registros contables y  a verificar la valuación de la información de los inmuebles y muebles cedidos en comodato.</w:t>
      </w:r>
    </w:p>
    <w:p w:rsidR="001D2594" w:rsidRPr="005E432D" w:rsidRDefault="001D2594" w:rsidP="00ED6474">
      <w:pPr>
        <w:pStyle w:val="Sangra3detindependiente"/>
        <w:keepNext/>
        <w:widowControl w:val="0"/>
        <w:tabs>
          <w:tab w:val="left" w:pos="900"/>
        </w:tabs>
        <w:spacing w:after="0" w:line="360" w:lineRule="auto"/>
        <w:ind w:left="0"/>
        <w:rPr>
          <w:rFonts w:cs="Arial"/>
          <w:sz w:val="24"/>
          <w:szCs w:val="24"/>
        </w:rPr>
      </w:pPr>
    </w:p>
    <w:p w:rsidR="001D2594" w:rsidRPr="005E432D" w:rsidRDefault="001D2594" w:rsidP="00ED6474">
      <w:pPr>
        <w:pStyle w:val="Sangra3detindependiente"/>
        <w:keepNext/>
        <w:widowControl w:val="0"/>
        <w:tabs>
          <w:tab w:val="left" w:pos="900"/>
        </w:tabs>
        <w:spacing w:after="0" w:line="360" w:lineRule="auto"/>
        <w:ind w:left="426"/>
        <w:rPr>
          <w:rFonts w:cs="Arial"/>
          <w:b/>
          <w:sz w:val="24"/>
          <w:szCs w:val="24"/>
        </w:rPr>
      </w:pPr>
      <w:r w:rsidRPr="005E432D">
        <w:rPr>
          <w:rFonts w:cs="Arial"/>
          <w:b/>
          <w:sz w:val="24"/>
          <w:szCs w:val="24"/>
        </w:rPr>
        <w:t>6.1.2.23</w:t>
      </w:r>
      <w:r w:rsidRPr="005E432D">
        <w:rPr>
          <w:rFonts w:cs="Arial"/>
          <w:sz w:val="24"/>
          <w:szCs w:val="24"/>
        </w:rPr>
        <w:t xml:space="preserve"> A la fecha de este informe, en las Plantas de Carrasco y Laguna del Sauce y Juan </w:t>
      </w:r>
      <w:proofErr w:type="spellStart"/>
      <w:r w:rsidRPr="005E432D">
        <w:rPr>
          <w:rFonts w:cs="Arial"/>
          <w:sz w:val="24"/>
          <w:szCs w:val="24"/>
        </w:rPr>
        <w:t>Lacaze</w:t>
      </w:r>
      <w:proofErr w:type="spellEnd"/>
      <w:r w:rsidRPr="005E432D">
        <w:rPr>
          <w:rFonts w:cs="Arial"/>
          <w:sz w:val="24"/>
          <w:szCs w:val="24"/>
        </w:rPr>
        <w:t xml:space="preserve"> permanece la situación de falta de oposición de intereses en cuanto al despacho de combustible, documentación de la venta  y control de stock, tareas que realiza un mismo funcionario.</w:t>
      </w:r>
    </w:p>
    <w:p w:rsidR="001D2594" w:rsidRPr="005E432D" w:rsidRDefault="001D2594" w:rsidP="00ED6474">
      <w:pPr>
        <w:pStyle w:val="Sangra3detindependiente"/>
        <w:keepNext/>
        <w:widowControl w:val="0"/>
        <w:tabs>
          <w:tab w:val="left" w:pos="900"/>
        </w:tabs>
        <w:spacing w:after="0" w:line="360" w:lineRule="auto"/>
        <w:ind w:left="0"/>
        <w:rPr>
          <w:rFonts w:cs="Arial"/>
          <w:b/>
          <w:sz w:val="24"/>
          <w:szCs w:val="24"/>
        </w:rPr>
      </w:pPr>
    </w:p>
    <w:p w:rsidR="001D2594" w:rsidRPr="005E432D" w:rsidRDefault="001D2594" w:rsidP="00ED6474">
      <w:pPr>
        <w:pStyle w:val="Sangra3detindependiente"/>
        <w:keepNext/>
        <w:widowControl w:val="0"/>
        <w:tabs>
          <w:tab w:val="left" w:pos="900"/>
        </w:tabs>
        <w:spacing w:after="0" w:line="360" w:lineRule="auto"/>
        <w:ind w:left="426"/>
        <w:rPr>
          <w:rFonts w:cs="Arial"/>
          <w:b/>
          <w:sz w:val="24"/>
          <w:szCs w:val="24"/>
        </w:rPr>
      </w:pPr>
      <w:r w:rsidRPr="005E432D">
        <w:rPr>
          <w:rFonts w:cs="Arial"/>
          <w:b/>
          <w:sz w:val="24"/>
          <w:szCs w:val="24"/>
        </w:rPr>
        <w:t>6.2) Recomendaciones del ejercicio</w:t>
      </w:r>
    </w:p>
    <w:p w:rsidR="001D2594" w:rsidRPr="005E432D" w:rsidRDefault="001D2594" w:rsidP="00ED6474">
      <w:pPr>
        <w:keepNext/>
        <w:widowControl w:val="0"/>
        <w:tabs>
          <w:tab w:val="left" w:pos="426"/>
        </w:tabs>
        <w:spacing w:line="360" w:lineRule="auto"/>
        <w:ind w:left="284"/>
        <w:rPr>
          <w:rFonts w:cs="Arial"/>
          <w:b/>
          <w:bCs/>
          <w:szCs w:val="24"/>
        </w:rPr>
      </w:pPr>
      <w:r w:rsidRPr="005E432D">
        <w:rPr>
          <w:rFonts w:cs="Arial"/>
          <w:szCs w:val="24"/>
        </w:rPr>
        <w:t>Se reiteran las recomendaciones no cumplidas de ejercicios anteriores y se efectúan las siguientes:</w:t>
      </w:r>
    </w:p>
    <w:p w:rsidR="001D2594" w:rsidRPr="005E432D" w:rsidRDefault="001D2594" w:rsidP="00ED6474">
      <w:pPr>
        <w:keepNext/>
        <w:widowControl w:val="0"/>
        <w:spacing w:line="360" w:lineRule="auto"/>
        <w:ind w:left="426"/>
        <w:rPr>
          <w:rFonts w:eastAsia="Times New Roman" w:cs="Arial"/>
          <w:szCs w:val="24"/>
          <w:lang w:val="es-ES" w:eastAsia="es-ES"/>
        </w:rPr>
      </w:pPr>
      <w:r w:rsidRPr="005E432D">
        <w:rPr>
          <w:rFonts w:cs="Arial"/>
          <w:b/>
          <w:szCs w:val="24"/>
        </w:rPr>
        <w:t xml:space="preserve">6.2.1 </w:t>
      </w:r>
      <w:r w:rsidRPr="005E432D">
        <w:rPr>
          <w:rFonts w:cs="Arial"/>
          <w:szCs w:val="24"/>
        </w:rPr>
        <w:t>Remitir los</w:t>
      </w:r>
      <w:r w:rsidRPr="005E432D">
        <w:rPr>
          <w:rFonts w:cs="Arial"/>
          <w:b/>
          <w:szCs w:val="24"/>
        </w:rPr>
        <w:t xml:space="preserve"> </w:t>
      </w:r>
      <w:r w:rsidRPr="005E432D">
        <w:rPr>
          <w:rFonts w:eastAsia="Times New Roman" w:cs="Arial"/>
          <w:szCs w:val="24"/>
          <w:lang w:val="es-ES" w:eastAsia="es-ES"/>
        </w:rPr>
        <w:t>Estados Financieros</w:t>
      </w:r>
      <w:r w:rsidRPr="005E432D">
        <w:rPr>
          <w:rFonts w:cs="Arial"/>
          <w:b/>
          <w:szCs w:val="24"/>
        </w:rPr>
        <w:t xml:space="preserve"> </w:t>
      </w:r>
      <w:r w:rsidRPr="005E432D">
        <w:rPr>
          <w:rFonts w:eastAsia="Times New Roman" w:cs="Arial"/>
          <w:szCs w:val="24"/>
          <w:lang w:val="es-ES" w:eastAsia="es-ES"/>
        </w:rPr>
        <w:t>consolidados e individuales con firma de Contador General  y adjuntar la memoria explicativa de los mismos.</w:t>
      </w:r>
      <w:r w:rsidR="008A6896">
        <w:rPr>
          <w:rFonts w:eastAsia="Times New Roman" w:cs="Arial"/>
          <w:szCs w:val="24"/>
          <w:lang w:val="es-ES" w:eastAsia="es-ES"/>
        </w:rPr>
        <w:t xml:space="preserve"> </w:t>
      </w:r>
      <w:r>
        <w:rPr>
          <w:rFonts w:eastAsia="Times New Roman" w:cs="Arial"/>
          <w:szCs w:val="24"/>
          <w:lang w:val="es-ES" w:eastAsia="es-ES"/>
        </w:rPr>
        <w:t>(5.3)</w:t>
      </w:r>
    </w:p>
    <w:p w:rsidR="001D2594" w:rsidRPr="005E432D" w:rsidRDefault="001D2594" w:rsidP="00ED6474">
      <w:pPr>
        <w:keepNext/>
        <w:widowControl w:val="0"/>
        <w:spacing w:line="360" w:lineRule="auto"/>
        <w:ind w:left="426"/>
        <w:rPr>
          <w:rFonts w:cs="Arial"/>
          <w:szCs w:val="24"/>
        </w:rPr>
      </w:pPr>
      <w:r w:rsidRPr="005E432D">
        <w:rPr>
          <w:rFonts w:cs="Arial"/>
          <w:b/>
          <w:szCs w:val="24"/>
        </w:rPr>
        <w:t>6.2.2</w:t>
      </w:r>
      <w:r w:rsidRPr="005E432D">
        <w:rPr>
          <w:rFonts w:cs="Arial"/>
          <w:szCs w:val="24"/>
        </w:rPr>
        <w:t xml:space="preserve"> Exponer en notas a los Estados Financieros   la probable repercusión que tendría en el patrimonio del Organismo la pérdida de más del 50% del capital integrado de las empresas vinculadas a ANCAP, Cementos del Plata S.A., Gas Sayago S.A., ANCSOL S.A. y CONECTA S.A.</w:t>
      </w:r>
      <w:r w:rsidR="008A6896">
        <w:rPr>
          <w:rFonts w:cs="Arial"/>
          <w:szCs w:val="24"/>
        </w:rPr>
        <w:t xml:space="preserve"> </w:t>
      </w:r>
      <w:r>
        <w:rPr>
          <w:rFonts w:cs="Arial"/>
          <w:szCs w:val="24"/>
        </w:rPr>
        <w:t>(4.1)</w:t>
      </w:r>
    </w:p>
    <w:p w:rsidR="001D2594" w:rsidRPr="005E432D" w:rsidRDefault="001D2594" w:rsidP="00ED6474">
      <w:pPr>
        <w:keepNext/>
        <w:widowControl w:val="0"/>
        <w:spacing w:line="360" w:lineRule="auto"/>
        <w:ind w:left="426"/>
        <w:rPr>
          <w:rFonts w:cs="Arial"/>
          <w:szCs w:val="24"/>
        </w:rPr>
      </w:pPr>
      <w:r w:rsidRPr="005E432D">
        <w:rPr>
          <w:rFonts w:cs="Arial"/>
          <w:b/>
          <w:szCs w:val="24"/>
        </w:rPr>
        <w:t>6.2.3</w:t>
      </w:r>
      <w:r w:rsidRPr="005E432D">
        <w:rPr>
          <w:rFonts w:cs="Arial"/>
          <w:szCs w:val="24"/>
        </w:rPr>
        <w:t xml:space="preserve">  Exponer  con claridad en notas a los Estados Financieros los efectos provocados por el ajuste al impuesto diferido realizado  a consecuencia de la condonación de la deuda de ANCAP con el MEF</w:t>
      </w:r>
      <w:r>
        <w:rPr>
          <w:rFonts w:cs="Arial"/>
          <w:szCs w:val="24"/>
        </w:rPr>
        <w:t>.</w:t>
      </w:r>
      <w:r w:rsidR="008A6896">
        <w:rPr>
          <w:rFonts w:cs="Arial"/>
          <w:szCs w:val="24"/>
        </w:rPr>
        <w:t xml:space="preserve"> </w:t>
      </w:r>
      <w:r>
        <w:rPr>
          <w:rFonts w:cs="Arial"/>
          <w:szCs w:val="24"/>
        </w:rPr>
        <w:t>(3.1)</w:t>
      </w:r>
    </w:p>
    <w:p w:rsidR="001D2594" w:rsidRPr="005E432D" w:rsidRDefault="001D2594" w:rsidP="00ED6474">
      <w:pPr>
        <w:keepNext/>
        <w:widowControl w:val="0"/>
        <w:spacing w:line="360" w:lineRule="auto"/>
        <w:ind w:left="426"/>
        <w:rPr>
          <w:rFonts w:cs="Arial"/>
          <w:szCs w:val="24"/>
        </w:rPr>
      </w:pPr>
      <w:r w:rsidRPr="005E432D">
        <w:rPr>
          <w:rFonts w:cs="Arial"/>
          <w:b/>
          <w:szCs w:val="24"/>
        </w:rPr>
        <w:t>6.2.4</w:t>
      </w:r>
      <w:r w:rsidRPr="005E432D">
        <w:rPr>
          <w:rFonts w:cs="Arial"/>
          <w:szCs w:val="24"/>
        </w:rPr>
        <w:t xml:space="preserve"> Realizar el análisis y ajuste de los rubros de anticipos, en especial del rubro contable 132014100”Anticipos por seguros” a efectos de corregir la composición del saldo de ANCAP.</w:t>
      </w:r>
      <w:r w:rsidR="008A6896">
        <w:rPr>
          <w:rFonts w:cs="Arial"/>
          <w:szCs w:val="24"/>
        </w:rPr>
        <w:t xml:space="preserve"> </w:t>
      </w:r>
      <w:r>
        <w:rPr>
          <w:rFonts w:cs="Arial"/>
          <w:szCs w:val="24"/>
        </w:rPr>
        <w:t>(4.4)</w:t>
      </w:r>
    </w:p>
    <w:p w:rsidR="001D2594" w:rsidRPr="005E432D" w:rsidRDefault="001D2594" w:rsidP="00ED6474">
      <w:pPr>
        <w:keepNext/>
        <w:widowControl w:val="0"/>
        <w:spacing w:line="360" w:lineRule="auto"/>
        <w:ind w:left="426"/>
        <w:rPr>
          <w:rFonts w:cs="Arial"/>
          <w:szCs w:val="24"/>
        </w:rPr>
      </w:pPr>
      <w:r w:rsidRPr="005E432D">
        <w:rPr>
          <w:rFonts w:cs="Arial"/>
          <w:b/>
          <w:szCs w:val="24"/>
        </w:rPr>
        <w:t>6.2.5</w:t>
      </w:r>
      <w:r w:rsidRPr="005E432D">
        <w:rPr>
          <w:rFonts w:cs="Arial"/>
          <w:szCs w:val="24"/>
        </w:rPr>
        <w:t xml:space="preserve"> Realizar conciliaciones entre los saldos de Préstamos Sociales que figuran en el sistema de Sueldos con el saldo contable correspondiente y reclasificar la porción no corriente de los préstamos en la contabilidad.</w:t>
      </w:r>
      <w:r w:rsidR="008A6896">
        <w:rPr>
          <w:rFonts w:cs="Arial"/>
          <w:szCs w:val="24"/>
        </w:rPr>
        <w:t xml:space="preserve"> </w:t>
      </w:r>
      <w:r>
        <w:rPr>
          <w:rFonts w:cs="Arial"/>
          <w:szCs w:val="24"/>
        </w:rPr>
        <w:t>(4.5)</w:t>
      </w:r>
    </w:p>
    <w:p w:rsidR="001D2594" w:rsidRPr="005E432D" w:rsidRDefault="001D2594" w:rsidP="00ED6474">
      <w:pPr>
        <w:keepNext/>
        <w:widowControl w:val="0"/>
        <w:spacing w:line="360" w:lineRule="auto"/>
        <w:ind w:left="426"/>
        <w:rPr>
          <w:rFonts w:cs="Arial"/>
          <w:szCs w:val="24"/>
        </w:rPr>
      </w:pPr>
      <w:r w:rsidRPr="005E432D">
        <w:rPr>
          <w:rFonts w:cs="Arial"/>
          <w:b/>
          <w:szCs w:val="24"/>
        </w:rPr>
        <w:t>6.2.</w:t>
      </w:r>
      <w:r>
        <w:rPr>
          <w:rFonts w:cs="Arial"/>
          <w:b/>
          <w:szCs w:val="24"/>
        </w:rPr>
        <w:t>6</w:t>
      </w:r>
      <w:r w:rsidRPr="005E432D">
        <w:rPr>
          <w:rFonts w:cs="Arial"/>
          <w:szCs w:val="24"/>
        </w:rPr>
        <w:t xml:space="preserve"> Tomar en cuenta la posible incobrabilidad y/o demoras en la cobranza de las deudas de las Intendencias, de otros Entes del Estado, de organismos oficiales y los saldos con vinculadas, para calcular la previsión para incobrables</w:t>
      </w:r>
      <w:r>
        <w:rPr>
          <w:rFonts w:cs="Arial"/>
          <w:szCs w:val="24"/>
        </w:rPr>
        <w:t>.</w:t>
      </w:r>
      <w:r w:rsidR="008A6896">
        <w:rPr>
          <w:rFonts w:cs="Arial"/>
          <w:szCs w:val="24"/>
        </w:rPr>
        <w:t xml:space="preserve"> </w:t>
      </w:r>
      <w:r>
        <w:rPr>
          <w:rFonts w:cs="Arial"/>
          <w:szCs w:val="24"/>
        </w:rPr>
        <w:t>(4.8)</w:t>
      </w:r>
    </w:p>
    <w:p w:rsidR="001D2594" w:rsidRPr="005E432D" w:rsidRDefault="001D2594" w:rsidP="00ED6474">
      <w:pPr>
        <w:keepNext/>
        <w:widowControl w:val="0"/>
        <w:spacing w:line="360" w:lineRule="auto"/>
        <w:ind w:left="426"/>
        <w:rPr>
          <w:rFonts w:cs="Arial"/>
          <w:szCs w:val="24"/>
        </w:rPr>
      </w:pPr>
      <w:r w:rsidRPr="005E432D">
        <w:rPr>
          <w:rFonts w:cs="Arial"/>
          <w:b/>
          <w:szCs w:val="24"/>
        </w:rPr>
        <w:t>6.2.</w:t>
      </w:r>
      <w:r>
        <w:rPr>
          <w:rFonts w:cs="Arial"/>
          <w:b/>
          <w:szCs w:val="24"/>
        </w:rPr>
        <w:t>7</w:t>
      </w:r>
      <w:r w:rsidRPr="005E432D">
        <w:rPr>
          <w:rFonts w:cs="Arial"/>
          <w:szCs w:val="24"/>
        </w:rPr>
        <w:t xml:space="preserve"> Revelar en Notas a los Estados Financieros la totalidad de Garantías recibidas. </w:t>
      </w:r>
      <w:r>
        <w:rPr>
          <w:rFonts w:cs="Arial"/>
          <w:szCs w:val="24"/>
        </w:rPr>
        <w:t>(4.3)</w:t>
      </w:r>
    </w:p>
    <w:p w:rsidR="001D2594" w:rsidRPr="005E432D" w:rsidRDefault="001D2594" w:rsidP="00ED6474">
      <w:pPr>
        <w:keepNext/>
        <w:widowControl w:val="0"/>
        <w:spacing w:line="360" w:lineRule="auto"/>
        <w:ind w:left="426"/>
        <w:rPr>
          <w:rFonts w:cs="Arial"/>
          <w:szCs w:val="24"/>
        </w:rPr>
      </w:pPr>
      <w:r w:rsidRPr="005E432D">
        <w:rPr>
          <w:rFonts w:cs="Arial"/>
          <w:b/>
          <w:szCs w:val="24"/>
        </w:rPr>
        <w:t>6.2.</w:t>
      </w:r>
      <w:r>
        <w:rPr>
          <w:rFonts w:cs="Arial"/>
          <w:b/>
          <w:szCs w:val="24"/>
        </w:rPr>
        <w:t>8</w:t>
      </w:r>
      <w:r w:rsidRPr="005E432D">
        <w:rPr>
          <w:rFonts w:cs="Arial"/>
          <w:szCs w:val="24"/>
        </w:rPr>
        <w:t xml:space="preserve"> Actualizar la Norma General sobre movimiento de Activo Fijo, ya que se menciona que los bienes dados de baja deben ser enviados a “Materiales en Desuso”, pero el organismo no cuenta con un depósito para estos materiales.</w:t>
      </w:r>
      <w:r w:rsidR="008A6896">
        <w:rPr>
          <w:rFonts w:cs="Arial"/>
          <w:szCs w:val="24"/>
        </w:rPr>
        <w:t xml:space="preserve"> </w:t>
      </w:r>
      <w:r>
        <w:rPr>
          <w:rFonts w:cs="Arial"/>
          <w:szCs w:val="24"/>
        </w:rPr>
        <w:t>(4.9)</w:t>
      </w:r>
    </w:p>
    <w:p w:rsidR="001D2594" w:rsidRPr="005E432D" w:rsidRDefault="001D2594" w:rsidP="00ED6474">
      <w:pPr>
        <w:keepNext/>
        <w:widowControl w:val="0"/>
        <w:spacing w:line="360" w:lineRule="auto"/>
        <w:ind w:left="426"/>
        <w:rPr>
          <w:rFonts w:cs="Arial"/>
          <w:szCs w:val="24"/>
        </w:rPr>
      </w:pPr>
      <w:r w:rsidRPr="005E432D">
        <w:rPr>
          <w:rFonts w:cs="Arial"/>
          <w:b/>
          <w:szCs w:val="24"/>
        </w:rPr>
        <w:t>6.2.</w:t>
      </w:r>
      <w:r>
        <w:rPr>
          <w:rFonts w:cs="Arial"/>
          <w:b/>
          <w:szCs w:val="24"/>
        </w:rPr>
        <w:t>9</w:t>
      </w:r>
      <w:r w:rsidRPr="005E432D">
        <w:rPr>
          <w:rFonts w:cs="Arial"/>
          <w:szCs w:val="24"/>
        </w:rPr>
        <w:t xml:space="preserve"> Revelar en Notas a los estados financieros individuales y consolidados, la probabilidad de sentencias desfavorables para cada tipo de litigio que mantiene el ente y el grupo, expresando la totalidad de los términos previstos en los párrafos 85, 86, 91 y /o 92 de la NIC 37.</w:t>
      </w:r>
      <w:r w:rsidR="008A6896">
        <w:rPr>
          <w:rFonts w:cs="Arial"/>
          <w:szCs w:val="24"/>
        </w:rPr>
        <w:t xml:space="preserve"> </w:t>
      </w:r>
      <w:r>
        <w:rPr>
          <w:rFonts w:cs="Arial"/>
          <w:szCs w:val="24"/>
        </w:rPr>
        <w:t>(4.10)</w:t>
      </w:r>
    </w:p>
    <w:p w:rsidR="001D2594" w:rsidRDefault="001D2594" w:rsidP="00ED6474">
      <w:pPr>
        <w:keepNext/>
        <w:widowControl w:val="0"/>
        <w:spacing w:line="360" w:lineRule="auto"/>
        <w:ind w:left="426"/>
        <w:rPr>
          <w:rFonts w:cs="Arial"/>
          <w:szCs w:val="24"/>
        </w:rPr>
      </w:pPr>
      <w:r w:rsidRPr="005E432D">
        <w:rPr>
          <w:rFonts w:cs="Arial"/>
          <w:b/>
          <w:szCs w:val="24"/>
        </w:rPr>
        <w:t>6.2.1</w:t>
      </w:r>
      <w:r>
        <w:rPr>
          <w:rFonts w:cs="Arial"/>
          <w:b/>
          <w:szCs w:val="24"/>
        </w:rPr>
        <w:t>0</w:t>
      </w:r>
      <w:r w:rsidRPr="005E432D">
        <w:rPr>
          <w:rFonts w:cs="Arial"/>
          <w:szCs w:val="24"/>
        </w:rPr>
        <w:t xml:space="preserve"> Proceder a la segregación de funciones en la planta de Minas, Manga y Paysandú (Portland), donde se mantienen los registros de los bienes de stock por parte de funcionarios de los sectores operación, producción y cantera que asimismo cumplen funciones de compras, recepción, embarques, registro de entradas y salidas de bienes, producción, consumos y conformidad de ingresos para pago a proveedores de bienes y servicios.</w:t>
      </w:r>
      <w:r w:rsidR="008A6896">
        <w:rPr>
          <w:rFonts w:cs="Arial"/>
          <w:szCs w:val="24"/>
        </w:rPr>
        <w:t xml:space="preserve"> </w:t>
      </w:r>
      <w:r>
        <w:rPr>
          <w:rFonts w:cs="Arial"/>
          <w:szCs w:val="24"/>
        </w:rPr>
        <w:t>(4.11).</w:t>
      </w:r>
    </w:p>
    <w:p w:rsidR="001D2594" w:rsidRPr="006A11B1" w:rsidRDefault="001D2594" w:rsidP="00ED6474">
      <w:pPr>
        <w:keepNext/>
        <w:widowControl w:val="0"/>
        <w:spacing w:line="360" w:lineRule="auto"/>
        <w:rPr>
          <w:rFonts w:cs="Arial"/>
          <w:szCs w:val="24"/>
        </w:rPr>
      </w:pPr>
      <w:proofErr w:type="spellStart"/>
      <w:proofErr w:type="gramStart"/>
      <w:r>
        <w:rPr>
          <w:rFonts w:cs="Arial"/>
          <w:szCs w:val="24"/>
        </w:rPr>
        <w:t>cr</w:t>
      </w:r>
      <w:proofErr w:type="spellEnd"/>
      <w:proofErr w:type="gramEnd"/>
    </w:p>
    <w:sectPr w:rsidR="001D2594" w:rsidRPr="006A11B1" w:rsidSect="0019319F">
      <w:footerReference w:type="default" r:id="rId13"/>
      <w:pgSz w:w="11906" w:h="16838" w:code="9"/>
      <w:pgMar w:top="3402" w:right="1701" w:bottom="1418" w:left="1701" w:header="68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CA" w:rsidRDefault="003E01CA" w:rsidP="00C47CD1">
      <w:pPr>
        <w:spacing w:after="0" w:line="240" w:lineRule="auto"/>
      </w:pPr>
      <w:r>
        <w:separator/>
      </w:r>
    </w:p>
  </w:endnote>
  <w:endnote w:type="continuationSeparator" w:id="0">
    <w:p w:rsidR="003E01CA" w:rsidRDefault="003E01CA" w:rsidP="00C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80496"/>
      <w:docPartObj>
        <w:docPartGallery w:val="Page Numbers (Bottom of Page)"/>
        <w:docPartUnique/>
      </w:docPartObj>
    </w:sdtPr>
    <w:sdtEndPr/>
    <w:sdtContent>
      <w:p w:rsidR="003E01CA" w:rsidRDefault="003E01CA">
        <w:pPr>
          <w:pStyle w:val="Piedepgina"/>
          <w:jc w:val="right"/>
        </w:pPr>
        <w:r>
          <w:fldChar w:fldCharType="begin"/>
        </w:r>
        <w:r>
          <w:instrText xml:space="preserve"> PAGE   \* MERGEFORMAT </w:instrText>
        </w:r>
        <w:r>
          <w:fldChar w:fldCharType="separate"/>
        </w:r>
        <w:r w:rsidR="00622A7B">
          <w:rPr>
            <w:noProof/>
          </w:rPr>
          <w:t>1</w:t>
        </w:r>
        <w:r>
          <w:fldChar w:fldCharType="end"/>
        </w:r>
      </w:p>
    </w:sdtContent>
  </w:sdt>
  <w:p w:rsidR="003E01CA" w:rsidRDefault="003E0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CA" w:rsidRDefault="003E01CA" w:rsidP="00C47CD1">
      <w:pPr>
        <w:spacing w:after="0" w:line="240" w:lineRule="auto"/>
      </w:pPr>
      <w:r>
        <w:separator/>
      </w:r>
    </w:p>
  </w:footnote>
  <w:footnote w:type="continuationSeparator" w:id="0">
    <w:p w:rsidR="003E01CA" w:rsidRDefault="003E01CA" w:rsidP="00C47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1A7"/>
    <w:multiLevelType w:val="multilevel"/>
    <w:tmpl w:val="FF888AB0"/>
    <w:lvl w:ilvl="0">
      <w:start w:val="4"/>
      <w:numFmt w:val="decimal"/>
      <w:lvlText w:val="%1"/>
      <w:lvlJc w:val="left"/>
      <w:pPr>
        <w:ind w:left="465" w:hanging="465"/>
      </w:pPr>
      <w:rPr>
        <w:rFonts w:hint="default"/>
        <w:b/>
      </w:rPr>
    </w:lvl>
    <w:lvl w:ilvl="1">
      <w:start w:val="14"/>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7EC0A62"/>
    <w:multiLevelType w:val="multilevel"/>
    <w:tmpl w:val="297E17CA"/>
    <w:lvl w:ilvl="0">
      <w:start w:val="6"/>
      <w:numFmt w:val="decimal"/>
      <w:lvlText w:val="%1"/>
      <w:lvlJc w:val="left"/>
      <w:pPr>
        <w:ind w:left="876" w:hanging="876"/>
      </w:pPr>
      <w:rPr>
        <w:rFonts w:hint="default"/>
      </w:rPr>
    </w:lvl>
    <w:lvl w:ilvl="1">
      <w:start w:val="1"/>
      <w:numFmt w:val="decimal"/>
      <w:lvlText w:val="%1.%2"/>
      <w:lvlJc w:val="left"/>
      <w:pPr>
        <w:ind w:left="1090" w:hanging="876"/>
      </w:pPr>
      <w:rPr>
        <w:rFonts w:hint="default"/>
      </w:rPr>
    </w:lvl>
    <w:lvl w:ilvl="2">
      <w:start w:val="2"/>
      <w:numFmt w:val="decimal"/>
      <w:lvlText w:val="%1.%2.%3"/>
      <w:lvlJc w:val="left"/>
      <w:pPr>
        <w:ind w:left="1304" w:hanging="876"/>
      </w:pPr>
      <w:rPr>
        <w:rFonts w:hint="default"/>
      </w:rPr>
    </w:lvl>
    <w:lvl w:ilvl="3">
      <w:start w:val="19"/>
      <w:numFmt w:val="decimal"/>
      <w:lvlText w:val="%1.%2.%3.%4"/>
      <w:lvlJc w:val="left"/>
      <w:pPr>
        <w:ind w:left="1722" w:hanging="1080"/>
      </w:pPr>
      <w:rPr>
        <w:rFonts w:hint="default"/>
        <w:b/>
      </w:rPr>
    </w:lvl>
    <w:lvl w:ilvl="4">
      <w:start w:val="1"/>
      <w:numFmt w:val="decimal"/>
      <w:lvlText w:val="%1.%2.%3.%4.%5"/>
      <w:lvlJc w:val="left"/>
      <w:pPr>
        <w:ind w:left="1936" w:hanging="1080"/>
      </w:pPr>
      <w:rPr>
        <w:rFonts w:hint="default"/>
      </w:rPr>
    </w:lvl>
    <w:lvl w:ilvl="5">
      <w:start w:val="1"/>
      <w:numFmt w:val="decimal"/>
      <w:lvlText w:val="%1.%2.%3.%4.%5.%6"/>
      <w:lvlJc w:val="left"/>
      <w:pPr>
        <w:ind w:left="2510" w:hanging="144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3298" w:hanging="1800"/>
      </w:pPr>
      <w:rPr>
        <w:rFonts w:hint="default"/>
      </w:rPr>
    </w:lvl>
    <w:lvl w:ilvl="8">
      <w:start w:val="1"/>
      <w:numFmt w:val="decimal"/>
      <w:lvlText w:val="%1.%2.%3.%4.%5.%6.%7.%8.%9"/>
      <w:lvlJc w:val="left"/>
      <w:pPr>
        <w:ind w:left="3512" w:hanging="1800"/>
      </w:pPr>
      <w:rPr>
        <w:rFonts w:hint="default"/>
      </w:rPr>
    </w:lvl>
  </w:abstractNum>
  <w:abstractNum w:abstractNumId="2">
    <w:nsid w:val="0EDF266D"/>
    <w:multiLevelType w:val="hybridMultilevel"/>
    <w:tmpl w:val="DED668D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F5437A6"/>
    <w:multiLevelType w:val="multilevel"/>
    <w:tmpl w:val="10528F26"/>
    <w:lvl w:ilvl="0">
      <w:start w:val="2"/>
      <w:numFmt w:val="decimal"/>
      <w:lvlText w:val="%1"/>
      <w:lvlJc w:val="left"/>
      <w:pPr>
        <w:ind w:left="360" w:hanging="360"/>
      </w:pPr>
      <w:rPr>
        <w:rFonts w:hint="default"/>
        <w:b/>
      </w:rPr>
    </w:lvl>
    <w:lvl w:ilvl="1">
      <w:start w:val="7"/>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DF0532"/>
    <w:multiLevelType w:val="hybridMultilevel"/>
    <w:tmpl w:val="A54CC9EE"/>
    <w:lvl w:ilvl="0" w:tplc="96968B1E">
      <w:start w:val="1"/>
      <w:numFmt w:val="decimal"/>
      <w:lvlText w:val="%1)"/>
      <w:lvlJc w:val="left"/>
      <w:pPr>
        <w:ind w:left="720" w:hanging="360"/>
      </w:pPr>
      <w:rPr>
        <w:rFonts w:ascii="Arial" w:hAnsi="Arial"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1DA75594"/>
    <w:multiLevelType w:val="hybridMultilevel"/>
    <w:tmpl w:val="92FE8F0A"/>
    <w:lvl w:ilvl="0" w:tplc="380A0001">
      <w:start w:val="1"/>
      <w:numFmt w:val="bullet"/>
      <w:lvlText w:val=""/>
      <w:lvlJc w:val="left"/>
      <w:pPr>
        <w:ind w:left="644"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21DA5DC3"/>
    <w:multiLevelType w:val="hybridMultilevel"/>
    <w:tmpl w:val="88CA28DC"/>
    <w:lvl w:ilvl="0" w:tplc="380A0005">
      <w:start w:val="1"/>
      <w:numFmt w:val="bullet"/>
      <w:lvlText w:val=""/>
      <w:lvlJc w:val="left"/>
      <w:pPr>
        <w:ind w:left="1500" w:hanging="360"/>
      </w:pPr>
      <w:rPr>
        <w:rFonts w:ascii="Wingdings" w:hAnsi="Wingdings" w:hint="default"/>
      </w:rPr>
    </w:lvl>
    <w:lvl w:ilvl="1" w:tplc="380A0003" w:tentative="1">
      <w:start w:val="1"/>
      <w:numFmt w:val="bullet"/>
      <w:lvlText w:val="o"/>
      <w:lvlJc w:val="left"/>
      <w:pPr>
        <w:ind w:left="2220" w:hanging="360"/>
      </w:pPr>
      <w:rPr>
        <w:rFonts w:ascii="Courier New" w:hAnsi="Courier New" w:cs="Courier New" w:hint="default"/>
      </w:rPr>
    </w:lvl>
    <w:lvl w:ilvl="2" w:tplc="380A0005" w:tentative="1">
      <w:start w:val="1"/>
      <w:numFmt w:val="bullet"/>
      <w:lvlText w:val=""/>
      <w:lvlJc w:val="left"/>
      <w:pPr>
        <w:ind w:left="2940" w:hanging="360"/>
      </w:pPr>
      <w:rPr>
        <w:rFonts w:ascii="Wingdings" w:hAnsi="Wingdings" w:hint="default"/>
      </w:rPr>
    </w:lvl>
    <w:lvl w:ilvl="3" w:tplc="380A0001" w:tentative="1">
      <w:start w:val="1"/>
      <w:numFmt w:val="bullet"/>
      <w:lvlText w:val=""/>
      <w:lvlJc w:val="left"/>
      <w:pPr>
        <w:ind w:left="3660" w:hanging="360"/>
      </w:pPr>
      <w:rPr>
        <w:rFonts w:ascii="Symbol" w:hAnsi="Symbol" w:hint="default"/>
      </w:rPr>
    </w:lvl>
    <w:lvl w:ilvl="4" w:tplc="380A0003" w:tentative="1">
      <w:start w:val="1"/>
      <w:numFmt w:val="bullet"/>
      <w:lvlText w:val="o"/>
      <w:lvlJc w:val="left"/>
      <w:pPr>
        <w:ind w:left="4380" w:hanging="360"/>
      </w:pPr>
      <w:rPr>
        <w:rFonts w:ascii="Courier New" w:hAnsi="Courier New" w:cs="Courier New" w:hint="default"/>
      </w:rPr>
    </w:lvl>
    <w:lvl w:ilvl="5" w:tplc="380A0005" w:tentative="1">
      <w:start w:val="1"/>
      <w:numFmt w:val="bullet"/>
      <w:lvlText w:val=""/>
      <w:lvlJc w:val="left"/>
      <w:pPr>
        <w:ind w:left="5100" w:hanging="360"/>
      </w:pPr>
      <w:rPr>
        <w:rFonts w:ascii="Wingdings" w:hAnsi="Wingdings" w:hint="default"/>
      </w:rPr>
    </w:lvl>
    <w:lvl w:ilvl="6" w:tplc="380A0001" w:tentative="1">
      <w:start w:val="1"/>
      <w:numFmt w:val="bullet"/>
      <w:lvlText w:val=""/>
      <w:lvlJc w:val="left"/>
      <w:pPr>
        <w:ind w:left="5820" w:hanging="360"/>
      </w:pPr>
      <w:rPr>
        <w:rFonts w:ascii="Symbol" w:hAnsi="Symbol" w:hint="default"/>
      </w:rPr>
    </w:lvl>
    <w:lvl w:ilvl="7" w:tplc="380A0003" w:tentative="1">
      <w:start w:val="1"/>
      <w:numFmt w:val="bullet"/>
      <w:lvlText w:val="o"/>
      <w:lvlJc w:val="left"/>
      <w:pPr>
        <w:ind w:left="6540" w:hanging="360"/>
      </w:pPr>
      <w:rPr>
        <w:rFonts w:ascii="Courier New" w:hAnsi="Courier New" w:cs="Courier New" w:hint="default"/>
      </w:rPr>
    </w:lvl>
    <w:lvl w:ilvl="8" w:tplc="380A0005" w:tentative="1">
      <w:start w:val="1"/>
      <w:numFmt w:val="bullet"/>
      <w:lvlText w:val=""/>
      <w:lvlJc w:val="left"/>
      <w:pPr>
        <w:ind w:left="7260" w:hanging="360"/>
      </w:pPr>
      <w:rPr>
        <w:rFonts w:ascii="Wingdings" w:hAnsi="Wingdings" w:hint="default"/>
      </w:rPr>
    </w:lvl>
  </w:abstractNum>
  <w:abstractNum w:abstractNumId="8">
    <w:nsid w:val="25F15717"/>
    <w:multiLevelType w:val="hybridMultilevel"/>
    <w:tmpl w:val="E4008828"/>
    <w:lvl w:ilvl="0" w:tplc="CCECF30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2C503754"/>
    <w:multiLevelType w:val="multilevel"/>
    <w:tmpl w:val="B2D404CE"/>
    <w:lvl w:ilvl="0">
      <w:start w:val="2"/>
      <w:numFmt w:val="decimal"/>
      <w:lvlText w:val="%1"/>
      <w:lvlJc w:val="left"/>
      <w:pPr>
        <w:ind w:left="360" w:hanging="360"/>
      </w:pPr>
      <w:rPr>
        <w:rFonts w:hint="default"/>
        <w:b/>
      </w:rPr>
    </w:lvl>
    <w:lvl w:ilvl="1">
      <w:start w:val="8"/>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0">
    <w:nsid w:val="2FBC7284"/>
    <w:multiLevelType w:val="hybridMultilevel"/>
    <w:tmpl w:val="44DE5B16"/>
    <w:lvl w:ilvl="0" w:tplc="C8A638D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35B35B28"/>
    <w:multiLevelType w:val="multilevel"/>
    <w:tmpl w:val="8FD2E076"/>
    <w:lvl w:ilvl="0">
      <w:start w:val="2"/>
      <w:numFmt w:val="decimal"/>
      <w:lvlText w:val="%1."/>
      <w:lvlJc w:val="left"/>
      <w:pPr>
        <w:ind w:left="405" w:hanging="40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2">
    <w:nsid w:val="3C3C1BAB"/>
    <w:multiLevelType w:val="hybridMultilevel"/>
    <w:tmpl w:val="88B87A6A"/>
    <w:lvl w:ilvl="0" w:tplc="504605D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487D2572"/>
    <w:multiLevelType w:val="multilevel"/>
    <w:tmpl w:val="8B26AE3E"/>
    <w:lvl w:ilvl="0">
      <w:start w:val="2"/>
      <w:numFmt w:val="decimal"/>
      <w:lvlText w:val="%1"/>
      <w:lvlJc w:val="left"/>
      <w:pPr>
        <w:ind w:left="360" w:hanging="360"/>
      </w:pPr>
      <w:rPr>
        <w:rFonts w:hint="default"/>
        <w:b/>
      </w:rPr>
    </w:lvl>
    <w:lvl w:ilvl="1">
      <w:start w:val="8"/>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4">
    <w:nsid w:val="49EE749D"/>
    <w:multiLevelType w:val="multilevel"/>
    <w:tmpl w:val="0992839A"/>
    <w:lvl w:ilvl="0">
      <w:start w:val="2"/>
      <w:numFmt w:val="decimal"/>
      <w:lvlText w:val="%1"/>
      <w:lvlJc w:val="left"/>
      <w:pPr>
        <w:ind w:left="360" w:hanging="360"/>
      </w:pPr>
      <w:rPr>
        <w:rFonts w:hint="default"/>
        <w:b/>
      </w:rPr>
    </w:lvl>
    <w:lvl w:ilvl="1">
      <w:start w:val="7"/>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5">
    <w:nsid w:val="510F7364"/>
    <w:multiLevelType w:val="hybridMultilevel"/>
    <w:tmpl w:val="7BE437D0"/>
    <w:lvl w:ilvl="0" w:tplc="32CE59C6">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51380883"/>
    <w:multiLevelType w:val="multilevel"/>
    <w:tmpl w:val="5D7E32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5EA3CFD"/>
    <w:multiLevelType w:val="multilevel"/>
    <w:tmpl w:val="E168F03A"/>
    <w:lvl w:ilvl="0">
      <w:start w:val="3"/>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8">
    <w:nsid w:val="5E7322D6"/>
    <w:multiLevelType w:val="hybridMultilevel"/>
    <w:tmpl w:val="6F28AAA6"/>
    <w:lvl w:ilvl="0" w:tplc="E0EEB312">
      <w:start w:val="5"/>
      <w:numFmt w:val="bullet"/>
      <w:lvlText w:val="-"/>
      <w:lvlJc w:val="left"/>
      <w:pPr>
        <w:ind w:left="1080" w:hanging="360"/>
      </w:pPr>
      <w:rPr>
        <w:rFonts w:ascii="Arial" w:eastAsia="Calibri" w:hAnsi="Arial" w:cs="Arial" w:hint="default"/>
        <w:sz w:val="24"/>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9">
    <w:nsid w:val="6B15596E"/>
    <w:multiLevelType w:val="multilevel"/>
    <w:tmpl w:val="6514333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nsid w:val="6C901E05"/>
    <w:multiLevelType w:val="hybridMultilevel"/>
    <w:tmpl w:val="A7CE2E0E"/>
    <w:lvl w:ilvl="0" w:tplc="A5427A8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nsid w:val="6CEC69DC"/>
    <w:multiLevelType w:val="hybridMultilevel"/>
    <w:tmpl w:val="EA62785E"/>
    <w:lvl w:ilvl="0" w:tplc="88EEB944">
      <w:start w:val="1"/>
      <w:numFmt w:val="bullet"/>
      <w:lvlText w:val="_"/>
      <w:lvlJc w:val="left"/>
      <w:pPr>
        <w:ind w:left="720" w:hanging="360"/>
      </w:pPr>
      <w:rPr>
        <w:rFonts w:ascii="Arial" w:eastAsia="Calibri" w:hAnsi="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nsid w:val="6E016FE6"/>
    <w:multiLevelType w:val="hybridMultilevel"/>
    <w:tmpl w:val="23F27BCA"/>
    <w:lvl w:ilvl="0" w:tplc="380A0005">
      <w:start w:val="1"/>
      <w:numFmt w:val="bullet"/>
      <w:lvlText w:val=""/>
      <w:lvlJc w:val="left"/>
      <w:pPr>
        <w:ind w:left="1146" w:hanging="360"/>
      </w:pPr>
      <w:rPr>
        <w:rFonts w:ascii="Wingdings" w:hAnsi="Wingdings" w:hint="default"/>
      </w:rPr>
    </w:lvl>
    <w:lvl w:ilvl="1" w:tplc="380A0003" w:tentative="1">
      <w:start w:val="1"/>
      <w:numFmt w:val="bullet"/>
      <w:lvlText w:val="o"/>
      <w:lvlJc w:val="left"/>
      <w:pPr>
        <w:ind w:left="1866" w:hanging="360"/>
      </w:pPr>
      <w:rPr>
        <w:rFonts w:ascii="Courier New" w:hAnsi="Courier New" w:cs="Courier New" w:hint="default"/>
      </w:rPr>
    </w:lvl>
    <w:lvl w:ilvl="2" w:tplc="380A0005" w:tentative="1">
      <w:start w:val="1"/>
      <w:numFmt w:val="bullet"/>
      <w:lvlText w:val=""/>
      <w:lvlJc w:val="left"/>
      <w:pPr>
        <w:ind w:left="2586" w:hanging="360"/>
      </w:pPr>
      <w:rPr>
        <w:rFonts w:ascii="Wingdings" w:hAnsi="Wingdings" w:hint="default"/>
      </w:rPr>
    </w:lvl>
    <w:lvl w:ilvl="3" w:tplc="380A0001" w:tentative="1">
      <w:start w:val="1"/>
      <w:numFmt w:val="bullet"/>
      <w:lvlText w:val=""/>
      <w:lvlJc w:val="left"/>
      <w:pPr>
        <w:ind w:left="3306" w:hanging="360"/>
      </w:pPr>
      <w:rPr>
        <w:rFonts w:ascii="Symbol" w:hAnsi="Symbol" w:hint="default"/>
      </w:rPr>
    </w:lvl>
    <w:lvl w:ilvl="4" w:tplc="380A0003" w:tentative="1">
      <w:start w:val="1"/>
      <w:numFmt w:val="bullet"/>
      <w:lvlText w:val="o"/>
      <w:lvlJc w:val="left"/>
      <w:pPr>
        <w:ind w:left="4026" w:hanging="360"/>
      </w:pPr>
      <w:rPr>
        <w:rFonts w:ascii="Courier New" w:hAnsi="Courier New" w:cs="Courier New" w:hint="default"/>
      </w:rPr>
    </w:lvl>
    <w:lvl w:ilvl="5" w:tplc="380A0005" w:tentative="1">
      <w:start w:val="1"/>
      <w:numFmt w:val="bullet"/>
      <w:lvlText w:val=""/>
      <w:lvlJc w:val="left"/>
      <w:pPr>
        <w:ind w:left="4746" w:hanging="360"/>
      </w:pPr>
      <w:rPr>
        <w:rFonts w:ascii="Wingdings" w:hAnsi="Wingdings" w:hint="default"/>
      </w:rPr>
    </w:lvl>
    <w:lvl w:ilvl="6" w:tplc="380A0001" w:tentative="1">
      <w:start w:val="1"/>
      <w:numFmt w:val="bullet"/>
      <w:lvlText w:val=""/>
      <w:lvlJc w:val="left"/>
      <w:pPr>
        <w:ind w:left="5466" w:hanging="360"/>
      </w:pPr>
      <w:rPr>
        <w:rFonts w:ascii="Symbol" w:hAnsi="Symbol" w:hint="default"/>
      </w:rPr>
    </w:lvl>
    <w:lvl w:ilvl="7" w:tplc="380A0003" w:tentative="1">
      <w:start w:val="1"/>
      <w:numFmt w:val="bullet"/>
      <w:lvlText w:val="o"/>
      <w:lvlJc w:val="left"/>
      <w:pPr>
        <w:ind w:left="6186" w:hanging="360"/>
      </w:pPr>
      <w:rPr>
        <w:rFonts w:ascii="Courier New" w:hAnsi="Courier New" w:cs="Courier New" w:hint="default"/>
      </w:rPr>
    </w:lvl>
    <w:lvl w:ilvl="8" w:tplc="380A0005" w:tentative="1">
      <w:start w:val="1"/>
      <w:numFmt w:val="bullet"/>
      <w:lvlText w:val=""/>
      <w:lvlJc w:val="left"/>
      <w:pPr>
        <w:ind w:left="6906" w:hanging="360"/>
      </w:pPr>
      <w:rPr>
        <w:rFonts w:ascii="Wingdings" w:hAnsi="Wingdings" w:hint="default"/>
      </w:rPr>
    </w:lvl>
  </w:abstractNum>
  <w:abstractNum w:abstractNumId="23">
    <w:nsid w:val="6E451CDE"/>
    <w:multiLevelType w:val="hybridMultilevel"/>
    <w:tmpl w:val="6914BA70"/>
    <w:lvl w:ilvl="0" w:tplc="B1385976">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nsid w:val="73B07DC9"/>
    <w:multiLevelType w:val="hybridMultilevel"/>
    <w:tmpl w:val="434C248A"/>
    <w:lvl w:ilvl="0" w:tplc="FFAC2AB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nsid w:val="78134DA0"/>
    <w:multiLevelType w:val="hybridMultilevel"/>
    <w:tmpl w:val="F5601EE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6">
    <w:nsid w:val="7FE70E07"/>
    <w:multiLevelType w:val="multilevel"/>
    <w:tmpl w:val="888603E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25"/>
  </w:num>
  <w:num w:numId="3">
    <w:abstractNumId w:val="5"/>
  </w:num>
  <w:num w:numId="4">
    <w:abstractNumId w:val="21"/>
  </w:num>
  <w:num w:numId="5">
    <w:abstractNumId w:val="11"/>
  </w:num>
  <w:num w:numId="6">
    <w:abstractNumId w:val="2"/>
  </w:num>
  <w:num w:numId="7">
    <w:abstractNumId w:val="22"/>
  </w:num>
  <w:num w:numId="8">
    <w:abstractNumId w:val="6"/>
  </w:num>
  <w:num w:numId="9">
    <w:abstractNumId w:val="7"/>
  </w:num>
  <w:num w:numId="10">
    <w:abstractNumId w:val="23"/>
  </w:num>
  <w:num w:numId="11">
    <w:abstractNumId w:val="8"/>
  </w:num>
  <w:num w:numId="12">
    <w:abstractNumId w:val="10"/>
  </w:num>
  <w:num w:numId="13">
    <w:abstractNumId w:val="20"/>
  </w:num>
  <w:num w:numId="14">
    <w:abstractNumId w:val="15"/>
  </w:num>
  <w:num w:numId="15">
    <w:abstractNumId w:val="14"/>
  </w:num>
  <w:num w:numId="16">
    <w:abstractNumId w:val="3"/>
  </w:num>
  <w:num w:numId="17">
    <w:abstractNumId w:val="9"/>
  </w:num>
  <w:num w:numId="18">
    <w:abstractNumId w:val="13"/>
  </w:num>
  <w:num w:numId="19">
    <w:abstractNumId w:val="18"/>
  </w:num>
  <w:num w:numId="20">
    <w:abstractNumId w:val="16"/>
  </w:num>
  <w:num w:numId="21">
    <w:abstractNumId w:val="26"/>
  </w:num>
  <w:num w:numId="22">
    <w:abstractNumId w:val="17"/>
  </w:num>
  <w:num w:numId="23">
    <w:abstractNumId w:val="19"/>
  </w:num>
  <w:num w:numId="24">
    <w:abstractNumId w:val="1"/>
  </w:num>
  <w:num w:numId="25">
    <w:abstractNumId w:val="0"/>
  </w:num>
  <w:num w:numId="26">
    <w:abstractNumId w:val="24"/>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4B"/>
    <w:rsid w:val="000007F7"/>
    <w:rsid w:val="00004186"/>
    <w:rsid w:val="000044D5"/>
    <w:rsid w:val="00007761"/>
    <w:rsid w:val="00007A8D"/>
    <w:rsid w:val="00015674"/>
    <w:rsid w:val="000156C0"/>
    <w:rsid w:val="000216FA"/>
    <w:rsid w:val="00026358"/>
    <w:rsid w:val="00050D88"/>
    <w:rsid w:val="00051D8C"/>
    <w:rsid w:val="00052059"/>
    <w:rsid w:val="00053125"/>
    <w:rsid w:val="00057645"/>
    <w:rsid w:val="00062A13"/>
    <w:rsid w:val="00070026"/>
    <w:rsid w:val="0007333C"/>
    <w:rsid w:val="00074E7C"/>
    <w:rsid w:val="000756DE"/>
    <w:rsid w:val="00083425"/>
    <w:rsid w:val="0008504E"/>
    <w:rsid w:val="0008708D"/>
    <w:rsid w:val="000908E0"/>
    <w:rsid w:val="000942F6"/>
    <w:rsid w:val="00095589"/>
    <w:rsid w:val="000A251D"/>
    <w:rsid w:val="000A53BF"/>
    <w:rsid w:val="000A6D35"/>
    <w:rsid w:val="000A7D25"/>
    <w:rsid w:val="000B1BE5"/>
    <w:rsid w:val="000B25D3"/>
    <w:rsid w:val="000B2600"/>
    <w:rsid w:val="000B3D69"/>
    <w:rsid w:val="000C3757"/>
    <w:rsid w:val="000C40E7"/>
    <w:rsid w:val="000C73EF"/>
    <w:rsid w:val="000E0704"/>
    <w:rsid w:val="000F1F50"/>
    <w:rsid w:val="000F227A"/>
    <w:rsid w:val="000F3A6E"/>
    <w:rsid w:val="0010007A"/>
    <w:rsid w:val="00101964"/>
    <w:rsid w:val="00104A92"/>
    <w:rsid w:val="00105EFD"/>
    <w:rsid w:val="001124BF"/>
    <w:rsid w:val="00113164"/>
    <w:rsid w:val="00114090"/>
    <w:rsid w:val="0011613D"/>
    <w:rsid w:val="00120C95"/>
    <w:rsid w:val="00122F86"/>
    <w:rsid w:val="00123704"/>
    <w:rsid w:val="00126162"/>
    <w:rsid w:val="001263BF"/>
    <w:rsid w:val="00136D9B"/>
    <w:rsid w:val="00137B0C"/>
    <w:rsid w:val="00157DEB"/>
    <w:rsid w:val="001605E7"/>
    <w:rsid w:val="0016364D"/>
    <w:rsid w:val="00170239"/>
    <w:rsid w:val="00172C77"/>
    <w:rsid w:val="0017553B"/>
    <w:rsid w:val="0017703D"/>
    <w:rsid w:val="00180D0A"/>
    <w:rsid w:val="00182617"/>
    <w:rsid w:val="00187893"/>
    <w:rsid w:val="001905B8"/>
    <w:rsid w:val="00192724"/>
    <w:rsid w:val="00192D0F"/>
    <w:rsid w:val="0019305C"/>
    <w:rsid w:val="0019319F"/>
    <w:rsid w:val="001A174A"/>
    <w:rsid w:val="001A1DE7"/>
    <w:rsid w:val="001A39AE"/>
    <w:rsid w:val="001B0F12"/>
    <w:rsid w:val="001B321D"/>
    <w:rsid w:val="001B6541"/>
    <w:rsid w:val="001B680A"/>
    <w:rsid w:val="001C0847"/>
    <w:rsid w:val="001C0A2F"/>
    <w:rsid w:val="001C0CB9"/>
    <w:rsid w:val="001C0E77"/>
    <w:rsid w:val="001D1E0C"/>
    <w:rsid w:val="001D2594"/>
    <w:rsid w:val="001D281A"/>
    <w:rsid w:val="001D63C4"/>
    <w:rsid w:val="001D7C04"/>
    <w:rsid w:val="001E0216"/>
    <w:rsid w:val="001E320F"/>
    <w:rsid w:val="001E41D0"/>
    <w:rsid w:val="001E5B9D"/>
    <w:rsid w:val="001F37C3"/>
    <w:rsid w:val="001F39A2"/>
    <w:rsid w:val="001F62E3"/>
    <w:rsid w:val="00203A11"/>
    <w:rsid w:val="002074B3"/>
    <w:rsid w:val="0021016E"/>
    <w:rsid w:val="00211C78"/>
    <w:rsid w:val="00212182"/>
    <w:rsid w:val="00215D1E"/>
    <w:rsid w:val="0022425E"/>
    <w:rsid w:val="0023094C"/>
    <w:rsid w:val="00234642"/>
    <w:rsid w:val="00234FBD"/>
    <w:rsid w:val="002354A4"/>
    <w:rsid w:val="00235ABC"/>
    <w:rsid w:val="00235C9C"/>
    <w:rsid w:val="0024387A"/>
    <w:rsid w:val="00245364"/>
    <w:rsid w:val="00255687"/>
    <w:rsid w:val="00255EAC"/>
    <w:rsid w:val="00261358"/>
    <w:rsid w:val="00262FE1"/>
    <w:rsid w:val="002728CA"/>
    <w:rsid w:val="002739D1"/>
    <w:rsid w:val="0028020E"/>
    <w:rsid w:val="002831E7"/>
    <w:rsid w:val="00283912"/>
    <w:rsid w:val="00285177"/>
    <w:rsid w:val="0028634B"/>
    <w:rsid w:val="00287FB8"/>
    <w:rsid w:val="00295791"/>
    <w:rsid w:val="002A2B5B"/>
    <w:rsid w:val="002A45E9"/>
    <w:rsid w:val="002A49E4"/>
    <w:rsid w:val="002A621A"/>
    <w:rsid w:val="002A6FCC"/>
    <w:rsid w:val="002B4A92"/>
    <w:rsid w:val="002B55DA"/>
    <w:rsid w:val="002B5A9C"/>
    <w:rsid w:val="002B6B73"/>
    <w:rsid w:val="002C6ECA"/>
    <w:rsid w:val="002C7ACC"/>
    <w:rsid w:val="002D2384"/>
    <w:rsid w:val="002D2C0B"/>
    <w:rsid w:val="002D3C0C"/>
    <w:rsid w:val="002D4680"/>
    <w:rsid w:val="002D7796"/>
    <w:rsid w:val="002D7F1A"/>
    <w:rsid w:val="002E174E"/>
    <w:rsid w:val="002E32FF"/>
    <w:rsid w:val="002E7B71"/>
    <w:rsid w:val="002F0E83"/>
    <w:rsid w:val="002F36A7"/>
    <w:rsid w:val="002F4A25"/>
    <w:rsid w:val="002F5336"/>
    <w:rsid w:val="00300AB7"/>
    <w:rsid w:val="00300C37"/>
    <w:rsid w:val="003041C3"/>
    <w:rsid w:val="00312985"/>
    <w:rsid w:val="00313323"/>
    <w:rsid w:val="00321CD6"/>
    <w:rsid w:val="00322209"/>
    <w:rsid w:val="00325DD1"/>
    <w:rsid w:val="00331296"/>
    <w:rsid w:val="003313B6"/>
    <w:rsid w:val="0033226B"/>
    <w:rsid w:val="00332528"/>
    <w:rsid w:val="003332F2"/>
    <w:rsid w:val="00333C3F"/>
    <w:rsid w:val="00336197"/>
    <w:rsid w:val="003361ED"/>
    <w:rsid w:val="00341683"/>
    <w:rsid w:val="00341918"/>
    <w:rsid w:val="003423E1"/>
    <w:rsid w:val="00345CBE"/>
    <w:rsid w:val="00350314"/>
    <w:rsid w:val="003575E4"/>
    <w:rsid w:val="00364039"/>
    <w:rsid w:val="00367230"/>
    <w:rsid w:val="00367D78"/>
    <w:rsid w:val="0037016E"/>
    <w:rsid w:val="00374BA6"/>
    <w:rsid w:val="003759C0"/>
    <w:rsid w:val="003826FC"/>
    <w:rsid w:val="00382E4C"/>
    <w:rsid w:val="00385CC2"/>
    <w:rsid w:val="003866DE"/>
    <w:rsid w:val="0039497B"/>
    <w:rsid w:val="003B0494"/>
    <w:rsid w:val="003B4E83"/>
    <w:rsid w:val="003C4CC5"/>
    <w:rsid w:val="003C6A7C"/>
    <w:rsid w:val="003D05F8"/>
    <w:rsid w:val="003D3CD7"/>
    <w:rsid w:val="003D44B4"/>
    <w:rsid w:val="003D4C87"/>
    <w:rsid w:val="003E01CA"/>
    <w:rsid w:val="003E3681"/>
    <w:rsid w:val="003F3F57"/>
    <w:rsid w:val="003F53E2"/>
    <w:rsid w:val="003F5F30"/>
    <w:rsid w:val="00401A31"/>
    <w:rsid w:val="0041025B"/>
    <w:rsid w:val="00416D15"/>
    <w:rsid w:val="00422B07"/>
    <w:rsid w:val="004275F7"/>
    <w:rsid w:val="00437AD9"/>
    <w:rsid w:val="0044059D"/>
    <w:rsid w:val="00441650"/>
    <w:rsid w:val="004429E8"/>
    <w:rsid w:val="00443E2F"/>
    <w:rsid w:val="004461F7"/>
    <w:rsid w:val="00452022"/>
    <w:rsid w:val="00452641"/>
    <w:rsid w:val="00452AF8"/>
    <w:rsid w:val="00453BC0"/>
    <w:rsid w:val="004632CA"/>
    <w:rsid w:val="004653F0"/>
    <w:rsid w:val="00472061"/>
    <w:rsid w:val="0047254A"/>
    <w:rsid w:val="00473FC8"/>
    <w:rsid w:val="0047479E"/>
    <w:rsid w:val="00485427"/>
    <w:rsid w:val="004855D8"/>
    <w:rsid w:val="0049205D"/>
    <w:rsid w:val="00492214"/>
    <w:rsid w:val="00495B78"/>
    <w:rsid w:val="004A03F6"/>
    <w:rsid w:val="004A1CAF"/>
    <w:rsid w:val="004A216F"/>
    <w:rsid w:val="004A5562"/>
    <w:rsid w:val="004B26F0"/>
    <w:rsid w:val="004C11F9"/>
    <w:rsid w:val="004C6A38"/>
    <w:rsid w:val="004D2BD5"/>
    <w:rsid w:val="004D649C"/>
    <w:rsid w:val="004D6EC9"/>
    <w:rsid w:val="004D7A19"/>
    <w:rsid w:val="004E5741"/>
    <w:rsid w:val="004E6598"/>
    <w:rsid w:val="004F2398"/>
    <w:rsid w:val="004F49F1"/>
    <w:rsid w:val="004F7343"/>
    <w:rsid w:val="004F7E21"/>
    <w:rsid w:val="005019A2"/>
    <w:rsid w:val="00502BEE"/>
    <w:rsid w:val="00506F1E"/>
    <w:rsid w:val="005121F9"/>
    <w:rsid w:val="0051234E"/>
    <w:rsid w:val="005142BD"/>
    <w:rsid w:val="005150CB"/>
    <w:rsid w:val="005434A9"/>
    <w:rsid w:val="00544BFF"/>
    <w:rsid w:val="005465EA"/>
    <w:rsid w:val="0055091C"/>
    <w:rsid w:val="00550D76"/>
    <w:rsid w:val="005556CD"/>
    <w:rsid w:val="00555B7E"/>
    <w:rsid w:val="00561061"/>
    <w:rsid w:val="00564C04"/>
    <w:rsid w:val="00571249"/>
    <w:rsid w:val="00576767"/>
    <w:rsid w:val="00581854"/>
    <w:rsid w:val="005831F1"/>
    <w:rsid w:val="00584608"/>
    <w:rsid w:val="00586334"/>
    <w:rsid w:val="0059127B"/>
    <w:rsid w:val="00591A49"/>
    <w:rsid w:val="00592F4D"/>
    <w:rsid w:val="005930B4"/>
    <w:rsid w:val="005A0F52"/>
    <w:rsid w:val="005A6A37"/>
    <w:rsid w:val="005A75B7"/>
    <w:rsid w:val="005B1976"/>
    <w:rsid w:val="005B373D"/>
    <w:rsid w:val="005B3814"/>
    <w:rsid w:val="005B3BB4"/>
    <w:rsid w:val="005C0F31"/>
    <w:rsid w:val="005C362B"/>
    <w:rsid w:val="005C7B46"/>
    <w:rsid w:val="005D2B01"/>
    <w:rsid w:val="005D6618"/>
    <w:rsid w:val="005E059C"/>
    <w:rsid w:val="005E1D36"/>
    <w:rsid w:val="005E299F"/>
    <w:rsid w:val="005E432D"/>
    <w:rsid w:val="005E5724"/>
    <w:rsid w:val="005F6A87"/>
    <w:rsid w:val="005F6B0F"/>
    <w:rsid w:val="00602BB8"/>
    <w:rsid w:val="006121EB"/>
    <w:rsid w:val="00612889"/>
    <w:rsid w:val="0061675E"/>
    <w:rsid w:val="00616D82"/>
    <w:rsid w:val="00621628"/>
    <w:rsid w:val="00622A7B"/>
    <w:rsid w:val="0062444D"/>
    <w:rsid w:val="00624C4B"/>
    <w:rsid w:val="006251B1"/>
    <w:rsid w:val="0063006C"/>
    <w:rsid w:val="00632562"/>
    <w:rsid w:val="0063785E"/>
    <w:rsid w:val="0064202C"/>
    <w:rsid w:val="00645295"/>
    <w:rsid w:val="00651A06"/>
    <w:rsid w:val="00653B76"/>
    <w:rsid w:val="00653C67"/>
    <w:rsid w:val="0066749B"/>
    <w:rsid w:val="00670510"/>
    <w:rsid w:val="00672164"/>
    <w:rsid w:val="0068686C"/>
    <w:rsid w:val="00686A60"/>
    <w:rsid w:val="00687231"/>
    <w:rsid w:val="006920F9"/>
    <w:rsid w:val="006A05EC"/>
    <w:rsid w:val="006A11B1"/>
    <w:rsid w:val="006A37EC"/>
    <w:rsid w:val="006A385D"/>
    <w:rsid w:val="006A3AD9"/>
    <w:rsid w:val="006A61C6"/>
    <w:rsid w:val="006B3ECE"/>
    <w:rsid w:val="006C07BF"/>
    <w:rsid w:val="006C7D02"/>
    <w:rsid w:val="006D04FA"/>
    <w:rsid w:val="006D1C43"/>
    <w:rsid w:val="006D5FF6"/>
    <w:rsid w:val="006D77E9"/>
    <w:rsid w:val="006E6BC4"/>
    <w:rsid w:val="006E6EAF"/>
    <w:rsid w:val="00705945"/>
    <w:rsid w:val="00707066"/>
    <w:rsid w:val="00711930"/>
    <w:rsid w:val="00712605"/>
    <w:rsid w:val="00714EAB"/>
    <w:rsid w:val="0072032A"/>
    <w:rsid w:val="00721F98"/>
    <w:rsid w:val="00732FED"/>
    <w:rsid w:val="00741427"/>
    <w:rsid w:val="00743078"/>
    <w:rsid w:val="00743C05"/>
    <w:rsid w:val="00744B06"/>
    <w:rsid w:val="007462E9"/>
    <w:rsid w:val="0075036B"/>
    <w:rsid w:val="007507C0"/>
    <w:rsid w:val="00751411"/>
    <w:rsid w:val="007552B2"/>
    <w:rsid w:val="007558F3"/>
    <w:rsid w:val="00757660"/>
    <w:rsid w:val="00765D2E"/>
    <w:rsid w:val="00765DFD"/>
    <w:rsid w:val="00771E64"/>
    <w:rsid w:val="00772ED7"/>
    <w:rsid w:val="0078033E"/>
    <w:rsid w:val="00796A61"/>
    <w:rsid w:val="007A3043"/>
    <w:rsid w:val="007C7DD2"/>
    <w:rsid w:val="007D60F8"/>
    <w:rsid w:val="007D6306"/>
    <w:rsid w:val="007D65C5"/>
    <w:rsid w:val="007E0D7D"/>
    <w:rsid w:val="007F01E6"/>
    <w:rsid w:val="007F747F"/>
    <w:rsid w:val="007F795D"/>
    <w:rsid w:val="00807056"/>
    <w:rsid w:val="00810756"/>
    <w:rsid w:val="00814026"/>
    <w:rsid w:val="00826B73"/>
    <w:rsid w:val="008271A8"/>
    <w:rsid w:val="00834686"/>
    <w:rsid w:val="00834B02"/>
    <w:rsid w:val="008361C2"/>
    <w:rsid w:val="00842DBD"/>
    <w:rsid w:val="008626BD"/>
    <w:rsid w:val="008657E1"/>
    <w:rsid w:val="00877EAA"/>
    <w:rsid w:val="00882391"/>
    <w:rsid w:val="00886BF3"/>
    <w:rsid w:val="00896BDA"/>
    <w:rsid w:val="008A3B22"/>
    <w:rsid w:val="008A4BED"/>
    <w:rsid w:val="008A6896"/>
    <w:rsid w:val="008A77A9"/>
    <w:rsid w:val="008B441B"/>
    <w:rsid w:val="008B4BCC"/>
    <w:rsid w:val="008C055E"/>
    <w:rsid w:val="008C0EEE"/>
    <w:rsid w:val="008C34D9"/>
    <w:rsid w:val="008D0BE4"/>
    <w:rsid w:val="008D25A4"/>
    <w:rsid w:val="008D3EB6"/>
    <w:rsid w:val="008D5753"/>
    <w:rsid w:val="008E0060"/>
    <w:rsid w:val="008E1650"/>
    <w:rsid w:val="008E5A0E"/>
    <w:rsid w:val="008E5C10"/>
    <w:rsid w:val="008E74AF"/>
    <w:rsid w:val="008E79BC"/>
    <w:rsid w:val="00903921"/>
    <w:rsid w:val="00912A6B"/>
    <w:rsid w:val="00913177"/>
    <w:rsid w:val="009149C7"/>
    <w:rsid w:val="00922034"/>
    <w:rsid w:val="0092676F"/>
    <w:rsid w:val="009272B5"/>
    <w:rsid w:val="00934C16"/>
    <w:rsid w:val="00940757"/>
    <w:rsid w:val="00941DF8"/>
    <w:rsid w:val="00946828"/>
    <w:rsid w:val="00950602"/>
    <w:rsid w:val="0095215C"/>
    <w:rsid w:val="009526D4"/>
    <w:rsid w:val="00956134"/>
    <w:rsid w:val="009630F5"/>
    <w:rsid w:val="00963347"/>
    <w:rsid w:val="00963A14"/>
    <w:rsid w:val="00970981"/>
    <w:rsid w:val="0098164A"/>
    <w:rsid w:val="009854DE"/>
    <w:rsid w:val="0099077C"/>
    <w:rsid w:val="0099256E"/>
    <w:rsid w:val="00995674"/>
    <w:rsid w:val="009A3EA1"/>
    <w:rsid w:val="009A421C"/>
    <w:rsid w:val="009B596B"/>
    <w:rsid w:val="009B76E4"/>
    <w:rsid w:val="009B776C"/>
    <w:rsid w:val="009C02D0"/>
    <w:rsid w:val="009C229B"/>
    <w:rsid w:val="009C52BA"/>
    <w:rsid w:val="009D2F6A"/>
    <w:rsid w:val="009D3BD6"/>
    <w:rsid w:val="009D5349"/>
    <w:rsid w:val="009D5B42"/>
    <w:rsid w:val="009D71A5"/>
    <w:rsid w:val="009F48B3"/>
    <w:rsid w:val="009F4C42"/>
    <w:rsid w:val="009F6A2E"/>
    <w:rsid w:val="00A01199"/>
    <w:rsid w:val="00A01D00"/>
    <w:rsid w:val="00A01DB1"/>
    <w:rsid w:val="00A02510"/>
    <w:rsid w:val="00A206AD"/>
    <w:rsid w:val="00A23EDD"/>
    <w:rsid w:val="00A2476C"/>
    <w:rsid w:val="00A26573"/>
    <w:rsid w:val="00A309D9"/>
    <w:rsid w:val="00A3281E"/>
    <w:rsid w:val="00A35D64"/>
    <w:rsid w:val="00A37811"/>
    <w:rsid w:val="00A44A62"/>
    <w:rsid w:val="00A6312A"/>
    <w:rsid w:val="00A63916"/>
    <w:rsid w:val="00A63E15"/>
    <w:rsid w:val="00A669C5"/>
    <w:rsid w:val="00A70DFC"/>
    <w:rsid w:val="00A77051"/>
    <w:rsid w:val="00A8169E"/>
    <w:rsid w:val="00A836DC"/>
    <w:rsid w:val="00A8615A"/>
    <w:rsid w:val="00A9224B"/>
    <w:rsid w:val="00A9458C"/>
    <w:rsid w:val="00AA526E"/>
    <w:rsid w:val="00AA547C"/>
    <w:rsid w:val="00AB06BF"/>
    <w:rsid w:val="00AB3093"/>
    <w:rsid w:val="00AB5D7A"/>
    <w:rsid w:val="00AC5406"/>
    <w:rsid w:val="00AC6EF2"/>
    <w:rsid w:val="00AD4291"/>
    <w:rsid w:val="00AD78B6"/>
    <w:rsid w:val="00AD7D55"/>
    <w:rsid w:val="00AE256C"/>
    <w:rsid w:val="00AE2706"/>
    <w:rsid w:val="00AE6D4C"/>
    <w:rsid w:val="00AF0F13"/>
    <w:rsid w:val="00AF2818"/>
    <w:rsid w:val="00AF530C"/>
    <w:rsid w:val="00AF73E8"/>
    <w:rsid w:val="00AF7E6B"/>
    <w:rsid w:val="00B13859"/>
    <w:rsid w:val="00B164B0"/>
    <w:rsid w:val="00B17551"/>
    <w:rsid w:val="00B17A40"/>
    <w:rsid w:val="00B23251"/>
    <w:rsid w:val="00B2613B"/>
    <w:rsid w:val="00B30E61"/>
    <w:rsid w:val="00B312B1"/>
    <w:rsid w:val="00B3346A"/>
    <w:rsid w:val="00B344B5"/>
    <w:rsid w:val="00B408F8"/>
    <w:rsid w:val="00B417D4"/>
    <w:rsid w:val="00B41E85"/>
    <w:rsid w:val="00B5321C"/>
    <w:rsid w:val="00B63545"/>
    <w:rsid w:val="00B64489"/>
    <w:rsid w:val="00B6614E"/>
    <w:rsid w:val="00B7337D"/>
    <w:rsid w:val="00B8135A"/>
    <w:rsid w:val="00B908C0"/>
    <w:rsid w:val="00B9221B"/>
    <w:rsid w:val="00B93C3C"/>
    <w:rsid w:val="00B96FE4"/>
    <w:rsid w:val="00B97728"/>
    <w:rsid w:val="00BA2D2B"/>
    <w:rsid w:val="00BB4E68"/>
    <w:rsid w:val="00BC43FE"/>
    <w:rsid w:val="00BC50A9"/>
    <w:rsid w:val="00BD11B5"/>
    <w:rsid w:val="00BD40C2"/>
    <w:rsid w:val="00BD56DB"/>
    <w:rsid w:val="00BD6833"/>
    <w:rsid w:val="00BE1177"/>
    <w:rsid w:val="00BE3443"/>
    <w:rsid w:val="00BF615D"/>
    <w:rsid w:val="00BF6E21"/>
    <w:rsid w:val="00C0045F"/>
    <w:rsid w:val="00C00B67"/>
    <w:rsid w:val="00C03972"/>
    <w:rsid w:val="00C07975"/>
    <w:rsid w:val="00C07B92"/>
    <w:rsid w:val="00C07EBE"/>
    <w:rsid w:val="00C100EC"/>
    <w:rsid w:val="00C12470"/>
    <w:rsid w:val="00C151D3"/>
    <w:rsid w:val="00C15987"/>
    <w:rsid w:val="00C17AEB"/>
    <w:rsid w:val="00C2026C"/>
    <w:rsid w:val="00C205E9"/>
    <w:rsid w:val="00C25700"/>
    <w:rsid w:val="00C25BD0"/>
    <w:rsid w:val="00C26130"/>
    <w:rsid w:val="00C300D7"/>
    <w:rsid w:val="00C41471"/>
    <w:rsid w:val="00C47CD1"/>
    <w:rsid w:val="00C51528"/>
    <w:rsid w:val="00C525C6"/>
    <w:rsid w:val="00C5348D"/>
    <w:rsid w:val="00C54266"/>
    <w:rsid w:val="00C67C8C"/>
    <w:rsid w:val="00C67CC2"/>
    <w:rsid w:val="00C746D3"/>
    <w:rsid w:val="00C8086C"/>
    <w:rsid w:val="00C80E34"/>
    <w:rsid w:val="00C824F6"/>
    <w:rsid w:val="00C82EF4"/>
    <w:rsid w:val="00C82F0B"/>
    <w:rsid w:val="00C863CA"/>
    <w:rsid w:val="00C95A27"/>
    <w:rsid w:val="00C97755"/>
    <w:rsid w:val="00CB3314"/>
    <w:rsid w:val="00CB3B5A"/>
    <w:rsid w:val="00CB7BBD"/>
    <w:rsid w:val="00CC10C2"/>
    <w:rsid w:val="00CC1EEA"/>
    <w:rsid w:val="00CD0B6C"/>
    <w:rsid w:val="00CD7C23"/>
    <w:rsid w:val="00CE0B6C"/>
    <w:rsid w:val="00CE68CE"/>
    <w:rsid w:val="00CF66FF"/>
    <w:rsid w:val="00D04DBF"/>
    <w:rsid w:val="00D055E0"/>
    <w:rsid w:val="00D05FA0"/>
    <w:rsid w:val="00D073BD"/>
    <w:rsid w:val="00D15037"/>
    <w:rsid w:val="00D305CF"/>
    <w:rsid w:val="00D309DA"/>
    <w:rsid w:val="00D348B6"/>
    <w:rsid w:val="00D3587B"/>
    <w:rsid w:val="00D37B4B"/>
    <w:rsid w:val="00D4269B"/>
    <w:rsid w:val="00D43482"/>
    <w:rsid w:val="00D478F6"/>
    <w:rsid w:val="00D47E05"/>
    <w:rsid w:val="00D54542"/>
    <w:rsid w:val="00D54B29"/>
    <w:rsid w:val="00D55CFE"/>
    <w:rsid w:val="00D647A0"/>
    <w:rsid w:val="00D705C1"/>
    <w:rsid w:val="00D70792"/>
    <w:rsid w:val="00D71EA6"/>
    <w:rsid w:val="00D769CF"/>
    <w:rsid w:val="00D7773E"/>
    <w:rsid w:val="00D85348"/>
    <w:rsid w:val="00D87DF4"/>
    <w:rsid w:val="00D91588"/>
    <w:rsid w:val="00D9730E"/>
    <w:rsid w:val="00DA22EB"/>
    <w:rsid w:val="00DA2ACF"/>
    <w:rsid w:val="00DA3385"/>
    <w:rsid w:val="00DB0EC1"/>
    <w:rsid w:val="00DC2D36"/>
    <w:rsid w:val="00DC5426"/>
    <w:rsid w:val="00DD1EFD"/>
    <w:rsid w:val="00DE4E6F"/>
    <w:rsid w:val="00DE54D6"/>
    <w:rsid w:val="00DE6721"/>
    <w:rsid w:val="00DE779A"/>
    <w:rsid w:val="00DF16F3"/>
    <w:rsid w:val="00DF365E"/>
    <w:rsid w:val="00E0270A"/>
    <w:rsid w:val="00E02954"/>
    <w:rsid w:val="00E05035"/>
    <w:rsid w:val="00E13D4C"/>
    <w:rsid w:val="00E1496B"/>
    <w:rsid w:val="00E22307"/>
    <w:rsid w:val="00E2368D"/>
    <w:rsid w:val="00E2723B"/>
    <w:rsid w:val="00E27647"/>
    <w:rsid w:val="00E33EB9"/>
    <w:rsid w:val="00E36932"/>
    <w:rsid w:val="00E54C91"/>
    <w:rsid w:val="00E61B91"/>
    <w:rsid w:val="00E92853"/>
    <w:rsid w:val="00EA15BB"/>
    <w:rsid w:val="00EA3060"/>
    <w:rsid w:val="00EA6DA5"/>
    <w:rsid w:val="00EC2042"/>
    <w:rsid w:val="00EC6E17"/>
    <w:rsid w:val="00ED4119"/>
    <w:rsid w:val="00ED6292"/>
    <w:rsid w:val="00ED6474"/>
    <w:rsid w:val="00EE1494"/>
    <w:rsid w:val="00EE14A1"/>
    <w:rsid w:val="00EE4A9D"/>
    <w:rsid w:val="00EE4F14"/>
    <w:rsid w:val="00F0407D"/>
    <w:rsid w:val="00F12070"/>
    <w:rsid w:val="00F160CC"/>
    <w:rsid w:val="00F24A46"/>
    <w:rsid w:val="00F30269"/>
    <w:rsid w:val="00F31B68"/>
    <w:rsid w:val="00F33AE1"/>
    <w:rsid w:val="00F34A9A"/>
    <w:rsid w:val="00F367A8"/>
    <w:rsid w:val="00F447E6"/>
    <w:rsid w:val="00F46AF6"/>
    <w:rsid w:val="00F5355A"/>
    <w:rsid w:val="00F54736"/>
    <w:rsid w:val="00F5479C"/>
    <w:rsid w:val="00F57737"/>
    <w:rsid w:val="00F60C8C"/>
    <w:rsid w:val="00F62B52"/>
    <w:rsid w:val="00F65714"/>
    <w:rsid w:val="00F6693B"/>
    <w:rsid w:val="00F67716"/>
    <w:rsid w:val="00F6783A"/>
    <w:rsid w:val="00F67944"/>
    <w:rsid w:val="00F733CF"/>
    <w:rsid w:val="00F74B64"/>
    <w:rsid w:val="00F75D4A"/>
    <w:rsid w:val="00F82228"/>
    <w:rsid w:val="00F96D71"/>
    <w:rsid w:val="00F97CF2"/>
    <w:rsid w:val="00FA3ED9"/>
    <w:rsid w:val="00FB4A20"/>
    <w:rsid w:val="00FC255F"/>
    <w:rsid w:val="00FD158A"/>
    <w:rsid w:val="00FD2BB4"/>
    <w:rsid w:val="00FD3763"/>
    <w:rsid w:val="00FD3909"/>
    <w:rsid w:val="00FD4017"/>
    <w:rsid w:val="00FD5FDC"/>
    <w:rsid w:val="00FD638E"/>
    <w:rsid w:val="00FE4BDC"/>
    <w:rsid w:val="00FE6E31"/>
    <w:rsid w:val="00FE6F81"/>
    <w:rsid w:val="00FF4E39"/>
    <w:rsid w:val="00FF5EB7"/>
    <w:rsid w:val="00FF64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4B"/>
    <w:pPr>
      <w:jc w:val="both"/>
    </w:pPr>
    <w:rPr>
      <w:rFonts w:ascii="Arial" w:eastAsia="Calibri" w:hAnsi="Arial" w:cs="Times New Roman"/>
      <w:sz w:val="24"/>
    </w:rPr>
  </w:style>
  <w:style w:type="paragraph" w:styleId="Ttulo1">
    <w:name w:val="heading 1"/>
    <w:basedOn w:val="Normal"/>
    <w:next w:val="Normal"/>
    <w:link w:val="Ttulo1Car"/>
    <w:uiPriority w:val="99"/>
    <w:qFormat/>
    <w:rsid w:val="0028634B"/>
    <w:pPr>
      <w:keepNext/>
      <w:keepLines/>
      <w:spacing w:before="480" w:after="0"/>
      <w:jc w:val="left"/>
      <w:outlineLvl w:val="0"/>
    </w:pPr>
    <w:rPr>
      <w:rFonts w:ascii="Cambria" w:eastAsia="Times New Roman" w:hAnsi="Cambria"/>
      <w:b/>
      <w:bCs/>
      <w:color w:val="365F91"/>
      <w:sz w:val="28"/>
      <w:szCs w:val="28"/>
      <w:lang w:eastAsia="es-UY"/>
    </w:rPr>
  </w:style>
  <w:style w:type="paragraph" w:styleId="Ttulo3">
    <w:name w:val="heading 3"/>
    <w:basedOn w:val="Normal"/>
    <w:next w:val="Normal"/>
    <w:link w:val="Ttulo3Car"/>
    <w:uiPriority w:val="9"/>
    <w:unhideWhenUsed/>
    <w:qFormat/>
    <w:rsid w:val="00EC2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634B"/>
    <w:rPr>
      <w:rFonts w:ascii="Cambria" w:eastAsia="Times New Roman" w:hAnsi="Cambria" w:cs="Times New Roman"/>
      <w:b/>
      <w:bCs/>
      <w:color w:val="365F91"/>
      <w:sz w:val="28"/>
      <w:szCs w:val="28"/>
      <w:lang w:eastAsia="es-UY"/>
    </w:rPr>
  </w:style>
  <w:style w:type="paragraph" w:styleId="Textoindependiente">
    <w:name w:val="Body Text"/>
    <w:basedOn w:val="Normal"/>
    <w:link w:val="TextoindependienteCar"/>
    <w:semiHidden/>
    <w:rsid w:val="0028634B"/>
    <w:pPr>
      <w:spacing w:after="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semiHidden/>
    <w:rsid w:val="0028634B"/>
    <w:rPr>
      <w:rFonts w:ascii="Times New Roman" w:eastAsia="Times New Roman" w:hAnsi="Times New Roman" w:cs="Times New Roman"/>
      <w:sz w:val="20"/>
      <w:szCs w:val="20"/>
      <w:lang w:eastAsia="es-ES"/>
    </w:rPr>
  </w:style>
  <w:style w:type="paragraph" w:customStyle="1" w:styleId="Sangradetindependiente">
    <w:name w:val="SangrÌa de t. independiente"/>
    <w:basedOn w:val="Normal"/>
    <w:rsid w:val="0028634B"/>
    <w:pPr>
      <w:tabs>
        <w:tab w:val="left" w:pos="860"/>
      </w:tabs>
      <w:spacing w:after="260" w:line="240" w:lineRule="auto"/>
    </w:pPr>
    <w:rPr>
      <w:rFonts w:ascii="Times" w:eastAsia="Times New Roman" w:hAnsi="Times"/>
      <w:sz w:val="22"/>
      <w:szCs w:val="20"/>
      <w:lang w:val="es-ES" w:eastAsia="es-ES"/>
    </w:rPr>
  </w:style>
  <w:style w:type="paragraph" w:customStyle="1" w:styleId="Textonormal">
    <w:name w:val="Texto normal"/>
    <w:basedOn w:val="Textoindependiente"/>
    <w:rsid w:val="0028634B"/>
    <w:pPr>
      <w:widowControl w:val="0"/>
      <w:tabs>
        <w:tab w:val="left" w:pos="-720"/>
      </w:tabs>
      <w:suppressAutoHyphens/>
      <w:spacing w:line="480" w:lineRule="auto"/>
    </w:pPr>
    <w:rPr>
      <w:rFonts w:ascii="Courier" w:hAnsi="Courier" w:cs="Courier"/>
      <w:spacing w:val="-3"/>
      <w:sz w:val="24"/>
      <w:szCs w:val="24"/>
      <w:lang w:val="es-ES_tradnl"/>
    </w:rPr>
  </w:style>
  <w:style w:type="paragraph" w:styleId="Textodeglobo">
    <w:name w:val="Balloon Text"/>
    <w:basedOn w:val="Normal"/>
    <w:link w:val="TextodegloboCar"/>
    <w:uiPriority w:val="99"/>
    <w:semiHidden/>
    <w:unhideWhenUsed/>
    <w:rsid w:val="00C67C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7C8C"/>
    <w:rPr>
      <w:rFonts w:ascii="Tahoma" w:eastAsia="Calibri" w:hAnsi="Tahoma" w:cs="Tahoma"/>
      <w:sz w:val="16"/>
      <w:szCs w:val="16"/>
    </w:rPr>
  </w:style>
  <w:style w:type="paragraph" w:styleId="Textoindependiente2">
    <w:name w:val="Body Text 2"/>
    <w:basedOn w:val="Normal"/>
    <w:link w:val="Textoindependiente2Car"/>
    <w:uiPriority w:val="99"/>
    <w:semiHidden/>
    <w:unhideWhenUsed/>
    <w:rsid w:val="00C47CD1"/>
    <w:pPr>
      <w:spacing w:after="120" w:line="480" w:lineRule="auto"/>
    </w:pPr>
  </w:style>
  <w:style w:type="character" w:customStyle="1" w:styleId="Textoindependiente2Car">
    <w:name w:val="Texto independiente 2 Car"/>
    <w:basedOn w:val="Fuentedeprrafopredeter"/>
    <w:link w:val="Textoindependiente2"/>
    <w:uiPriority w:val="99"/>
    <w:semiHidden/>
    <w:rsid w:val="00C47CD1"/>
    <w:rPr>
      <w:rFonts w:ascii="Arial" w:eastAsia="Calibri" w:hAnsi="Arial" w:cs="Times New Roman"/>
      <w:sz w:val="24"/>
    </w:rPr>
  </w:style>
  <w:style w:type="paragraph" w:styleId="Sangra3detindependiente">
    <w:name w:val="Body Text Indent 3"/>
    <w:basedOn w:val="Normal"/>
    <w:link w:val="Sangra3detindependienteCar"/>
    <w:uiPriority w:val="99"/>
    <w:unhideWhenUsed/>
    <w:rsid w:val="00C47C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47CD1"/>
    <w:rPr>
      <w:rFonts w:ascii="Arial" w:eastAsia="Calibri" w:hAnsi="Arial" w:cs="Times New Roman"/>
      <w:sz w:val="16"/>
      <w:szCs w:val="16"/>
    </w:rPr>
  </w:style>
  <w:style w:type="paragraph" w:styleId="Prrafodelista">
    <w:name w:val="List Paragraph"/>
    <w:basedOn w:val="Normal"/>
    <w:uiPriority w:val="34"/>
    <w:qFormat/>
    <w:rsid w:val="00C47CD1"/>
    <w:pPr>
      <w:ind w:left="720"/>
      <w:contextualSpacing/>
      <w:jc w:val="left"/>
    </w:pPr>
    <w:rPr>
      <w:rFonts w:ascii="Calibri" w:hAnsi="Calibri"/>
      <w:sz w:val="22"/>
    </w:rPr>
  </w:style>
  <w:style w:type="paragraph" w:styleId="Encabezado">
    <w:name w:val="header"/>
    <w:basedOn w:val="Normal"/>
    <w:link w:val="EncabezadoCar"/>
    <w:uiPriority w:val="99"/>
    <w:unhideWhenUsed/>
    <w:rsid w:val="00C47C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CD1"/>
    <w:rPr>
      <w:rFonts w:ascii="Arial" w:eastAsia="Calibri" w:hAnsi="Arial" w:cs="Times New Roman"/>
      <w:sz w:val="24"/>
    </w:rPr>
  </w:style>
  <w:style w:type="paragraph" w:styleId="Piedepgina">
    <w:name w:val="footer"/>
    <w:basedOn w:val="Normal"/>
    <w:link w:val="PiedepginaCar"/>
    <w:uiPriority w:val="99"/>
    <w:unhideWhenUsed/>
    <w:rsid w:val="00C47C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CD1"/>
    <w:rPr>
      <w:rFonts w:ascii="Arial" w:eastAsia="Calibri" w:hAnsi="Arial" w:cs="Times New Roman"/>
      <w:sz w:val="24"/>
    </w:rPr>
  </w:style>
  <w:style w:type="character" w:customStyle="1" w:styleId="Ttulo3Car">
    <w:name w:val="Título 3 Car"/>
    <w:basedOn w:val="Fuentedeprrafopredeter"/>
    <w:link w:val="Ttulo3"/>
    <w:uiPriority w:val="9"/>
    <w:rsid w:val="00EC2042"/>
    <w:rPr>
      <w:rFonts w:asciiTheme="majorHAnsi" w:eastAsiaTheme="majorEastAsia" w:hAnsiTheme="majorHAnsi" w:cstheme="majorBidi"/>
      <w:b/>
      <w:bCs/>
      <w:color w:val="4F81BD" w:themeColor="accent1"/>
      <w:sz w:val="24"/>
    </w:rPr>
  </w:style>
  <w:style w:type="character" w:customStyle="1" w:styleId="ogd">
    <w:name w:val="_ogd"/>
    <w:basedOn w:val="Fuentedeprrafopredeter"/>
    <w:rsid w:val="00EC2042"/>
  </w:style>
  <w:style w:type="character" w:styleId="Hipervnculo">
    <w:name w:val="Hyperlink"/>
    <w:basedOn w:val="Fuentedeprrafopredeter"/>
    <w:uiPriority w:val="99"/>
    <w:semiHidden/>
    <w:unhideWhenUsed/>
    <w:rsid w:val="00EC2042"/>
    <w:rPr>
      <w:color w:val="0000FF"/>
      <w:u w:val="single"/>
    </w:rPr>
  </w:style>
  <w:style w:type="character" w:customStyle="1" w:styleId="apple-converted-space">
    <w:name w:val="apple-converted-space"/>
    <w:basedOn w:val="Fuentedeprrafopredeter"/>
    <w:rsid w:val="00EC2042"/>
  </w:style>
  <w:style w:type="character" w:customStyle="1" w:styleId="zmsearchresult">
    <w:name w:val="zmsearchresult"/>
    <w:basedOn w:val="Fuentedeprrafopredeter"/>
    <w:rsid w:val="00934C16"/>
  </w:style>
  <w:style w:type="character" w:customStyle="1" w:styleId="object">
    <w:name w:val="object"/>
    <w:basedOn w:val="Fuentedeprrafopredeter"/>
    <w:rsid w:val="00934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4B"/>
    <w:pPr>
      <w:jc w:val="both"/>
    </w:pPr>
    <w:rPr>
      <w:rFonts w:ascii="Arial" w:eastAsia="Calibri" w:hAnsi="Arial" w:cs="Times New Roman"/>
      <w:sz w:val="24"/>
    </w:rPr>
  </w:style>
  <w:style w:type="paragraph" w:styleId="Ttulo1">
    <w:name w:val="heading 1"/>
    <w:basedOn w:val="Normal"/>
    <w:next w:val="Normal"/>
    <w:link w:val="Ttulo1Car"/>
    <w:uiPriority w:val="99"/>
    <w:qFormat/>
    <w:rsid w:val="0028634B"/>
    <w:pPr>
      <w:keepNext/>
      <w:keepLines/>
      <w:spacing w:before="480" w:after="0"/>
      <w:jc w:val="left"/>
      <w:outlineLvl w:val="0"/>
    </w:pPr>
    <w:rPr>
      <w:rFonts w:ascii="Cambria" w:eastAsia="Times New Roman" w:hAnsi="Cambria"/>
      <w:b/>
      <w:bCs/>
      <w:color w:val="365F91"/>
      <w:sz w:val="28"/>
      <w:szCs w:val="28"/>
      <w:lang w:eastAsia="es-UY"/>
    </w:rPr>
  </w:style>
  <w:style w:type="paragraph" w:styleId="Ttulo3">
    <w:name w:val="heading 3"/>
    <w:basedOn w:val="Normal"/>
    <w:next w:val="Normal"/>
    <w:link w:val="Ttulo3Car"/>
    <w:uiPriority w:val="9"/>
    <w:unhideWhenUsed/>
    <w:qFormat/>
    <w:rsid w:val="00EC2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634B"/>
    <w:rPr>
      <w:rFonts w:ascii="Cambria" w:eastAsia="Times New Roman" w:hAnsi="Cambria" w:cs="Times New Roman"/>
      <w:b/>
      <w:bCs/>
      <w:color w:val="365F91"/>
      <w:sz w:val="28"/>
      <w:szCs w:val="28"/>
      <w:lang w:eastAsia="es-UY"/>
    </w:rPr>
  </w:style>
  <w:style w:type="paragraph" w:styleId="Textoindependiente">
    <w:name w:val="Body Text"/>
    <w:basedOn w:val="Normal"/>
    <w:link w:val="TextoindependienteCar"/>
    <w:semiHidden/>
    <w:rsid w:val="0028634B"/>
    <w:pPr>
      <w:spacing w:after="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semiHidden/>
    <w:rsid w:val="0028634B"/>
    <w:rPr>
      <w:rFonts w:ascii="Times New Roman" w:eastAsia="Times New Roman" w:hAnsi="Times New Roman" w:cs="Times New Roman"/>
      <w:sz w:val="20"/>
      <w:szCs w:val="20"/>
      <w:lang w:eastAsia="es-ES"/>
    </w:rPr>
  </w:style>
  <w:style w:type="paragraph" w:customStyle="1" w:styleId="Sangradetindependiente">
    <w:name w:val="SangrÌa de t. independiente"/>
    <w:basedOn w:val="Normal"/>
    <w:rsid w:val="0028634B"/>
    <w:pPr>
      <w:tabs>
        <w:tab w:val="left" w:pos="860"/>
      </w:tabs>
      <w:spacing w:after="260" w:line="240" w:lineRule="auto"/>
    </w:pPr>
    <w:rPr>
      <w:rFonts w:ascii="Times" w:eastAsia="Times New Roman" w:hAnsi="Times"/>
      <w:sz w:val="22"/>
      <w:szCs w:val="20"/>
      <w:lang w:val="es-ES" w:eastAsia="es-ES"/>
    </w:rPr>
  </w:style>
  <w:style w:type="paragraph" w:customStyle="1" w:styleId="Textonormal">
    <w:name w:val="Texto normal"/>
    <w:basedOn w:val="Textoindependiente"/>
    <w:rsid w:val="0028634B"/>
    <w:pPr>
      <w:widowControl w:val="0"/>
      <w:tabs>
        <w:tab w:val="left" w:pos="-720"/>
      </w:tabs>
      <w:suppressAutoHyphens/>
      <w:spacing w:line="480" w:lineRule="auto"/>
    </w:pPr>
    <w:rPr>
      <w:rFonts w:ascii="Courier" w:hAnsi="Courier" w:cs="Courier"/>
      <w:spacing w:val="-3"/>
      <w:sz w:val="24"/>
      <w:szCs w:val="24"/>
      <w:lang w:val="es-ES_tradnl"/>
    </w:rPr>
  </w:style>
  <w:style w:type="paragraph" w:styleId="Textodeglobo">
    <w:name w:val="Balloon Text"/>
    <w:basedOn w:val="Normal"/>
    <w:link w:val="TextodegloboCar"/>
    <w:uiPriority w:val="99"/>
    <w:semiHidden/>
    <w:unhideWhenUsed/>
    <w:rsid w:val="00C67C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7C8C"/>
    <w:rPr>
      <w:rFonts w:ascii="Tahoma" w:eastAsia="Calibri" w:hAnsi="Tahoma" w:cs="Tahoma"/>
      <w:sz w:val="16"/>
      <w:szCs w:val="16"/>
    </w:rPr>
  </w:style>
  <w:style w:type="paragraph" w:styleId="Textoindependiente2">
    <w:name w:val="Body Text 2"/>
    <w:basedOn w:val="Normal"/>
    <w:link w:val="Textoindependiente2Car"/>
    <w:uiPriority w:val="99"/>
    <w:semiHidden/>
    <w:unhideWhenUsed/>
    <w:rsid w:val="00C47CD1"/>
    <w:pPr>
      <w:spacing w:after="120" w:line="480" w:lineRule="auto"/>
    </w:pPr>
  </w:style>
  <w:style w:type="character" w:customStyle="1" w:styleId="Textoindependiente2Car">
    <w:name w:val="Texto independiente 2 Car"/>
    <w:basedOn w:val="Fuentedeprrafopredeter"/>
    <w:link w:val="Textoindependiente2"/>
    <w:uiPriority w:val="99"/>
    <w:semiHidden/>
    <w:rsid w:val="00C47CD1"/>
    <w:rPr>
      <w:rFonts w:ascii="Arial" w:eastAsia="Calibri" w:hAnsi="Arial" w:cs="Times New Roman"/>
      <w:sz w:val="24"/>
    </w:rPr>
  </w:style>
  <w:style w:type="paragraph" w:styleId="Sangra3detindependiente">
    <w:name w:val="Body Text Indent 3"/>
    <w:basedOn w:val="Normal"/>
    <w:link w:val="Sangra3detindependienteCar"/>
    <w:uiPriority w:val="99"/>
    <w:unhideWhenUsed/>
    <w:rsid w:val="00C47C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47CD1"/>
    <w:rPr>
      <w:rFonts w:ascii="Arial" w:eastAsia="Calibri" w:hAnsi="Arial" w:cs="Times New Roman"/>
      <w:sz w:val="16"/>
      <w:szCs w:val="16"/>
    </w:rPr>
  </w:style>
  <w:style w:type="paragraph" w:styleId="Prrafodelista">
    <w:name w:val="List Paragraph"/>
    <w:basedOn w:val="Normal"/>
    <w:uiPriority w:val="34"/>
    <w:qFormat/>
    <w:rsid w:val="00C47CD1"/>
    <w:pPr>
      <w:ind w:left="720"/>
      <w:contextualSpacing/>
      <w:jc w:val="left"/>
    </w:pPr>
    <w:rPr>
      <w:rFonts w:ascii="Calibri" w:hAnsi="Calibri"/>
      <w:sz w:val="22"/>
    </w:rPr>
  </w:style>
  <w:style w:type="paragraph" w:styleId="Encabezado">
    <w:name w:val="header"/>
    <w:basedOn w:val="Normal"/>
    <w:link w:val="EncabezadoCar"/>
    <w:uiPriority w:val="99"/>
    <w:unhideWhenUsed/>
    <w:rsid w:val="00C47C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CD1"/>
    <w:rPr>
      <w:rFonts w:ascii="Arial" w:eastAsia="Calibri" w:hAnsi="Arial" w:cs="Times New Roman"/>
      <w:sz w:val="24"/>
    </w:rPr>
  </w:style>
  <w:style w:type="paragraph" w:styleId="Piedepgina">
    <w:name w:val="footer"/>
    <w:basedOn w:val="Normal"/>
    <w:link w:val="PiedepginaCar"/>
    <w:uiPriority w:val="99"/>
    <w:unhideWhenUsed/>
    <w:rsid w:val="00C47C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CD1"/>
    <w:rPr>
      <w:rFonts w:ascii="Arial" w:eastAsia="Calibri" w:hAnsi="Arial" w:cs="Times New Roman"/>
      <w:sz w:val="24"/>
    </w:rPr>
  </w:style>
  <w:style w:type="character" w:customStyle="1" w:styleId="Ttulo3Car">
    <w:name w:val="Título 3 Car"/>
    <w:basedOn w:val="Fuentedeprrafopredeter"/>
    <w:link w:val="Ttulo3"/>
    <w:uiPriority w:val="9"/>
    <w:rsid w:val="00EC2042"/>
    <w:rPr>
      <w:rFonts w:asciiTheme="majorHAnsi" w:eastAsiaTheme="majorEastAsia" w:hAnsiTheme="majorHAnsi" w:cstheme="majorBidi"/>
      <w:b/>
      <w:bCs/>
      <w:color w:val="4F81BD" w:themeColor="accent1"/>
      <w:sz w:val="24"/>
    </w:rPr>
  </w:style>
  <w:style w:type="character" w:customStyle="1" w:styleId="ogd">
    <w:name w:val="_ogd"/>
    <w:basedOn w:val="Fuentedeprrafopredeter"/>
    <w:rsid w:val="00EC2042"/>
  </w:style>
  <w:style w:type="character" w:styleId="Hipervnculo">
    <w:name w:val="Hyperlink"/>
    <w:basedOn w:val="Fuentedeprrafopredeter"/>
    <w:uiPriority w:val="99"/>
    <w:semiHidden/>
    <w:unhideWhenUsed/>
    <w:rsid w:val="00EC2042"/>
    <w:rPr>
      <w:color w:val="0000FF"/>
      <w:u w:val="single"/>
    </w:rPr>
  </w:style>
  <w:style w:type="character" w:customStyle="1" w:styleId="apple-converted-space">
    <w:name w:val="apple-converted-space"/>
    <w:basedOn w:val="Fuentedeprrafopredeter"/>
    <w:rsid w:val="00EC2042"/>
  </w:style>
  <w:style w:type="character" w:customStyle="1" w:styleId="zmsearchresult">
    <w:name w:val="zmsearchresult"/>
    <w:basedOn w:val="Fuentedeprrafopredeter"/>
    <w:rsid w:val="00934C16"/>
  </w:style>
  <w:style w:type="character" w:customStyle="1" w:styleId="object">
    <w:name w:val="object"/>
    <w:basedOn w:val="Fuentedeprrafopredeter"/>
    <w:rsid w:val="0093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7051">
      <w:bodyDiv w:val="1"/>
      <w:marLeft w:val="0"/>
      <w:marRight w:val="0"/>
      <w:marTop w:val="0"/>
      <w:marBottom w:val="0"/>
      <w:divBdr>
        <w:top w:val="none" w:sz="0" w:space="0" w:color="auto"/>
        <w:left w:val="none" w:sz="0" w:space="0" w:color="auto"/>
        <w:bottom w:val="none" w:sz="0" w:space="0" w:color="auto"/>
        <w:right w:val="none" w:sz="0" w:space="0" w:color="auto"/>
      </w:divBdr>
    </w:div>
    <w:div w:id="917128023">
      <w:bodyDiv w:val="1"/>
      <w:marLeft w:val="0"/>
      <w:marRight w:val="0"/>
      <w:marTop w:val="0"/>
      <w:marBottom w:val="0"/>
      <w:divBdr>
        <w:top w:val="none" w:sz="0" w:space="0" w:color="auto"/>
        <w:left w:val="none" w:sz="0" w:space="0" w:color="auto"/>
        <w:bottom w:val="none" w:sz="0" w:space="0" w:color="auto"/>
        <w:right w:val="none" w:sz="0" w:space="0" w:color="auto"/>
      </w:divBdr>
    </w:div>
    <w:div w:id="17492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Amortizaci%C3%B3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Depreciaci%C3%B3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s.wikipedia.org/wiki/Impuestos" TargetMode="External"/><Relationship Id="rId4" Type="http://schemas.microsoft.com/office/2007/relationships/stylesWithEffects" Target="stylesWithEffects.xml"/><Relationship Id="rId9" Type="http://schemas.openxmlformats.org/officeDocument/2006/relationships/hyperlink" Target="https://es.wikipedia.org/wiki/Interes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9FEE8-7CE7-4ACA-AD40-CE2AAE75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36</Pages>
  <Words>9106</Words>
  <Characters>50084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Auditoria TCR</dc:creator>
  <cp:lastModifiedBy>Tribunal1</cp:lastModifiedBy>
  <cp:revision>5</cp:revision>
  <cp:lastPrinted>2017-12-18T19:41:00Z</cp:lastPrinted>
  <dcterms:created xsi:type="dcterms:W3CDTF">2017-12-18T19:42:00Z</dcterms:created>
  <dcterms:modified xsi:type="dcterms:W3CDTF">2018-04-18T18:36:00Z</dcterms:modified>
</cp:coreProperties>
</file>