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66AA" w:rsidRPr="00161683" w:rsidRDefault="006966AA" w:rsidP="00585522">
      <w:pPr>
        <w:tabs>
          <w:tab w:val="center" w:pos="4253"/>
        </w:tabs>
        <w:suppressAutoHyphens/>
        <w:spacing w:after="0" w:line="360" w:lineRule="auto"/>
        <w:jc w:val="right"/>
        <w:rPr>
          <w:rFonts w:ascii="Arial" w:hAnsi="Arial" w:cs="Arial"/>
          <w:b/>
          <w:sz w:val="24"/>
          <w:szCs w:val="24"/>
          <w:lang w:val="es-ES_tradnl"/>
        </w:rPr>
      </w:pPr>
      <w:bookmarkStart w:id="0" w:name="_GoBack"/>
      <w:bookmarkEnd w:id="0"/>
      <w:proofErr w:type="spellStart"/>
      <w:r>
        <w:rPr>
          <w:rFonts w:ascii="Arial" w:hAnsi="Arial" w:cs="Arial"/>
          <w:b/>
          <w:sz w:val="24"/>
          <w:szCs w:val="24"/>
          <w:lang w:val="es-ES_tradnl"/>
        </w:rPr>
        <w:t>RES.Nº</w:t>
      </w:r>
      <w:proofErr w:type="spellEnd"/>
      <w:r>
        <w:rPr>
          <w:rFonts w:ascii="Arial" w:hAnsi="Arial" w:cs="Arial"/>
          <w:b/>
          <w:sz w:val="24"/>
          <w:szCs w:val="24"/>
          <w:lang w:val="es-ES_tradnl"/>
        </w:rPr>
        <w:t xml:space="preserve"> </w:t>
      </w:r>
      <w:r>
        <w:rPr>
          <w:rFonts w:ascii="Arial" w:hAnsi="Arial" w:cs="Arial"/>
          <w:b/>
          <w:sz w:val="24"/>
          <w:szCs w:val="24"/>
          <w:lang w:val="es-ES_tradnl"/>
        </w:rPr>
        <w:t>600</w:t>
      </w:r>
      <w:r>
        <w:rPr>
          <w:rFonts w:ascii="Arial" w:hAnsi="Arial" w:cs="Arial"/>
          <w:b/>
          <w:sz w:val="24"/>
          <w:szCs w:val="24"/>
          <w:lang w:val="es-ES_tradnl"/>
        </w:rPr>
        <w:t>/18</w:t>
      </w:r>
    </w:p>
    <w:p w:rsidR="006966AA" w:rsidRPr="004746D1" w:rsidRDefault="006966AA" w:rsidP="006966AA">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RESOLUCION ADOPTADA POR EL</w:t>
      </w:r>
    </w:p>
    <w:p w:rsidR="006966AA" w:rsidRPr="004746D1" w:rsidRDefault="006966AA" w:rsidP="006966AA">
      <w:pPr>
        <w:tabs>
          <w:tab w:val="left" w:pos="-720"/>
        </w:tabs>
        <w:suppressAutoHyphens/>
        <w:spacing w:after="0" w:line="240" w:lineRule="auto"/>
        <w:jc w:val="center"/>
        <w:rPr>
          <w:rFonts w:ascii="Arial" w:hAnsi="Arial" w:cs="Arial"/>
          <w:b/>
          <w:sz w:val="24"/>
          <w:szCs w:val="24"/>
          <w:lang w:val="es-ES_tradnl"/>
        </w:rPr>
      </w:pPr>
    </w:p>
    <w:p w:rsidR="006966AA" w:rsidRPr="004746D1" w:rsidRDefault="006966AA" w:rsidP="006966AA">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TRIBUNAL DE CUENTAS</w:t>
      </w:r>
    </w:p>
    <w:p w:rsidR="006966AA" w:rsidRPr="004746D1" w:rsidRDefault="006966AA" w:rsidP="006966AA">
      <w:pPr>
        <w:tabs>
          <w:tab w:val="left" w:pos="-720"/>
        </w:tabs>
        <w:suppressAutoHyphens/>
        <w:spacing w:after="0" w:line="240" w:lineRule="auto"/>
        <w:jc w:val="center"/>
        <w:rPr>
          <w:rFonts w:ascii="Arial" w:hAnsi="Arial" w:cs="Arial"/>
          <w:b/>
          <w:sz w:val="24"/>
          <w:szCs w:val="24"/>
          <w:lang w:val="es-ES_tradnl"/>
        </w:rPr>
      </w:pPr>
    </w:p>
    <w:p w:rsidR="006966AA" w:rsidRPr="004746D1" w:rsidRDefault="006966AA" w:rsidP="006966AA">
      <w:pPr>
        <w:tabs>
          <w:tab w:val="center" w:pos="4253"/>
        </w:tabs>
        <w:suppressAutoHyphens/>
        <w:spacing w:after="0" w:line="240" w:lineRule="auto"/>
        <w:jc w:val="center"/>
        <w:rPr>
          <w:rFonts w:ascii="Arial" w:hAnsi="Arial" w:cs="Arial"/>
          <w:b/>
          <w:sz w:val="24"/>
          <w:szCs w:val="24"/>
          <w:lang w:val="es-ES_tradnl"/>
        </w:rPr>
      </w:pPr>
      <w:r w:rsidRPr="004746D1">
        <w:rPr>
          <w:rFonts w:ascii="Arial" w:hAnsi="Arial" w:cs="Arial"/>
          <w:b/>
          <w:sz w:val="24"/>
          <w:szCs w:val="24"/>
          <w:lang w:val="es-ES_tradnl"/>
        </w:rPr>
        <w:t xml:space="preserve">EN SESION DE FECHA </w:t>
      </w:r>
      <w:r>
        <w:rPr>
          <w:rFonts w:ascii="Arial" w:hAnsi="Arial" w:cs="Arial"/>
          <w:b/>
          <w:sz w:val="24"/>
          <w:szCs w:val="24"/>
          <w:lang w:val="es-ES_tradnl"/>
        </w:rPr>
        <w:t>15 DE FEBRERO</w:t>
      </w:r>
      <w:r>
        <w:rPr>
          <w:rFonts w:ascii="Arial" w:hAnsi="Arial" w:cs="Arial"/>
          <w:b/>
          <w:lang w:val="es-ES_tradnl"/>
        </w:rPr>
        <w:t xml:space="preserve"> </w:t>
      </w:r>
      <w:r>
        <w:rPr>
          <w:rFonts w:ascii="Arial" w:hAnsi="Arial" w:cs="Arial"/>
          <w:b/>
          <w:sz w:val="24"/>
          <w:szCs w:val="24"/>
          <w:lang w:val="es-ES_tradnl"/>
        </w:rPr>
        <w:t>DE 2018</w:t>
      </w:r>
    </w:p>
    <w:p w:rsidR="006966AA" w:rsidRPr="004746D1" w:rsidRDefault="006966AA" w:rsidP="006966AA">
      <w:pPr>
        <w:tabs>
          <w:tab w:val="center" w:pos="4253"/>
        </w:tabs>
        <w:suppressAutoHyphens/>
        <w:spacing w:after="0" w:line="240" w:lineRule="auto"/>
        <w:jc w:val="center"/>
        <w:rPr>
          <w:rFonts w:ascii="Arial" w:hAnsi="Arial" w:cs="Arial"/>
          <w:b/>
          <w:sz w:val="24"/>
          <w:szCs w:val="24"/>
          <w:lang w:val="es-ES_tradnl"/>
        </w:rPr>
      </w:pPr>
    </w:p>
    <w:p w:rsidR="006966AA" w:rsidRDefault="006966AA" w:rsidP="00C96BB6">
      <w:pPr>
        <w:tabs>
          <w:tab w:val="center" w:pos="4253"/>
        </w:tabs>
        <w:suppressAutoHyphens/>
        <w:spacing w:after="0" w:line="240" w:lineRule="auto"/>
        <w:jc w:val="center"/>
        <w:rPr>
          <w:rFonts w:ascii="Arial" w:hAnsi="Arial" w:cs="Arial"/>
          <w:b/>
          <w:sz w:val="24"/>
          <w:szCs w:val="24"/>
          <w:lang w:val="es-ES_tradnl"/>
        </w:rPr>
      </w:pPr>
      <w:r>
        <w:rPr>
          <w:rFonts w:ascii="Arial" w:hAnsi="Arial" w:cs="Arial"/>
          <w:b/>
          <w:sz w:val="24"/>
          <w:szCs w:val="24"/>
          <w:lang w:val="es-ES_tradnl"/>
        </w:rPr>
        <w:t>(</w:t>
      </w:r>
      <w:proofErr w:type="spellStart"/>
      <w:r>
        <w:rPr>
          <w:rFonts w:ascii="Arial" w:hAnsi="Arial" w:cs="Arial"/>
          <w:b/>
          <w:sz w:val="24"/>
          <w:szCs w:val="24"/>
          <w:lang w:val="es-ES_tradnl"/>
        </w:rPr>
        <w:t>E.E.Nº</w:t>
      </w:r>
      <w:proofErr w:type="spellEnd"/>
      <w:r>
        <w:rPr>
          <w:rFonts w:ascii="Arial" w:hAnsi="Arial" w:cs="Arial"/>
          <w:b/>
          <w:sz w:val="24"/>
          <w:szCs w:val="24"/>
          <w:lang w:val="es-ES_tradnl"/>
        </w:rPr>
        <w:t xml:space="preserve"> 2018-17-1-0000565</w:t>
      </w:r>
      <w:r w:rsidRPr="004746D1">
        <w:rPr>
          <w:rFonts w:ascii="Arial" w:hAnsi="Arial" w:cs="Arial"/>
          <w:b/>
          <w:sz w:val="24"/>
          <w:szCs w:val="24"/>
          <w:lang w:val="es-ES_tradnl"/>
        </w:rPr>
        <w:t xml:space="preserve">, </w:t>
      </w:r>
      <w:proofErr w:type="spellStart"/>
      <w:r w:rsidRPr="004746D1">
        <w:rPr>
          <w:rFonts w:ascii="Arial" w:hAnsi="Arial" w:cs="Arial"/>
          <w:b/>
          <w:sz w:val="24"/>
          <w:szCs w:val="24"/>
          <w:lang w:val="es-ES_tradnl"/>
        </w:rPr>
        <w:t>E</w:t>
      </w:r>
      <w:r>
        <w:rPr>
          <w:rFonts w:ascii="Arial" w:hAnsi="Arial" w:cs="Arial"/>
          <w:b/>
          <w:sz w:val="24"/>
          <w:szCs w:val="24"/>
          <w:lang w:val="es-ES_tradnl"/>
        </w:rPr>
        <w:t>nt</w:t>
      </w:r>
      <w:r w:rsidRPr="004746D1">
        <w:rPr>
          <w:rFonts w:ascii="Arial" w:hAnsi="Arial" w:cs="Arial"/>
          <w:b/>
          <w:sz w:val="24"/>
          <w:szCs w:val="24"/>
          <w:lang w:val="es-ES_tradnl"/>
        </w:rPr>
        <w:t>.</w:t>
      </w:r>
      <w:r>
        <w:rPr>
          <w:rFonts w:ascii="Arial" w:hAnsi="Arial" w:cs="Arial"/>
          <w:b/>
          <w:sz w:val="24"/>
          <w:szCs w:val="24"/>
          <w:lang w:val="es-ES_tradnl"/>
        </w:rPr>
        <w:t>N°</w:t>
      </w:r>
      <w:proofErr w:type="spellEnd"/>
      <w:r w:rsidRPr="004746D1">
        <w:rPr>
          <w:rFonts w:ascii="Arial" w:hAnsi="Arial" w:cs="Arial"/>
          <w:b/>
          <w:sz w:val="24"/>
          <w:szCs w:val="24"/>
          <w:lang w:val="es-ES_tradnl"/>
        </w:rPr>
        <w:t xml:space="preserve"> </w:t>
      </w:r>
      <w:r>
        <w:rPr>
          <w:rFonts w:ascii="Arial" w:hAnsi="Arial" w:cs="Arial"/>
          <w:b/>
          <w:sz w:val="24"/>
          <w:szCs w:val="24"/>
          <w:lang w:val="es-ES_tradnl"/>
        </w:rPr>
        <w:t>444</w:t>
      </w:r>
      <w:r w:rsidRPr="004746D1">
        <w:rPr>
          <w:rFonts w:ascii="Arial" w:hAnsi="Arial" w:cs="Arial"/>
          <w:b/>
          <w:sz w:val="24"/>
          <w:szCs w:val="24"/>
          <w:lang w:val="es-ES_tradnl"/>
        </w:rPr>
        <w:t>/</w:t>
      </w:r>
      <w:r>
        <w:rPr>
          <w:rFonts w:ascii="Arial" w:hAnsi="Arial" w:cs="Arial"/>
          <w:b/>
          <w:sz w:val="24"/>
          <w:szCs w:val="24"/>
          <w:lang w:val="es-ES_tradnl"/>
        </w:rPr>
        <w:t>18</w:t>
      </w:r>
      <w:r w:rsidRPr="004746D1">
        <w:rPr>
          <w:rFonts w:ascii="Arial" w:hAnsi="Arial" w:cs="Arial"/>
          <w:b/>
          <w:sz w:val="24"/>
          <w:szCs w:val="24"/>
          <w:lang w:val="es-ES_tradnl"/>
        </w:rPr>
        <w:t>)</w:t>
      </w:r>
    </w:p>
    <w:p w:rsidR="00C96BB6" w:rsidRPr="004746D1" w:rsidRDefault="00C96BB6" w:rsidP="00C96BB6">
      <w:pPr>
        <w:tabs>
          <w:tab w:val="center" w:pos="4253"/>
        </w:tabs>
        <w:suppressAutoHyphens/>
        <w:spacing w:after="0" w:line="240" w:lineRule="auto"/>
        <w:jc w:val="center"/>
        <w:rPr>
          <w:rFonts w:ascii="Arial" w:hAnsi="Arial" w:cs="Arial"/>
          <w:b/>
          <w:sz w:val="24"/>
          <w:szCs w:val="24"/>
          <w:lang w:val="es-ES_tradnl"/>
        </w:rPr>
      </w:pPr>
    </w:p>
    <w:p w:rsidR="008D4B89" w:rsidRDefault="006966AA" w:rsidP="006966AA">
      <w:pPr>
        <w:spacing w:after="0" w:line="360" w:lineRule="auto"/>
        <w:ind w:firstLine="709"/>
        <w:jc w:val="both"/>
        <w:rPr>
          <w:rFonts w:ascii="Arial" w:hAnsi="Arial" w:cs="Arial"/>
          <w:sz w:val="24"/>
          <w:szCs w:val="24"/>
        </w:rPr>
      </w:pPr>
      <w:r>
        <w:rPr>
          <w:rFonts w:ascii="Arial" w:hAnsi="Arial" w:cs="Arial"/>
          <w:b/>
          <w:bCs/>
          <w:sz w:val="24"/>
          <w:szCs w:val="24"/>
        </w:rPr>
        <w:t>V</w:t>
      </w:r>
      <w:r w:rsidR="008D4B89">
        <w:rPr>
          <w:rFonts w:ascii="Arial" w:hAnsi="Arial" w:cs="Arial"/>
          <w:b/>
          <w:bCs/>
          <w:sz w:val="24"/>
          <w:szCs w:val="24"/>
        </w:rPr>
        <w:t xml:space="preserve">ISTO: </w:t>
      </w:r>
      <w:r w:rsidR="008D4B89">
        <w:rPr>
          <w:rFonts w:ascii="Arial" w:hAnsi="Arial" w:cs="Arial"/>
          <w:sz w:val="24"/>
          <w:szCs w:val="24"/>
        </w:rPr>
        <w:t>las actuaciones remitidas por la Intendencia de Maldonado</w:t>
      </w:r>
      <w:r>
        <w:rPr>
          <w:rFonts w:ascii="Arial" w:hAnsi="Arial" w:cs="Arial"/>
          <w:sz w:val="24"/>
          <w:szCs w:val="24"/>
        </w:rPr>
        <w:t>,</w:t>
      </w:r>
      <w:r w:rsidR="008D4B89">
        <w:rPr>
          <w:rFonts w:ascii="Arial" w:hAnsi="Arial" w:cs="Arial"/>
          <w:sz w:val="24"/>
          <w:szCs w:val="24"/>
        </w:rPr>
        <w:t xml:space="preserve"> relacionadas con la ampliación de la </w:t>
      </w:r>
      <w:r>
        <w:rPr>
          <w:rFonts w:ascii="Arial" w:hAnsi="Arial" w:cs="Arial"/>
          <w:sz w:val="24"/>
          <w:szCs w:val="24"/>
        </w:rPr>
        <w:t>Contratación Directa por E</w:t>
      </w:r>
      <w:r w:rsidR="008D4B89">
        <w:rPr>
          <w:rFonts w:ascii="Arial" w:hAnsi="Arial" w:cs="Arial"/>
          <w:sz w:val="24"/>
          <w:szCs w:val="24"/>
        </w:rPr>
        <w:t>xcepción referente al relevamiento de luminarias para alumbrado público;</w:t>
      </w:r>
    </w:p>
    <w:p w:rsidR="006966AA" w:rsidRDefault="006966AA" w:rsidP="006966AA">
      <w:pPr>
        <w:spacing w:after="0" w:line="360" w:lineRule="auto"/>
        <w:ind w:firstLine="709"/>
        <w:jc w:val="both"/>
        <w:rPr>
          <w:rFonts w:ascii="Arial" w:hAnsi="Arial" w:cs="Arial"/>
          <w:sz w:val="24"/>
          <w:szCs w:val="24"/>
        </w:rPr>
      </w:pPr>
      <w:r>
        <w:rPr>
          <w:rFonts w:ascii="Arial" w:hAnsi="Arial" w:cs="Arial"/>
          <w:b/>
          <w:bCs/>
          <w:sz w:val="24"/>
          <w:szCs w:val="24"/>
        </w:rPr>
        <w:t xml:space="preserve">RESULTANDO: </w:t>
      </w:r>
      <w:r w:rsidR="008D4B89">
        <w:rPr>
          <w:rFonts w:ascii="Arial" w:hAnsi="Arial" w:cs="Arial"/>
          <w:b/>
          <w:bCs/>
          <w:sz w:val="24"/>
          <w:szCs w:val="24"/>
        </w:rPr>
        <w:t xml:space="preserve">1) </w:t>
      </w:r>
      <w:r w:rsidR="008D4B89">
        <w:rPr>
          <w:rFonts w:ascii="Arial" w:hAnsi="Arial" w:cs="Arial"/>
          <w:sz w:val="24"/>
          <w:szCs w:val="24"/>
        </w:rPr>
        <w:t>que las presentes actuaciones refieren a la contratación de los servicios necesarios que permitan la realización de un inventario del total de luminarias instaladas en el Alumbrado Público del Departamento y de un Certificador CMVP, que avale dicho inventario, a los efectos de poder acceder a los beneficios que otorga la Oficina de Planeamiento y Presupuesto a las Intendencias, en cuanto al subsidio sobre el consumo, teniendo en cuenta las rebajas tarifarias a los Gobiernos Departamentales que han incorporado nuevas tecnologías en la materia;</w:t>
      </w:r>
    </w:p>
    <w:p w:rsidR="00585522" w:rsidRDefault="008D4B89" w:rsidP="006966AA">
      <w:pPr>
        <w:spacing w:after="0" w:line="360" w:lineRule="auto"/>
        <w:ind w:firstLine="2552"/>
        <w:jc w:val="both"/>
        <w:rPr>
          <w:rFonts w:ascii="Arial" w:hAnsi="Arial" w:cs="Arial"/>
          <w:sz w:val="24"/>
          <w:szCs w:val="24"/>
        </w:rPr>
      </w:pPr>
      <w:r>
        <w:rPr>
          <w:rFonts w:ascii="Arial" w:hAnsi="Arial" w:cs="Arial"/>
          <w:b/>
          <w:bCs/>
          <w:sz w:val="24"/>
          <w:szCs w:val="24"/>
        </w:rPr>
        <w:t xml:space="preserve">2) </w:t>
      </w:r>
      <w:r>
        <w:rPr>
          <w:rFonts w:ascii="Arial" w:hAnsi="Arial" w:cs="Arial"/>
          <w:sz w:val="24"/>
          <w:szCs w:val="24"/>
        </w:rPr>
        <w:t>que la empresa XDT Ingeniería, catalogada como ESCO (</w:t>
      </w:r>
      <w:proofErr w:type="spellStart"/>
      <w:r>
        <w:rPr>
          <w:rFonts w:ascii="Arial" w:hAnsi="Arial" w:cs="Arial"/>
          <w:sz w:val="24"/>
          <w:szCs w:val="24"/>
        </w:rPr>
        <w:t>Energy</w:t>
      </w:r>
      <w:proofErr w:type="spellEnd"/>
      <w:r>
        <w:rPr>
          <w:rFonts w:ascii="Arial" w:hAnsi="Arial" w:cs="Arial"/>
          <w:sz w:val="24"/>
          <w:szCs w:val="24"/>
        </w:rPr>
        <w:t xml:space="preserve"> </w:t>
      </w:r>
      <w:proofErr w:type="spellStart"/>
      <w:r>
        <w:rPr>
          <w:rFonts w:ascii="Arial" w:hAnsi="Arial" w:cs="Arial"/>
          <w:sz w:val="24"/>
          <w:szCs w:val="24"/>
        </w:rPr>
        <w:t>Saving</w:t>
      </w:r>
      <w:proofErr w:type="spellEnd"/>
      <w:r>
        <w:rPr>
          <w:rFonts w:ascii="Arial" w:hAnsi="Arial" w:cs="Arial"/>
          <w:sz w:val="24"/>
          <w:szCs w:val="24"/>
        </w:rPr>
        <w:t xml:space="preserve"> </w:t>
      </w:r>
      <w:proofErr w:type="spellStart"/>
      <w:r>
        <w:rPr>
          <w:rFonts w:ascii="Arial" w:hAnsi="Arial" w:cs="Arial"/>
          <w:sz w:val="24"/>
          <w:szCs w:val="24"/>
        </w:rPr>
        <w:t>Company</w:t>
      </w:r>
      <w:proofErr w:type="spellEnd"/>
      <w:r>
        <w:rPr>
          <w:rFonts w:ascii="Arial" w:hAnsi="Arial" w:cs="Arial"/>
          <w:sz w:val="24"/>
          <w:szCs w:val="24"/>
        </w:rPr>
        <w:t>) Categoría A, asignada por el Ministerio de Industria, Energía y Minería, ha sido contratada por la Administración para la realización de trabajos inherentes a la materia que motiva las presentes actuaciones, no debiendo la Intendencia, realizar ningún tipo de inversión, pagando con un porcentaje del ahorro en energía, que luego de transcurrido el plazo del contrato, dicho ahorro queda en su totalidad en arcas municipales. Dicha contratación es al ampa</w:t>
      </w:r>
      <w:r w:rsidR="006966AA">
        <w:rPr>
          <w:rFonts w:ascii="Arial" w:hAnsi="Arial" w:cs="Arial"/>
          <w:sz w:val="24"/>
          <w:szCs w:val="24"/>
        </w:rPr>
        <w:t>ro de lo establecido por el Artículo</w:t>
      </w:r>
      <w:r>
        <w:rPr>
          <w:rFonts w:ascii="Arial" w:hAnsi="Arial" w:cs="Arial"/>
          <w:sz w:val="24"/>
          <w:szCs w:val="24"/>
        </w:rPr>
        <w:t xml:space="preserve"> 33, </w:t>
      </w:r>
      <w:r w:rsidR="006966AA">
        <w:rPr>
          <w:rFonts w:ascii="Arial" w:hAnsi="Arial" w:cs="Arial"/>
          <w:sz w:val="24"/>
          <w:szCs w:val="24"/>
        </w:rPr>
        <w:t>Literal C), N</w:t>
      </w:r>
      <w:r>
        <w:rPr>
          <w:rFonts w:ascii="Arial" w:hAnsi="Arial" w:cs="Arial"/>
          <w:sz w:val="24"/>
          <w:szCs w:val="24"/>
        </w:rPr>
        <w:t>umeral 26 del TOCAF;</w:t>
      </w:r>
    </w:p>
    <w:p w:rsidR="006966AA" w:rsidRDefault="008D4B89" w:rsidP="006966AA">
      <w:pPr>
        <w:spacing w:after="0" w:line="360" w:lineRule="auto"/>
        <w:ind w:firstLine="2552"/>
        <w:jc w:val="both"/>
        <w:rPr>
          <w:rFonts w:ascii="Arial" w:hAnsi="Arial" w:cs="Arial"/>
          <w:sz w:val="24"/>
          <w:szCs w:val="24"/>
        </w:rPr>
      </w:pPr>
      <w:r>
        <w:rPr>
          <w:rFonts w:ascii="Arial" w:hAnsi="Arial" w:cs="Arial"/>
          <w:b/>
          <w:bCs/>
          <w:sz w:val="24"/>
          <w:szCs w:val="24"/>
        </w:rPr>
        <w:t xml:space="preserve">3) </w:t>
      </w:r>
      <w:r>
        <w:rPr>
          <w:rFonts w:ascii="Arial" w:hAnsi="Arial" w:cs="Arial"/>
          <w:sz w:val="24"/>
          <w:szCs w:val="24"/>
        </w:rPr>
        <w:t>que surge la necesidad y conveniencia para la Administración</w:t>
      </w:r>
      <w:r w:rsidR="006966AA">
        <w:rPr>
          <w:rFonts w:ascii="Arial" w:hAnsi="Arial" w:cs="Arial"/>
          <w:sz w:val="24"/>
          <w:szCs w:val="24"/>
        </w:rPr>
        <w:t>,</w:t>
      </w:r>
      <w:r>
        <w:rPr>
          <w:rFonts w:ascii="Arial" w:hAnsi="Arial" w:cs="Arial"/>
          <w:sz w:val="24"/>
          <w:szCs w:val="24"/>
        </w:rPr>
        <w:t xml:space="preserve"> la impostergable concreción del relevamiento de luminarias en todo el departamento;</w:t>
      </w:r>
    </w:p>
    <w:p w:rsidR="006966AA" w:rsidRDefault="008D4B89" w:rsidP="006966AA">
      <w:pPr>
        <w:spacing w:after="0" w:line="360" w:lineRule="auto"/>
        <w:ind w:firstLine="2552"/>
        <w:jc w:val="both"/>
        <w:rPr>
          <w:rFonts w:ascii="Arial" w:hAnsi="Arial" w:cs="Arial"/>
          <w:sz w:val="24"/>
          <w:szCs w:val="24"/>
        </w:rPr>
      </w:pPr>
      <w:r>
        <w:rPr>
          <w:rFonts w:ascii="Arial" w:hAnsi="Arial" w:cs="Arial"/>
          <w:b/>
          <w:bCs/>
          <w:sz w:val="24"/>
          <w:szCs w:val="24"/>
        </w:rPr>
        <w:t xml:space="preserve">4) </w:t>
      </w:r>
      <w:proofErr w:type="gramStart"/>
      <w:r>
        <w:rPr>
          <w:rFonts w:ascii="Arial" w:hAnsi="Arial" w:cs="Arial"/>
          <w:sz w:val="24"/>
          <w:szCs w:val="24"/>
        </w:rPr>
        <w:t>que</w:t>
      </w:r>
      <w:proofErr w:type="gramEnd"/>
      <w:r>
        <w:rPr>
          <w:rFonts w:ascii="Arial" w:hAnsi="Arial" w:cs="Arial"/>
          <w:sz w:val="24"/>
          <w:szCs w:val="24"/>
        </w:rPr>
        <w:t xml:space="preserve"> con la contratación sugerida, se estarían cumpliendo con los requerimientos básicos que se persiguen para lograr un abatimiento real y efectivo, en el precio abonado por concepto de consumo de energía eléctrica, a saber: </w:t>
      </w:r>
      <w:r w:rsidRPr="006966AA">
        <w:rPr>
          <w:rFonts w:ascii="Arial" w:hAnsi="Arial" w:cs="Arial"/>
          <w:b/>
          <w:sz w:val="24"/>
          <w:szCs w:val="24"/>
        </w:rPr>
        <w:t>a)</w:t>
      </w:r>
      <w:r>
        <w:rPr>
          <w:rFonts w:ascii="Arial" w:hAnsi="Arial" w:cs="Arial"/>
          <w:sz w:val="24"/>
          <w:szCs w:val="24"/>
        </w:rPr>
        <w:t xml:space="preserve"> que la misma satisfaga </w:t>
      </w:r>
      <w:r w:rsidR="006966AA">
        <w:rPr>
          <w:rFonts w:ascii="Arial" w:hAnsi="Arial" w:cs="Arial"/>
          <w:sz w:val="24"/>
          <w:szCs w:val="24"/>
        </w:rPr>
        <w:t xml:space="preserve">técnicamente lo exigido por UTE; </w:t>
      </w:r>
      <w:r>
        <w:rPr>
          <w:rFonts w:ascii="Arial" w:hAnsi="Arial" w:cs="Arial"/>
          <w:sz w:val="24"/>
          <w:szCs w:val="24"/>
        </w:rPr>
        <w:t xml:space="preserve"> </w:t>
      </w:r>
      <w:r w:rsidRPr="006966AA">
        <w:rPr>
          <w:rFonts w:ascii="Arial" w:hAnsi="Arial" w:cs="Arial"/>
          <w:b/>
          <w:sz w:val="24"/>
          <w:szCs w:val="24"/>
        </w:rPr>
        <w:t>b)</w:t>
      </w:r>
      <w:r>
        <w:rPr>
          <w:rFonts w:ascii="Arial" w:hAnsi="Arial" w:cs="Arial"/>
          <w:sz w:val="24"/>
          <w:szCs w:val="24"/>
        </w:rPr>
        <w:t xml:space="preserve"> que la tarea pueda realizarse </w:t>
      </w:r>
      <w:r w:rsidR="006966AA">
        <w:rPr>
          <w:rFonts w:ascii="Arial" w:hAnsi="Arial" w:cs="Arial"/>
          <w:sz w:val="24"/>
          <w:szCs w:val="24"/>
        </w:rPr>
        <w:t>en un plazo de tiempo razonable;</w:t>
      </w:r>
      <w:r>
        <w:rPr>
          <w:rFonts w:ascii="Arial" w:hAnsi="Arial" w:cs="Arial"/>
          <w:sz w:val="24"/>
          <w:szCs w:val="24"/>
        </w:rPr>
        <w:t xml:space="preserve"> </w:t>
      </w:r>
      <w:r w:rsidR="006966AA">
        <w:rPr>
          <w:rFonts w:ascii="Arial" w:hAnsi="Arial" w:cs="Arial"/>
          <w:sz w:val="24"/>
          <w:szCs w:val="24"/>
        </w:rPr>
        <w:t xml:space="preserve"> </w:t>
      </w:r>
      <w:r>
        <w:rPr>
          <w:rFonts w:ascii="Arial" w:hAnsi="Arial" w:cs="Arial"/>
          <w:sz w:val="24"/>
          <w:szCs w:val="24"/>
        </w:rPr>
        <w:t xml:space="preserve">y </w:t>
      </w:r>
      <w:r w:rsidRPr="006966AA">
        <w:rPr>
          <w:rFonts w:ascii="Arial" w:hAnsi="Arial" w:cs="Arial"/>
          <w:b/>
          <w:sz w:val="24"/>
          <w:szCs w:val="24"/>
        </w:rPr>
        <w:t>c)</w:t>
      </w:r>
      <w:r>
        <w:rPr>
          <w:rFonts w:ascii="Arial" w:hAnsi="Arial" w:cs="Arial"/>
          <w:sz w:val="24"/>
          <w:szCs w:val="24"/>
        </w:rPr>
        <w:t xml:space="preserve"> que naturalmente la ecuación “costo-beneficio”, esté notoriamente contemplada;</w:t>
      </w:r>
    </w:p>
    <w:p w:rsidR="006966AA" w:rsidRDefault="008D4B89" w:rsidP="006966AA">
      <w:pPr>
        <w:spacing w:after="0" w:line="360" w:lineRule="auto"/>
        <w:ind w:firstLine="2552"/>
        <w:jc w:val="both"/>
        <w:rPr>
          <w:rFonts w:ascii="Arial" w:hAnsi="Arial" w:cs="Arial"/>
          <w:sz w:val="24"/>
          <w:szCs w:val="24"/>
        </w:rPr>
      </w:pPr>
      <w:r>
        <w:rPr>
          <w:rFonts w:ascii="Arial" w:hAnsi="Arial" w:cs="Arial"/>
          <w:b/>
          <w:bCs/>
          <w:sz w:val="24"/>
          <w:szCs w:val="24"/>
        </w:rPr>
        <w:t xml:space="preserve">5) </w:t>
      </w:r>
      <w:r>
        <w:rPr>
          <w:rFonts w:ascii="Arial" w:hAnsi="Arial" w:cs="Arial"/>
          <w:sz w:val="24"/>
          <w:szCs w:val="24"/>
        </w:rPr>
        <w:t>que se</w:t>
      </w:r>
      <w:r w:rsidR="006966AA">
        <w:rPr>
          <w:rFonts w:ascii="Arial" w:hAnsi="Arial" w:cs="Arial"/>
          <w:sz w:val="24"/>
          <w:szCs w:val="24"/>
        </w:rPr>
        <w:t>gún se informa, dicha operativa</w:t>
      </w:r>
      <w:r>
        <w:rPr>
          <w:rFonts w:ascii="Arial" w:hAnsi="Arial" w:cs="Arial"/>
          <w:sz w:val="24"/>
          <w:szCs w:val="24"/>
        </w:rPr>
        <w:t xml:space="preserve">  tendrá “costo cero” para las arcas de la Intendencia, ya que los pagos previstos que insumirán su ejecución serán descontados finalmente de los honorarios a abonarse por concepto de ahorros obtenidos, y sin perjuicio de los resultados que se obtengan también por eventuales devoluciones que ante gestiones que se realizan frente al Ente Energético Estatal (UTE), dadas las sumas pagadas en demasía anteriormente, y que aún no están reconociendo la inversión realizada en su momento;</w:t>
      </w:r>
    </w:p>
    <w:p w:rsidR="006966AA" w:rsidRDefault="008D4B89" w:rsidP="006966AA">
      <w:pPr>
        <w:spacing w:after="0" w:line="360" w:lineRule="auto"/>
        <w:ind w:firstLine="2552"/>
        <w:jc w:val="both"/>
        <w:rPr>
          <w:rFonts w:ascii="Arial" w:hAnsi="Arial" w:cs="Arial"/>
          <w:sz w:val="24"/>
          <w:szCs w:val="24"/>
        </w:rPr>
      </w:pPr>
      <w:r>
        <w:rPr>
          <w:rFonts w:ascii="Arial" w:hAnsi="Arial" w:cs="Arial"/>
          <w:b/>
          <w:bCs/>
          <w:sz w:val="24"/>
          <w:szCs w:val="24"/>
        </w:rPr>
        <w:t xml:space="preserve">6) </w:t>
      </w:r>
      <w:r>
        <w:rPr>
          <w:rFonts w:ascii="Arial" w:hAnsi="Arial" w:cs="Arial"/>
          <w:sz w:val="24"/>
          <w:szCs w:val="24"/>
        </w:rPr>
        <w:t xml:space="preserve">que con el referido procedimiento se pretende lograr la certificación de las instalaciones LED ya efectuadas a efectos de que UTE no aplique más el ficto por el consumo de energía, certificando las instalaciones de luminarias ya efectuadas, entendiendo aceptable el costo total calculado en </w:t>
      </w:r>
      <w:r w:rsidR="006966AA">
        <w:rPr>
          <w:rFonts w:ascii="Arial" w:hAnsi="Arial" w:cs="Arial"/>
          <w:sz w:val="24"/>
          <w:szCs w:val="24"/>
        </w:rPr>
        <w:t xml:space="preserve">         </w:t>
      </w:r>
      <w:r w:rsidR="00585522">
        <w:rPr>
          <w:rFonts w:ascii="Arial" w:hAnsi="Arial" w:cs="Arial"/>
          <w:sz w:val="24"/>
          <w:szCs w:val="24"/>
        </w:rPr>
        <w:t>$ 2:</w:t>
      </w:r>
      <w:r>
        <w:rPr>
          <w:rFonts w:ascii="Arial" w:hAnsi="Arial" w:cs="Arial"/>
          <w:sz w:val="24"/>
          <w:szCs w:val="24"/>
        </w:rPr>
        <w:t>982.000 más IVA, que se pagarían por avance de obra, en partidas quincenales, hasta concluirse los trabajos;</w:t>
      </w:r>
    </w:p>
    <w:p w:rsidR="006966AA" w:rsidRDefault="008D4B89" w:rsidP="006966AA">
      <w:pPr>
        <w:spacing w:after="0" w:line="360" w:lineRule="auto"/>
        <w:ind w:firstLine="2552"/>
        <w:jc w:val="both"/>
        <w:rPr>
          <w:rFonts w:ascii="Arial" w:hAnsi="Arial" w:cs="Arial"/>
          <w:sz w:val="24"/>
          <w:szCs w:val="24"/>
        </w:rPr>
      </w:pPr>
      <w:r>
        <w:rPr>
          <w:rFonts w:ascii="Arial" w:hAnsi="Arial" w:cs="Arial"/>
          <w:b/>
          <w:bCs/>
          <w:sz w:val="24"/>
          <w:szCs w:val="24"/>
        </w:rPr>
        <w:t xml:space="preserve">7) </w:t>
      </w:r>
      <w:r>
        <w:rPr>
          <w:rFonts w:ascii="Arial" w:hAnsi="Arial" w:cs="Arial"/>
          <w:sz w:val="24"/>
          <w:szCs w:val="24"/>
        </w:rPr>
        <w:t xml:space="preserve">que por Resolución Nº 3072/2017 de fecha </w:t>
      </w:r>
      <w:r w:rsidR="006966AA">
        <w:rPr>
          <w:rFonts w:ascii="Arial" w:hAnsi="Arial" w:cs="Arial"/>
          <w:sz w:val="24"/>
          <w:szCs w:val="24"/>
        </w:rPr>
        <w:t>0</w:t>
      </w:r>
      <w:r>
        <w:rPr>
          <w:rFonts w:ascii="Arial" w:hAnsi="Arial" w:cs="Arial"/>
          <w:sz w:val="24"/>
          <w:szCs w:val="24"/>
        </w:rPr>
        <w:t>4</w:t>
      </w:r>
      <w:r w:rsidR="006966AA">
        <w:rPr>
          <w:rFonts w:ascii="Arial" w:hAnsi="Arial" w:cs="Arial"/>
          <w:sz w:val="24"/>
          <w:szCs w:val="24"/>
        </w:rPr>
        <w:t>/</w:t>
      </w:r>
      <w:r>
        <w:rPr>
          <w:rFonts w:ascii="Arial" w:hAnsi="Arial" w:cs="Arial"/>
          <w:sz w:val="24"/>
          <w:szCs w:val="24"/>
        </w:rPr>
        <w:t>05</w:t>
      </w:r>
      <w:r w:rsidR="006966AA">
        <w:rPr>
          <w:rFonts w:ascii="Arial" w:hAnsi="Arial" w:cs="Arial"/>
          <w:sz w:val="24"/>
          <w:szCs w:val="24"/>
        </w:rPr>
        <w:t>/17</w:t>
      </w:r>
      <w:r>
        <w:rPr>
          <w:rFonts w:ascii="Arial" w:hAnsi="Arial" w:cs="Arial"/>
          <w:sz w:val="24"/>
          <w:szCs w:val="24"/>
        </w:rPr>
        <w:t>, el Intendente de Maldonado, resolvió ad referéndum de la intervención de la Contadora Delegada del Tribunal de Cuentas, adicionar a la contratación de XDT Ingeniería el relevamiento de la totalidad de luminarias de alumbrado público instaladas en el Departamento y negociación con UTE, por el referido;</w:t>
      </w:r>
    </w:p>
    <w:p w:rsidR="006966AA" w:rsidRDefault="008D4B89" w:rsidP="006966AA">
      <w:pPr>
        <w:spacing w:after="0" w:line="360" w:lineRule="auto"/>
        <w:ind w:firstLine="2552"/>
        <w:jc w:val="both"/>
        <w:rPr>
          <w:rFonts w:ascii="Arial" w:hAnsi="Arial" w:cs="Arial"/>
          <w:sz w:val="24"/>
          <w:szCs w:val="24"/>
        </w:rPr>
      </w:pPr>
      <w:r>
        <w:rPr>
          <w:rFonts w:ascii="Arial" w:hAnsi="Arial" w:cs="Arial"/>
          <w:b/>
          <w:bCs/>
          <w:sz w:val="24"/>
          <w:szCs w:val="24"/>
        </w:rPr>
        <w:t xml:space="preserve">8) </w:t>
      </w:r>
      <w:r>
        <w:rPr>
          <w:rFonts w:ascii="Arial" w:hAnsi="Arial" w:cs="Arial"/>
          <w:sz w:val="24"/>
          <w:szCs w:val="24"/>
        </w:rPr>
        <w:t xml:space="preserve">que dicho precio será descontado de los honorarios que oportunamente se generen a favor de XDT Ingeniería  por el ahorro efectivo verificado; </w:t>
      </w:r>
    </w:p>
    <w:p w:rsidR="006966AA" w:rsidRDefault="008D4B89" w:rsidP="006966AA">
      <w:pPr>
        <w:spacing w:after="0" w:line="360" w:lineRule="auto"/>
        <w:ind w:firstLine="2552"/>
        <w:jc w:val="both"/>
        <w:rPr>
          <w:rFonts w:ascii="Arial" w:hAnsi="Arial" w:cs="Arial"/>
          <w:sz w:val="24"/>
          <w:szCs w:val="24"/>
        </w:rPr>
      </w:pPr>
      <w:r>
        <w:rPr>
          <w:rFonts w:ascii="Arial" w:hAnsi="Arial" w:cs="Arial"/>
          <w:b/>
          <w:bCs/>
          <w:sz w:val="24"/>
          <w:szCs w:val="24"/>
        </w:rPr>
        <w:t xml:space="preserve">9) </w:t>
      </w:r>
      <w:r>
        <w:rPr>
          <w:rFonts w:ascii="Arial" w:hAnsi="Arial" w:cs="Arial"/>
          <w:sz w:val="24"/>
          <w:szCs w:val="24"/>
        </w:rPr>
        <w:t>que con fecha 19</w:t>
      </w:r>
      <w:r w:rsidR="006966AA">
        <w:rPr>
          <w:rFonts w:ascii="Arial" w:hAnsi="Arial" w:cs="Arial"/>
          <w:sz w:val="24"/>
          <w:szCs w:val="24"/>
        </w:rPr>
        <w:t>/</w:t>
      </w:r>
      <w:r>
        <w:rPr>
          <w:rFonts w:ascii="Arial" w:hAnsi="Arial" w:cs="Arial"/>
          <w:sz w:val="24"/>
          <w:szCs w:val="24"/>
        </w:rPr>
        <w:t>05</w:t>
      </w:r>
      <w:r w:rsidR="006966AA">
        <w:rPr>
          <w:rFonts w:ascii="Arial" w:hAnsi="Arial" w:cs="Arial"/>
          <w:sz w:val="24"/>
          <w:szCs w:val="24"/>
        </w:rPr>
        <w:t>/17,</w:t>
      </w:r>
      <w:r>
        <w:rPr>
          <w:rFonts w:ascii="Arial" w:hAnsi="Arial" w:cs="Arial"/>
          <w:sz w:val="24"/>
          <w:szCs w:val="24"/>
        </w:rPr>
        <w:t xml:space="preserve"> la Contadora Delegada intervino preventivamente el gasto;</w:t>
      </w:r>
    </w:p>
    <w:p w:rsidR="006966AA" w:rsidRDefault="008D4B89" w:rsidP="006966AA">
      <w:pPr>
        <w:spacing w:after="0" w:line="360" w:lineRule="auto"/>
        <w:ind w:firstLine="2410"/>
        <w:jc w:val="both"/>
        <w:rPr>
          <w:rFonts w:ascii="Arial" w:hAnsi="Arial" w:cs="Arial"/>
          <w:sz w:val="24"/>
          <w:szCs w:val="24"/>
        </w:rPr>
      </w:pPr>
      <w:r>
        <w:rPr>
          <w:rFonts w:ascii="Arial" w:hAnsi="Arial" w:cs="Arial"/>
          <w:b/>
          <w:bCs/>
          <w:sz w:val="24"/>
          <w:szCs w:val="24"/>
        </w:rPr>
        <w:t>10)</w:t>
      </w:r>
      <w:r>
        <w:rPr>
          <w:rFonts w:ascii="Arial" w:hAnsi="Arial" w:cs="Arial"/>
          <w:sz w:val="24"/>
          <w:szCs w:val="24"/>
        </w:rPr>
        <w:t xml:space="preserve"> que con fecha 31</w:t>
      </w:r>
      <w:r w:rsidR="006966AA">
        <w:rPr>
          <w:rFonts w:ascii="Arial" w:hAnsi="Arial" w:cs="Arial"/>
          <w:sz w:val="24"/>
          <w:szCs w:val="24"/>
        </w:rPr>
        <w:t>/</w:t>
      </w:r>
      <w:r>
        <w:rPr>
          <w:rFonts w:ascii="Arial" w:hAnsi="Arial" w:cs="Arial"/>
          <w:sz w:val="24"/>
          <w:szCs w:val="24"/>
        </w:rPr>
        <w:t>05</w:t>
      </w:r>
      <w:r w:rsidR="006966AA">
        <w:rPr>
          <w:rFonts w:ascii="Arial" w:hAnsi="Arial" w:cs="Arial"/>
          <w:sz w:val="24"/>
          <w:szCs w:val="24"/>
        </w:rPr>
        <w:t>/</w:t>
      </w:r>
      <w:r>
        <w:rPr>
          <w:rFonts w:ascii="Arial" w:hAnsi="Arial" w:cs="Arial"/>
          <w:sz w:val="24"/>
          <w:szCs w:val="24"/>
        </w:rPr>
        <w:t>17 se suscribió el respectivo contrato;</w:t>
      </w:r>
    </w:p>
    <w:p w:rsidR="00585522" w:rsidRDefault="008D4B89" w:rsidP="00585522">
      <w:pPr>
        <w:spacing w:after="0" w:line="360" w:lineRule="auto"/>
        <w:ind w:firstLine="2410"/>
        <w:jc w:val="both"/>
        <w:rPr>
          <w:rFonts w:ascii="Arial" w:hAnsi="Arial" w:cs="Arial"/>
          <w:sz w:val="24"/>
          <w:szCs w:val="24"/>
        </w:rPr>
      </w:pPr>
      <w:r>
        <w:rPr>
          <w:rFonts w:ascii="Arial" w:hAnsi="Arial" w:cs="Arial"/>
          <w:b/>
          <w:bCs/>
          <w:sz w:val="24"/>
          <w:szCs w:val="24"/>
        </w:rPr>
        <w:t xml:space="preserve">11) </w:t>
      </w:r>
      <w:r>
        <w:rPr>
          <w:rFonts w:ascii="Arial" w:hAnsi="Arial" w:cs="Arial"/>
          <w:sz w:val="24"/>
          <w:szCs w:val="24"/>
        </w:rPr>
        <w:t>que en la oportunidad, en cumplimiento de lo dispuesto por Resolución Nº 3072/17, así como el contrato suscrito, corresponde se instrumenten los mecanismos tendientes a satisfacer lo allí dispuesto, de modo de pagar un precio equivalente al 50% más IVA, del ahorro efectivamente logrado durante un período de 27 meses. Se estima de acuerdo a los ya obtenidos durante los meses de octubre, noviembre y diciembre, informados por UTE, que el 50% del ahorro en el presente Ejercicio no superará los $ 29.000.000 más IVA;</w:t>
      </w:r>
    </w:p>
    <w:p w:rsidR="008D4B89" w:rsidRDefault="008D4B89" w:rsidP="00585522">
      <w:pPr>
        <w:spacing w:after="0" w:line="360" w:lineRule="auto"/>
        <w:ind w:firstLine="2410"/>
        <w:jc w:val="both"/>
        <w:rPr>
          <w:rFonts w:ascii="Arial" w:hAnsi="Arial" w:cs="Arial"/>
          <w:sz w:val="24"/>
          <w:szCs w:val="24"/>
        </w:rPr>
      </w:pPr>
      <w:r>
        <w:rPr>
          <w:rFonts w:ascii="Arial" w:hAnsi="Arial" w:cs="Arial"/>
          <w:b/>
          <w:bCs/>
          <w:sz w:val="24"/>
          <w:szCs w:val="24"/>
        </w:rPr>
        <w:t>12)</w:t>
      </w:r>
      <w:r>
        <w:rPr>
          <w:rFonts w:ascii="Arial" w:hAnsi="Arial" w:cs="Arial"/>
          <w:sz w:val="24"/>
          <w:szCs w:val="24"/>
        </w:rPr>
        <w:t xml:space="preserve"> que se r</w:t>
      </w:r>
      <w:r w:rsidR="00585522">
        <w:rPr>
          <w:rFonts w:ascii="Arial" w:hAnsi="Arial" w:cs="Arial"/>
          <w:sz w:val="24"/>
          <w:szCs w:val="24"/>
        </w:rPr>
        <w:t xml:space="preserve">emite imputación por la suma de                      </w:t>
      </w:r>
      <w:r>
        <w:rPr>
          <w:rFonts w:ascii="Arial" w:hAnsi="Arial" w:cs="Arial"/>
          <w:sz w:val="24"/>
          <w:szCs w:val="24"/>
        </w:rPr>
        <w:t>$ 35</w:t>
      </w:r>
      <w:r w:rsidR="00585522">
        <w:rPr>
          <w:rFonts w:ascii="Arial" w:hAnsi="Arial" w:cs="Arial"/>
          <w:sz w:val="24"/>
          <w:szCs w:val="24"/>
        </w:rPr>
        <w:t>:</w:t>
      </w:r>
      <w:r>
        <w:rPr>
          <w:rFonts w:ascii="Arial" w:hAnsi="Arial" w:cs="Arial"/>
          <w:sz w:val="24"/>
          <w:szCs w:val="24"/>
        </w:rPr>
        <w:t>380.000, con cargo al Rubro 105-299, sin disponibilidad;</w:t>
      </w:r>
    </w:p>
    <w:p w:rsidR="00585522" w:rsidRDefault="008D4B89" w:rsidP="00585522">
      <w:pPr>
        <w:spacing w:after="0" w:line="360" w:lineRule="auto"/>
        <w:ind w:firstLine="709"/>
        <w:jc w:val="both"/>
        <w:rPr>
          <w:rFonts w:ascii="Arial" w:hAnsi="Arial" w:cs="Arial"/>
          <w:sz w:val="24"/>
          <w:szCs w:val="24"/>
          <w:lang w:val="es-MX"/>
        </w:rPr>
      </w:pPr>
      <w:r>
        <w:rPr>
          <w:rFonts w:ascii="Arial" w:hAnsi="Arial" w:cs="Arial"/>
          <w:b/>
          <w:bCs/>
          <w:sz w:val="24"/>
          <w:szCs w:val="24"/>
        </w:rPr>
        <w:t xml:space="preserve">CONSIDERANDO: </w:t>
      </w:r>
      <w:r>
        <w:rPr>
          <w:rFonts w:ascii="Arial" w:hAnsi="Arial" w:cs="Arial"/>
          <w:b/>
          <w:bCs/>
          <w:sz w:val="24"/>
          <w:szCs w:val="24"/>
          <w:lang w:val="es-MX"/>
        </w:rPr>
        <w:t>1)</w:t>
      </w:r>
      <w:r>
        <w:rPr>
          <w:rFonts w:ascii="Arial" w:hAnsi="Arial" w:cs="Arial"/>
          <w:sz w:val="24"/>
          <w:szCs w:val="24"/>
          <w:lang w:val="es-MX"/>
        </w:rPr>
        <w:t xml:space="preserve"> que la contratación de referencia</w:t>
      </w:r>
      <w:r w:rsidR="00585522">
        <w:rPr>
          <w:rFonts w:ascii="Arial" w:hAnsi="Arial" w:cs="Arial"/>
          <w:sz w:val="24"/>
          <w:szCs w:val="24"/>
          <w:lang w:val="es-MX"/>
        </w:rPr>
        <w:t>,</w:t>
      </w:r>
      <w:r>
        <w:rPr>
          <w:rFonts w:ascii="Arial" w:hAnsi="Arial" w:cs="Arial"/>
          <w:sz w:val="24"/>
          <w:szCs w:val="24"/>
          <w:lang w:val="es-MX"/>
        </w:rPr>
        <w:t xml:space="preserve"> se realizó al amparo de las pr</w:t>
      </w:r>
      <w:r w:rsidR="00585522">
        <w:rPr>
          <w:rFonts w:ascii="Arial" w:hAnsi="Arial" w:cs="Arial"/>
          <w:sz w:val="24"/>
          <w:szCs w:val="24"/>
          <w:lang w:val="es-MX"/>
        </w:rPr>
        <w:t>evisiones de la Ley Nº 18.597 -</w:t>
      </w:r>
      <w:r>
        <w:rPr>
          <w:rFonts w:ascii="Arial" w:hAnsi="Arial" w:cs="Arial"/>
          <w:sz w:val="24"/>
          <w:szCs w:val="24"/>
          <w:lang w:val="es-MX"/>
        </w:rPr>
        <w:t>que promueve el uso eficiente de la energía e instrumenta diversos mecanismos a tales efectos- y del Decreto 289/015 -que reglamenta los contratos remunerados por desempeño de eficiencia energética con empresas ESCO (Empresa de Servicios Energéticos según nomenclatura anglosajona) inscriptas en el MIEM-;</w:t>
      </w:r>
    </w:p>
    <w:p w:rsidR="00585522" w:rsidRDefault="008D4B89" w:rsidP="00585522">
      <w:pPr>
        <w:spacing w:after="0" w:line="360" w:lineRule="auto"/>
        <w:ind w:firstLine="2835"/>
        <w:jc w:val="both"/>
        <w:rPr>
          <w:rFonts w:ascii="Arial" w:hAnsi="Arial" w:cs="Arial"/>
          <w:sz w:val="24"/>
          <w:szCs w:val="24"/>
          <w:lang w:val="es-MX"/>
        </w:rPr>
      </w:pPr>
      <w:r>
        <w:rPr>
          <w:rFonts w:ascii="Arial" w:hAnsi="Arial" w:cs="Arial"/>
          <w:b/>
          <w:bCs/>
          <w:sz w:val="24"/>
          <w:szCs w:val="24"/>
          <w:lang w:val="es-MX"/>
        </w:rPr>
        <w:t>2)</w:t>
      </w:r>
      <w:r w:rsidR="00585522">
        <w:rPr>
          <w:rFonts w:ascii="Arial" w:hAnsi="Arial" w:cs="Arial"/>
          <w:sz w:val="24"/>
          <w:szCs w:val="24"/>
          <w:lang w:val="es-MX"/>
        </w:rPr>
        <w:t xml:space="preserve"> que el Numeral 26</w:t>
      </w:r>
      <w:r>
        <w:rPr>
          <w:rFonts w:ascii="Arial" w:hAnsi="Arial" w:cs="Arial"/>
          <w:sz w:val="24"/>
          <w:szCs w:val="24"/>
          <w:lang w:val="es-MX"/>
        </w:rPr>
        <w:t xml:space="preserve"> del Art</w:t>
      </w:r>
      <w:r w:rsidR="00585522">
        <w:rPr>
          <w:rFonts w:ascii="Arial" w:hAnsi="Arial" w:cs="Arial"/>
          <w:sz w:val="24"/>
          <w:szCs w:val="24"/>
          <w:lang w:val="es-MX"/>
        </w:rPr>
        <w:t>ículo</w:t>
      </w:r>
      <w:r>
        <w:rPr>
          <w:rFonts w:ascii="Arial" w:hAnsi="Arial" w:cs="Arial"/>
          <w:sz w:val="24"/>
          <w:szCs w:val="24"/>
          <w:lang w:val="es-MX"/>
        </w:rPr>
        <w:t xml:space="preserve"> 33 del TOCA</w:t>
      </w:r>
      <w:r w:rsidR="00585522">
        <w:rPr>
          <w:rFonts w:ascii="Arial" w:hAnsi="Arial" w:cs="Arial"/>
          <w:sz w:val="24"/>
          <w:szCs w:val="24"/>
          <w:lang w:val="es-MX"/>
        </w:rPr>
        <w:t>F</w:t>
      </w:r>
      <w:r>
        <w:rPr>
          <w:rFonts w:ascii="Arial" w:hAnsi="Arial" w:cs="Arial"/>
          <w:sz w:val="24"/>
          <w:szCs w:val="24"/>
          <w:lang w:val="es-MX"/>
        </w:rPr>
        <w:t xml:space="preserve"> (Art</w:t>
      </w:r>
      <w:r w:rsidR="00585522">
        <w:rPr>
          <w:rFonts w:ascii="Arial" w:hAnsi="Arial" w:cs="Arial"/>
          <w:sz w:val="24"/>
          <w:szCs w:val="24"/>
          <w:lang w:val="es-MX"/>
        </w:rPr>
        <w:t>ículo</w:t>
      </w:r>
      <w:r>
        <w:rPr>
          <w:rFonts w:ascii="Arial" w:hAnsi="Arial" w:cs="Arial"/>
          <w:sz w:val="24"/>
          <w:szCs w:val="24"/>
          <w:lang w:val="es-MX"/>
        </w:rPr>
        <w:t xml:space="preserve"> 25 de la  </w:t>
      </w:r>
      <w:r w:rsidR="00585522">
        <w:rPr>
          <w:rFonts w:ascii="Arial" w:hAnsi="Arial" w:cs="Arial"/>
          <w:sz w:val="24"/>
          <w:szCs w:val="24"/>
          <w:lang w:val="es-MX"/>
        </w:rPr>
        <w:t>Ley Nº 18.597) establece</w:t>
      </w:r>
      <w:r>
        <w:rPr>
          <w:rFonts w:ascii="Arial" w:hAnsi="Arial" w:cs="Arial"/>
          <w:sz w:val="24"/>
          <w:szCs w:val="24"/>
          <w:lang w:val="es-MX"/>
        </w:rPr>
        <w:t xml:space="preserve"> como excepción al régimen general de contratación, “Los contratos con empresas de servicios energéticos públicas o privadas que se encuentren registradas en el Ministerio de Industria, Energía y Minería (MIEM) y que se desarrollen bajo el esquema de Contratos Remunerados por Desempeño, en los cuales la inversión sea financiada íntegra o parcialmente por la empresa de servicios energéticos”;</w:t>
      </w:r>
    </w:p>
    <w:p w:rsidR="00585522" w:rsidRDefault="008D4B89" w:rsidP="00585522">
      <w:pPr>
        <w:spacing w:after="0" w:line="360" w:lineRule="auto"/>
        <w:ind w:firstLine="2835"/>
        <w:jc w:val="both"/>
        <w:rPr>
          <w:rFonts w:ascii="Arial" w:hAnsi="Arial" w:cs="Arial"/>
          <w:sz w:val="24"/>
          <w:szCs w:val="24"/>
          <w:lang w:val="es-MX"/>
        </w:rPr>
      </w:pPr>
      <w:r>
        <w:rPr>
          <w:rFonts w:ascii="Arial" w:hAnsi="Arial" w:cs="Arial"/>
          <w:b/>
          <w:bCs/>
          <w:sz w:val="24"/>
          <w:szCs w:val="24"/>
          <w:lang w:val="es-MX"/>
        </w:rPr>
        <w:t>3)</w:t>
      </w:r>
      <w:r>
        <w:rPr>
          <w:rFonts w:ascii="Arial" w:hAnsi="Arial" w:cs="Arial"/>
          <w:sz w:val="24"/>
          <w:szCs w:val="24"/>
          <w:lang w:val="es-MX"/>
        </w:rPr>
        <w:t xml:space="preserve"> que la </w:t>
      </w:r>
      <w:r w:rsidR="00585522">
        <w:rPr>
          <w:rFonts w:ascii="Arial" w:hAnsi="Arial" w:cs="Arial"/>
          <w:sz w:val="24"/>
          <w:szCs w:val="24"/>
          <w:lang w:val="es-MX"/>
        </w:rPr>
        <w:t>Contratación D</w:t>
      </w:r>
      <w:r>
        <w:rPr>
          <w:rFonts w:ascii="Arial" w:hAnsi="Arial" w:cs="Arial"/>
          <w:sz w:val="24"/>
          <w:szCs w:val="24"/>
          <w:lang w:val="es-MX"/>
        </w:rPr>
        <w:t>irecta en análisis encuadró en la caus</w:t>
      </w:r>
      <w:r w:rsidR="00585522">
        <w:rPr>
          <w:rFonts w:ascii="Arial" w:hAnsi="Arial" w:cs="Arial"/>
          <w:sz w:val="24"/>
          <w:szCs w:val="24"/>
          <w:lang w:val="es-MX"/>
        </w:rPr>
        <w:t>al legal de excepción invocada;</w:t>
      </w:r>
    </w:p>
    <w:p w:rsidR="00585522" w:rsidRDefault="008D4B89" w:rsidP="00585522">
      <w:pPr>
        <w:spacing w:after="0" w:line="360" w:lineRule="auto"/>
        <w:ind w:firstLine="2835"/>
        <w:jc w:val="both"/>
        <w:rPr>
          <w:rFonts w:ascii="Arial" w:hAnsi="Arial" w:cs="Arial"/>
          <w:b/>
          <w:bCs/>
          <w:sz w:val="24"/>
          <w:szCs w:val="24"/>
          <w:lang w:val="es-MX"/>
        </w:rPr>
      </w:pPr>
      <w:r>
        <w:rPr>
          <w:rFonts w:ascii="Arial" w:hAnsi="Arial" w:cs="Arial"/>
          <w:b/>
          <w:bCs/>
          <w:sz w:val="24"/>
          <w:szCs w:val="24"/>
          <w:lang w:val="es-MX"/>
        </w:rPr>
        <w:t xml:space="preserve">4) </w:t>
      </w:r>
      <w:r>
        <w:rPr>
          <w:rFonts w:ascii="Arial" w:hAnsi="Arial" w:cs="Arial"/>
          <w:sz w:val="24"/>
          <w:szCs w:val="24"/>
          <w:lang w:val="es-MX"/>
        </w:rPr>
        <w:t>que la suma a abonar solo podrá determinarse una vez que se haya certificado por UTE el ahorro obtenido, entendiéndose que la suma de $ 35</w:t>
      </w:r>
      <w:r w:rsidR="00585522">
        <w:rPr>
          <w:rFonts w:ascii="Arial" w:hAnsi="Arial" w:cs="Arial"/>
          <w:sz w:val="24"/>
          <w:szCs w:val="24"/>
          <w:lang w:val="es-MX"/>
        </w:rPr>
        <w:t>:380.000,</w:t>
      </w:r>
      <w:r>
        <w:rPr>
          <w:rFonts w:ascii="Arial" w:hAnsi="Arial" w:cs="Arial"/>
          <w:sz w:val="24"/>
          <w:szCs w:val="24"/>
          <w:lang w:val="es-MX"/>
        </w:rPr>
        <w:t xml:space="preserve"> es estimada (Resultando 12);</w:t>
      </w:r>
      <w:r>
        <w:rPr>
          <w:rFonts w:ascii="Arial" w:hAnsi="Arial" w:cs="Arial"/>
          <w:b/>
          <w:bCs/>
          <w:sz w:val="24"/>
          <w:szCs w:val="24"/>
          <w:lang w:val="es-MX"/>
        </w:rPr>
        <w:t xml:space="preserve">   </w:t>
      </w:r>
    </w:p>
    <w:p w:rsidR="008D4B89" w:rsidRDefault="008D4B89" w:rsidP="00585522">
      <w:pPr>
        <w:spacing w:after="0" w:line="360" w:lineRule="auto"/>
        <w:ind w:firstLine="2835"/>
        <w:jc w:val="both"/>
        <w:rPr>
          <w:rFonts w:ascii="Arial" w:hAnsi="Arial" w:cs="Arial"/>
          <w:sz w:val="24"/>
          <w:szCs w:val="24"/>
        </w:rPr>
      </w:pPr>
      <w:r>
        <w:rPr>
          <w:rFonts w:ascii="Arial" w:hAnsi="Arial" w:cs="Arial"/>
          <w:b/>
          <w:bCs/>
          <w:sz w:val="24"/>
          <w:szCs w:val="24"/>
        </w:rPr>
        <w:t>5)</w:t>
      </w:r>
      <w:r>
        <w:rPr>
          <w:rFonts w:ascii="Arial" w:hAnsi="Arial" w:cs="Arial"/>
          <w:sz w:val="24"/>
          <w:szCs w:val="24"/>
        </w:rPr>
        <w:t xml:space="preserve"> que no pueden comprometerse gastos sin que exista disponibilidad suficiente en el rubro de imputación contable (Art</w:t>
      </w:r>
      <w:r w:rsidR="00585522">
        <w:rPr>
          <w:rFonts w:ascii="Arial" w:hAnsi="Arial" w:cs="Arial"/>
          <w:sz w:val="24"/>
          <w:szCs w:val="24"/>
        </w:rPr>
        <w:t>ículo</w:t>
      </w:r>
      <w:r>
        <w:rPr>
          <w:rFonts w:ascii="Arial" w:hAnsi="Arial" w:cs="Arial"/>
          <w:sz w:val="24"/>
          <w:szCs w:val="24"/>
        </w:rPr>
        <w:t xml:space="preserve"> 15 </w:t>
      </w:r>
      <w:r w:rsidR="00585522">
        <w:rPr>
          <w:rFonts w:ascii="Arial" w:hAnsi="Arial" w:cs="Arial"/>
          <w:sz w:val="24"/>
          <w:szCs w:val="24"/>
        </w:rPr>
        <w:t xml:space="preserve">del </w:t>
      </w:r>
      <w:r>
        <w:rPr>
          <w:rFonts w:ascii="Arial" w:hAnsi="Arial" w:cs="Arial"/>
          <w:sz w:val="24"/>
          <w:szCs w:val="24"/>
        </w:rPr>
        <w:t>TOCAF);</w:t>
      </w:r>
    </w:p>
    <w:p w:rsidR="008D4B89" w:rsidRDefault="008D4B89" w:rsidP="00585522">
      <w:pPr>
        <w:tabs>
          <w:tab w:val="left" w:pos="709"/>
        </w:tabs>
        <w:spacing w:after="0" w:line="360" w:lineRule="auto"/>
        <w:ind w:firstLine="709"/>
        <w:jc w:val="both"/>
        <w:rPr>
          <w:rFonts w:ascii="Arial" w:hAnsi="Arial" w:cs="Arial"/>
          <w:sz w:val="24"/>
          <w:szCs w:val="24"/>
        </w:rPr>
      </w:pPr>
      <w:r>
        <w:rPr>
          <w:rFonts w:ascii="Arial" w:hAnsi="Arial" w:cs="Arial"/>
          <w:b/>
          <w:bCs/>
          <w:sz w:val="24"/>
          <w:szCs w:val="24"/>
        </w:rPr>
        <w:t xml:space="preserve">ATENTO: </w:t>
      </w:r>
      <w:r>
        <w:rPr>
          <w:rFonts w:ascii="Arial" w:hAnsi="Arial" w:cs="Arial"/>
          <w:sz w:val="24"/>
          <w:szCs w:val="24"/>
        </w:rPr>
        <w:t xml:space="preserve">a lo precedentemente expuesto </w:t>
      </w:r>
      <w:r w:rsidR="00585522">
        <w:rPr>
          <w:rFonts w:ascii="Arial" w:hAnsi="Arial" w:cs="Arial"/>
          <w:sz w:val="24"/>
          <w:szCs w:val="24"/>
        </w:rPr>
        <w:t>y a lo dispuesto por el Artículo</w:t>
      </w:r>
      <w:r>
        <w:rPr>
          <w:rFonts w:ascii="Arial" w:hAnsi="Arial" w:cs="Arial"/>
          <w:sz w:val="24"/>
          <w:szCs w:val="24"/>
        </w:rPr>
        <w:t xml:space="preserve"> 211 </w:t>
      </w:r>
      <w:r w:rsidR="00585522">
        <w:rPr>
          <w:rFonts w:ascii="Arial" w:hAnsi="Arial" w:cs="Arial"/>
          <w:sz w:val="24"/>
          <w:szCs w:val="24"/>
        </w:rPr>
        <w:t>L</w:t>
      </w:r>
      <w:r>
        <w:rPr>
          <w:rFonts w:ascii="Arial" w:hAnsi="Arial" w:cs="Arial"/>
          <w:sz w:val="24"/>
          <w:szCs w:val="24"/>
        </w:rPr>
        <w:t>it</w:t>
      </w:r>
      <w:r w:rsidR="00585522">
        <w:rPr>
          <w:rFonts w:ascii="Arial" w:hAnsi="Arial" w:cs="Arial"/>
          <w:sz w:val="24"/>
          <w:szCs w:val="24"/>
        </w:rPr>
        <w:t>eral</w:t>
      </w:r>
      <w:r>
        <w:rPr>
          <w:rFonts w:ascii="Arial" w:hAnsi="Arial" w:cs="Arial"/>
          <w:sz w:val="24"/>
          <w:szCs w:val="24"/>
        </w:rPr>
        <w:t xml:space="preserve"> B) de la Constitución de la República;</w:t>
      </w:r>
    </w:p>
    <w:p w:rsidR="008D4B89" w:rsidRDefault="008D4B89" w:rsidP="006966AA">
      <w:pPr>
        <w:spacing w:after="0" w:line="360" w:lineRule="auto"/>
        <w:jc w:val="center"/>
        <w:rPr>
          <w:rFonts w:ascii="Arial" w:hAnsi="Arial" w:cs="Arial"/>
          <w:b/>
          <w:bCs/>
          <w:sz w:val="24"/>
          <w:szCs w:val="24"/>
        </w:rPr>
      </w:pPr>
      <w:r>
        <w:rPr>
          <w:rFonts w:ascii="Arial" w:hAnsi="Arial" w:cs="Arial"/>
          <w:b/>
          <w:bCs/>
          <w:sz w:val="24"/>
          <w:szCs w:val="24"/>
        </w:rPr>
        <w:t>EL TRIBUNAL ACUERDA</w:t>
      </w:r>
    </w:p>
    <w:p w:rsidR="008D4B89" w:rsidRDefault="00585522" w:rsidP="00585522">
      <w:pPr>
        <w:pStyle w:val="Prrafodelista"/>
        <w:spacing w:after="0" w:line="360" w:lineRule="auto"/>
        <w:ind w:left="0"/>
        <w:rPr>
          <w:rFonts w:ascii="Arial" w:hAnsi="Arial" w:cs="Arial"/>
          <w:b/>
          <w:bCs/>
          <w:sz w:val="24"/>
          <w:szCs w:val="24"/>
        </w:rPr>
      </w:pPr>
      <w:r>
        <w:rPr>
          <w:rFonts w:ascii="Arial" w:hAnsi="Arial" w:cs="Arial"/>
          <w:b/>
          <w:sz w:val="24"/>
          <w:szCs w:val="24"/>
        </w:rPr>
        <w:t xml:space="preserve">1) </w:t>
      </w:r>
      <w:r w:rsidR="008D4B89">
        <w:rPr>
          <w:rFonts w:ascii="Arial" w:hAnsi="Arial" w:cs="Arial"/>
          <w:sz w:val="24"/>
          <w:szCs w:val="24"/>
        </w:rPr>
        <w:t>Observar el gasto;</w:t>
      </w:r>
    </w:p>
    <w:p w:rsidR="008D4B89" w:rsidRDefault="00585522" w:rsidP="00585522">
      <w:pPr>
        <w:pStyle w:val="Prrafodelista"/>
        <w:spacing w:after="0" w:line="360" w:lineRule="auto"/>
        <w:ind w:left="0"/>
        <w:rPr>
          <w:rFonts w:ascii="Arial" w:hAnsi="Arial" w:cs="Arial"/>
          <w:b/>
          <w:bCs/>
          <w:sz w:val="24"/>
          <w:szCs w:val="24"/>
        </w:rPr>
      </w:pPr>
      <w:r>
        <w:rPr>
          <w:rFonts w:ascii="Arial" w:hAnsi="Arial" w:cs="Arial"/>
          <w:b/>
          <w:sz w:val="24"/>
          <w:szCs w:val="24"/>
        </w:rPr>
        <w:t xml:space="preserve">2) </w:t>
      </w:r>
      <w:r w:rsidR="008D4B89">
        <w:rPr>
          <w:rFonts w:ascii="Arial" w:hAnsi="Arial" w:cs="Arial"/>
          <w:sz w:val="24"/>
          <w:szCs w:val="24"/>
        </w:rPr>
        <w:t>Ténga</w:t>
      </w:r>
      <w:r>
        <w:rPr>
          <w:rFonts w:ascii="Arial" w:hAnsi="Arial" w:cs="Arial"/>
          <w:sz w:val="24"/>
          <w:szCs w:val="24"/>
        </w:rPr>
        <w:t>se presente lo dispuesto en el C</w:t>
      </w:r>
      <w:r w:rsidR="008D4B89">
        <w:rPr>
          <w:rFonts w:ascii="Arial" w:hAnsi="Arial" w:cs="Arial"/>
          <w:sz w:val="24"/>
          <w:szCs w:val="24"/>
        </w:rPr>
        <w:t>onsiderando 4);</w:t>
      </w:r>
      <w:r>
        <w:rPr>
          <w:rFonts w:ascii="Arial" w:hAnsi="Arial" w:cs="Arial"/>
          <w:sz w:val="24"/>
          <w:szCs w:val="24"/>
        </w:rPr>
        <w:t xml:space="preserve"> y</w:t>
      </w:r>
    </w:p>
    <w:p w:rsidR="008D4B89" w:rsidRDefault="00585522" w:rsidP="00585522">
      <w:pPr>
        <w:pStyle w:val="Prrafodelista"/>
        <w:spacing w:after="0" w:line="360" w:lineRule="auto"/>
        <w:ind w:left="0"/>
        <w:rPr>
          <w:rFonts w:ascii="Arial" w:hAnsi="Arial" w:cs="Arial"/>
          <w:b/>
          <w:bCs/>
          <w:sz w:val="24"/>
          <w:szCs w:val="24"/>
        </w:rPr>
      </w:pPr>
      <w:r>
        <w:rPr>
          <w:rFonts w:ascii="Arial" w:hAnsi="Arial" w:cs="Arial"/>
          <w:b/>
          <w:sz w:val="24"/>
          <w:szCs w:val="24"/>
        </w:rPr>
        <w:t xml:space="preserve">3) </w:t>
      </w:r>
      <w:r>
        <w:rPr>
          <w:rFonts w:ascii="Arial" w:hAnsi="Arial" w:cs="Arial"/>
          <w:sz w:val="24"/>
          <w:szCs w:val="24"/>
        </w:rPr>
        <w:t>Devolver las actuaciones.</w:t>
      </w:r>
    </w:p>
    <w:p w:rsidR="008D4B89" w:rsidRDefault="008D4B89" w:rsidP="00585522">
      <w:pPr>
        <w:spacing w:after="0" w:line="360" w:lineRule="auto"/>
        <w:rPr>
          <w:rFonts w:ascii="Arial" w:hAnsi="Arial" w:cs="Arial"/>
          <w:b/>
          <w:bCs/>
          <w:sz w:val="24"/>
          <w:szCs w:val="24"/>
        </w:rPr>
      </w:pPr>
    </w:p>
    <w:p w:rsidR="008D4B89" w:rsidRDefault="006966AA">
      <w:pPr>
        <w:spacing w:line="360" w:lineRule="auto"/>
        <w:jc w:val="both"/>
        <w:rPr>
          <w:rFonts w:ascii="Arial" w:hAnsi="Arial" w:cs="Arial"/>
          <w:sz w:val="24"/>
          <w:szCs w:val="24"/>
        </w:rPr>
      </w:pPr>
      <w:proofErr w:type="spellStart"/>
      <w:proofErr w:type="gramStart"/>
      <w:r>
        <w:rPr>
          <w:rFonts w:ascii="Arial" w:hAnsi="Arial" w:cs="Arial"/>
          <w:sz w:val="24"/>
          <w:szCs w:val="24"/>
        </w:rPr>
        <w:t>lc</w:t>
      </w:r>
      <w:proofErr w:type="spellEnd"/>
      <w:proofErr w:type="gramEnd"/>
    </w:p>
    <w:sectPr w:rsidR="008D4B89" w:rsidSect="008E2471">
      <w:footerReference w:type="default" r:id="rId8"/>
      <w:pgSz w:w="11906" w:h="16838" w:code="9"/>
      <w:pgMar w:top="3005" w:right="1701" w:bottom="1134" w:left="1701" w:header="709" w:footer="709"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66AA" w:rsidRDefault="006966AA" w:rsidP="006966AA">
      <w:pPr>
        <w:spacing w:after="0" w:line="240" w:lineRule="auto"/>
      </w:pPr>
      <w:r>
        <w:separator/>
      </w:r>
    </w:p>
  </w:endnote>
  <w:endnote w:type="continuationSeparator" w:id="0">
    <w:p w:rsidR="006966AA" w:rsidRDefault="006966AA" w:rsidP="006966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66AA" w:rsidRDefault="006966AA">
    <w:pPr>
      <w:pStyle w:val="Piedepgina"/>
      <w:jc w:val="center"/>
    </w:pPr>
    <w:r>
      <w:fldChar w:fldCharType="begin"/>
    </w:r>
    <w:r>
      <w:instrText>PAGE   \* MERGEFORMAT</w:instrText>
    </w:r>
    <w:r>
      <w:fldChar w:fldCharType="separate"/>
    </w:r>
    <w:r w:rsidR="008E2471">
      <w:rPr>
        <w:noProof/>
      </w:rPr>
      <w:t>4</w:t>
    </w:r>
    <w:r>
      <w:fldChar w:fldCharType="end"/>
    </w:r>
  </w:p>
  <w:p w:rsidR="006966AA" w:rsidRDefault="006966A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66AA" w:rsidRDefault="006966AA" w:rsidP="006966AA">
      <w:pPr>
        <w:spacing w:after="0" w:line="240" w:lineRule="auto"/>
      </w:pPr>
      <w:r>
        <w:separator/>
      </w:r>
    </w:p>
  </w:footnote>
  <w:footnote w:type="continuationSeparator" w:id="0">
    <w:p w:rsidR="006966AA" w:rsidRDefault="006966AA" w:rsidP="006966A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3CE2F91"/>
    <w:multiLevelType w:val="hybridMultilevel"/>
    <w:tmpl w:val="BF5E200E"/>
    <w:lvl w:ilvl="0" w:tplc="0C0A0011">
      <w:start w:val="1"/>
      <w:numFmt w:val="decimal"/>
      <w:lvlText w:val="%1)"/>
      <w:lvlJc w:val="left"/>
      <w:pPr>
        <w:ind w:left="720" w:hanging="360"/>
      </w:pPr>
      <w:rPr>
        <w:rFonts w:ascii="Times New Roman" w:hAnsi="Times New Roman" w:hint="default"/>
      </w:rPr>
    </w:lvl>
    <w:lvl w:ilvl="1" w:tplc="0C0A0019">
      <w:start w:val="1"/>
      <w:numFmt w:val="lowerLetter"/>
      <w:lvlText w:val="%2."/>
      <w:lvlJc w:val="left"/>
      <w:pPr>
        <w:ind w:left="1440" w:hanging="360"/>
      </w:pPr>
      <w:rPr>
        <w:rFonts w:ascii="Times New Roman" w:hAnsi="Times New Roman"/>
      </w:rPr>
    </w:lvl>
    <w:lvl w:ilvl="2" w:tplc="0C0A001B">
      <w:start w:val="1"/>
      <w:numFmt w:val="lowerRoman"/>
      <w:lvlText w:val="%3."/>
      <w:lvlJc w:val="right"/>
      <w:pPr>
        <w:ind w:left="2160" w:hanging="180"/>
      </w:pPr>
      <w:rPr>
        <w:rFonts w:ascii="Times New Roman" w:hAnsi="Times New Roman"/>
      </w:rPr>
    </w:lvl>
    <w:lvl w:ilvl="3" w:tplc="0C0A000F">
      <w:start w:val="1"/>
      <w:numFmt w:val="decimal"/>
      <w:lvlText w:val="%4."/>
      <w:lvlJc w:val="left"/>
      <w:pPr>
        <w:ind w:left="2880" w:hanging="360"/>
      </w:pPr>
      <w:rPr>
        <w:rFonts w:ascii="Times New Roman" w:hAnsi="Times New Roman"/>
      </w:rPr>
    </w:lvl>
    <w:lvl w:ilvl="4" w:tplc="0C0A0019">
      <w:start w:val="1"/>
      <w:numFmt w:val="lowerLetter"/>
      <w:lvlText w:val="%5."/>
      <w:lvlJc w:val="left"/>
      <w:pPr>
        <w:ind w:left="3600" w:hanging="360"/>
      </w:pPr>
      <w:rPr>
        <w:rFonts w:ascii="Times New Roman" w:hAnsi="Times New Roman"/>
      </w:rPr>
    </w:lvl>
    <w:lvl w:ilvl="5" w:tplc="0C0A001B">
      <w:start w:val="1"/>
      <w:numFmt w:val="lowerRoman"/>
      <w:lvlText w:val="%6."/>
      <w:lvlJc w:val="right"/>
      <w:pPr>
        <w:ind w:left="4320" w:hanging="180"/>
      </w:pPr>
      <w:rPr>
        <w:rFonts w:ascii="Times New Roman" w:hAnsi="Times New Roman"/>
      </w:rPr>
    </w:lvl>
    <w:lvl w:ilvl="6" w:tplc="0C0A000F">
      <w:start w:val="1"/>
      <w:numFmt w:val="decimal"/>
      <w:lvlText w:val="%7."/>
      <w:lvlJc w:val="left"/>
      <w:pPr>
        <w:ind w:left="5040" w:hanging="360"/>
      </w:pPr>
      <w:rPr>
        <w:rFonts w:ascii="Times New Roman" w:hAnsi="Times New Roman"/>
      </w:rPr>
    </w:lvl>
    <w:lvl w:ilvl="7" w:tplc="0C0A0019">
      <w:start w:val="1"/>
      <w:numFmt w:val="lowerLetter"/>
      <w:lvlText w:val="%8."/>
      <w:lvlJc w:val="left"/>
      <w:pPr>
        <w:ind w:left="5760" w:hanging="360"/>
      </w:pPr>
      <w:rPr>
        <w:rFonts w:ascii="Times New Roman" w:hAnsi="Times New Roman"/>
      </w:rPr>
    </w:lvl>
    <w:lvl w:ilvl="8" w:tplc="0C0A001B">
      <w:start w:val="1"/>
      <w:numFmt w:val="lowerRoman"/>
      <w:lvlText w:val="%9."/>
      <w:lvlJc w:val="right"/>
      <w:pPr>
        <w:ind w:left="6480" w:hanging="180"/>
      </w:pPr>
      <w:rPr>
        <w:rFonts w:ascii="Times New Roman" w:hAnsi="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B89"/>
    <w:rsid w:val="00585522"/>
    <w:rsid w:val="006966AA"/>
    <w:rsid w:val="008D4B89"/>
    <w:rsid w:val="008E2471"/>
    <w:rsid w:val="00C96BB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6966AA"/>
    <w:pPr>
      <w:tabs>
        <w:tab w:val="center" w:pos="4252"/>
        <w:tab w:val="right" w:pos="8504"/>
      </w:tabs>
    </w:pPr>
  </w:style>
  <w:style w:type="character" w:customStyle="1" w:styleId="EncabezadoCar">
    <w:name w:val="Encabezado Car"/>
    <w:link w:val="Encabezado"/>
    <w:uiPriority w:val="99"/>
    <w:rsid w:val="006966AA"/>
    <w:rPr>
      <w:rFonts w:ascii="Calibri" w:hAnsi="Calibri" w:cs="Calibri"/>
      <w:lang w:eastAsia="en-US"/>
    </w:rPr>
  </w:style>
  <w:style w:type="paragraph" w:styleId="Piedepgina">
    <w:name w:val="footer"/>
    <w:basedOn w:val="Normal"/>
    <w:link w:val="PiedepginaCar"/>
    <w:uiPriority w:val="99"/>
    <w:unhideWhenUsed/>
    <w:rsid w:val="006966AA"/>
    <w:pPr>
      <w:tabs>
        <w:tab w:val="center" w:pos="4252"/>
        <w:tab w:val="right" w:pos="8504"/>
      </w:tabs>
    </w:pPr>
  </w:style>
  <w:style w:type="character" w:customStyle="1" w:styleId="PiedepginaCar">
    <w:name w:val="Pie de página Car"/>
    <w:link w:val="Piedepgina"/>
    <w:uiPriority w:val="99"/>
    <w:rsid w:val="006966AA"/>
    <w:rPr>
      <w:rFonts w:ascii="Calibri" w:hAnsi="Calibri" w:cs="Calibri"/>
      <w:lang w:eastAsia="en-US"/>
    </w:rPr>
  </w:style>
  <w:style w:type="paragraph" w:styleId="Textodeglobo">
    <w:name w:val="Balloon Text"/>
    <w:basedOn w:val="Normal"/>
    <w:link w:val="TextodegloboCar"/>
    <w:uiPriority w:val="99"/>
    <w:semiHidden/>
    <w:unhideWhenUsed/>
    <w:rsid w:val="008E24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2471"/>
    <w:rPr>
      <w:rFonts w:ascii="Tahoma" w:hAnsi="Tahoma" w:cs="Tahoma"/>
      <w:sz w:val="16"/>
      <w:szCs w:val="16"/>
      <w:lang w:val="es-E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s-UY" w:eastAsia="es-UY"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rFonts w:cs="Calibri"/>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99"/>
    <w:qFormat/>
    <w:pPr>
      <w:ind w:left="720"/>
    </w:pPr>
  </w:style>
  <w:style w:type="paragraph" w:styleId="Encabezado">
    <w:name w:val="header"/>
    <w:basedOn w:val="Normal"/>
    <w:link w:val="EncabezadoCar"/>
    <w:uiPriority w:val="99"/>
    <w:unhideWhenUsed/>
    <w:rsid w:val="006966AA"/>
    <w:pPr>
      <w:tabs>
        <w:tab w:val="center" w:pos="4252"/>
        <w:tab w:val="right" w:pos="8504"/>
      </w:tabs>
    </w:pPr>
  </w:style>
  <w:style w:type="character" w:customStyle="1" w:styleId="EncabezadoCar">
    <w:name w:val="Encabezado Car"/>
    <w:link w:val="Encabezado"/>
    <w:uiPriority w:val="99"/>
    <w:rsid w:val="006966AA"/>
    <w:rPr>
      <w:rFonts w:ascii="Calibri" w:hAnsi="Calibri" w:cs="Calibri"/>
      <w:lang w:eastAsia="en-US"/>
    </w:rPr>
  </w:style>
  <w:style w:type="paragraph" w:styleId="Piedepgina">
    <w:name w:val="footer"/>
    <w:basedOn w:val="Normal"/>
    <w:link w:val="PiedepginaCar"/>
    <w:uiPriority w:val="99"/>
    <w:unhideWhenUsed/>
    <w:rsid w:val="006966AA"/>
    <w:pPr>
      <w:tabs>
        <w:tab w:val="center" w:pos="4252"/>
        <w:tab w:val="right" w:pos="8504"/>
      </w:tabs>
    </w:pPr>
  </w:style>
  <w:style w:type="character" w:customStyle="1" w:styleId="PiedepginaCar">
    <w:name w:val="Pie de página Car"/>
    <w:link w:val="Piedepgina"/>
    <w:uiPriority w:val="99"/>
    <w:rsid w:val="006966AA"/>
    <w:rPr>
      <w:rFonts w:ascii="Calibri" w:hAnsi="Calibri" w:cs="Calibri"/>
      <w:lang w:eastAsia="en-US"/>
    </w:rPr>
  </w:style>
  <w:style w:type="paragraph" w:styleId="Textodeglobo">
    <w:name w:val="Balloon Text"/>
    <w:basedOn w:val="Normal"/>
    <w:link w:val="TextodegloboCar"/>
    <w:uiPriority w:val="99"/>
    <w:semiHidden/>
    <w:unhideWhenUsed/>
    <w:rsid w:val="008E2471"/>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E2471"/>
    <w:rPr>
      <w:rFonts w:ascii="Tahoma" w:hAnsi="Tahoma" w:cs="Tahoma"/>
      <w:sz w:val="16"/>
      <w:szCs w:val="16"/>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917</Words>
  <Characters>5011</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CARPETA Nº 2018-17-1-0000565</vt:lpstr>
    </vt:vector>
  </TitlesOfParts>
  <Company/>
  <LinksUpToDate>false</LinksUpToDate>
  <CharactersWithSpaces>5917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CARPETA Nº 2018-17-1-0000565</dc:title>
  <dc:creator>Tribunal1</dc:creator>
  <cp:lastModifiedBy>Tribunal1</cp:lastModifiedBy>
  <cp:revision>3</cp:revision>
  <cp:lastPrinted>2018-02-20T16:08:00Z</cp:lastPrinted>
  <dcterms:created xsi:type="dcterms:W3CDTF">2018-02-20T16:07:00Z</dcterms:created>
  <dcterms:modified xsi:type="dcterms:W3CDTF">2018-02-20T16:08:00Z</dcterms:modified>
</cp:coreProperties>
</file>