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4FD" w:rsidRPr="00786EEB" w:rsidRDefault="003E54FD"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4338/17</w:t>
      </w:r>
    </w:p>
    <w:p w:rsidR="003E54FD" w:rsidRPr="003E54FD" w:rsidRDefault="003E54FD" w:rsidP="003E54FD">
      <w:pPr>
        <w:tabs>
          <w:tab w:val="center" w:pos="4253"/>
        </w:tabs>
        <w:suppressAutoHyphens/>
        <w:spacing w:after="0" w:line="240" w:lineRule="auto"/>
        <w:jc w:val="center"/>
        <w:rPr>
          <w:rFonts w:ascii="Arial" w:hAnsi="Arial" w:cs="Arial"/>
          <w:b/>
          <w:sz w:val="24"/>
          <w:szCs w:val="24"/>
          <w:lang w:val="es-ES_tradnl"/>
        </w:rPr>
      </w:pPr>
      <w:r w:rsidRPr="003E54FD">
        <w:rPr>
          <w:rFonts w:ascii="Arial" w:hAnsi="Arial" w:cs="Arial"/>
          <w:b/>
          <w:sz w:val="24"/>
          <w:szCs w:val="24"/>
          <w:lang w:val="es-ES_tradnl"/>
        </w:rPr>
        <w:t>RESOLUCION ADOPTADA POR EL</w:t>
      </w:r>
    </w:p>
    <w:p w:rsidR="003E54FD" w:rsidRPr="003E54FD" w:rsidRDefault="003E54FD" w:rsidP="003E54FD">
      <w:pPr>
        <w:tabs>
          <w:tab w:val="left" w:pos="-720"/>
        </w:tabs>
        <w:suppressAutoHyphens/>
        <w:spacing w:after="0" w:line="240" w:lineRule="auto"/>
        <w:jc w:val="center"/>
        <w:rPr>
          <w:rFonts w:ascii="Arial" w:hAnsi="Arial" w:cs="Arial"/>
          <w:b/>
          <w:sz w:val="24"/>
          <w:szCs w:val="24"/>
          <w:lang w:val="es-ES_tradnl"/>
        </w:rPr>
      </w:pPr>
    </w:p>
    <w:p w:rsidR="003E54FD" w:rsidRPr="003E54FD" w:rsidRDefault="003E54FD" w:rsidP="003E54FD">
      <w:pPr>
        <w:tabs>
          <w:tab w:val="center" w:pos="4253"/>
        </w:tabs>
        <w:suppressAutoHyphens/>
        <w:spacing w:after="0" w:line="240" w:lineRule="auto"/>
        <w:jc w:val="center"/>
        <w:rPr>
          <w:rFonts w:ascii="Arial" w:hAnsi="Arial" w:cs="Arial"/>
          <w:b/>
          <w:sz w:val="24"/>
          <w:szCs w:val="24"/>
          <w:lang w:val="es-ES_tradnl"/>
        </w:rPr>
      </w:pPr>
      <w:r w:rsidRPr="003E54FD">
        <w:rPr>
          <w:rFonts w:ascii="Arial" w:hAnsi="Arial" w:cs="Arial"/>
          <w:b/>
          <w:sz w:val="24"/>
          <w:szCs w:val="24"/>
          <w:lang w:val="es-ES_tradnl"/>
        </w:rPr>
        <w:t>TRIBUNAL DE CUENTAS</w:t>
      </w:r>
    </w:p>
    <w:p w:rsidR="003E54FD" w:rsidRPr="003E54FD" w:rsidRDefault="003E54FD" w:rsidP="003E54FD">
      <w:pPr>
        <w:tabs>
          <w:tab w:val="left" w:pos="-720"/>
        </w:tabs>
        <w:suppressAutoHyphens/>
        <w:spacing w:after="0" w:line="240" w:lineRule="auto"/>
        <w:jc w:val="center"/>
        <w:rPr>
          <w:rFonts w:ascii="Arial" w:hAnsi="Arial" w:cs="Arial"/>
          <w:b/>
          <w:sz w:val="24"/>
          <w:szCs w:val="24"/>
          <w:lang w:val="es-ES_tradnl"/>
        </w:rPr>
      </w:pPr>
    </w:p>
    <w:p w:rsidR="003E54FD" w:rsidRPr="003E54FD" w:rsidRDefault="003E54FD" w:rsidP="003E54FD">
      <w:pPr>
        <w:tabs>
          <w:tab w:val="center" w:pos="4253"/>
        </w:tabs>
        <w:suppressAutoHyphens/>
        <w:spacing w:after="0" w:line="240" w:lineRule="auto"/>
        <w:jc w:val="center"/>
        <w:rPr>
          <w:rFonts w:ascii="Arial" w:hAnsi="Arial" w:cs="Arial"/>
          <w:b/>
          <w:sz w:val="24"/>
          <w:szCs w:val="24"/>
          <w:lang w:val="es-ES_tradnl"/>
        </w:rPr>
      </w:pPr>
      <w:r w:rsidRPr="003E54FD">
        <w:rPr>
          <w:rFonts w:ascii="Arial" w:hAnsi="Arial" w:cs="Arial"/>
          <w:b/>
          <w:sz w:val="24"/>
          <w:szCs w:val="24"/>
          <w:lang w:val="es-ES_tradnl"/>
        </w:rPr>
        <w:t xml:space="preserve">EN SESION DE FECHA 27 DE DICIEMBRE </w:t>
      </w:r>
      <w:r w:rsidRPr="003E54FD">
        <w:rPr>
          <w:rFonts w:ascii="Helvetica" w:hAnsi="Helvetica"/>
          <w:b/>
          <w:sz w:val="24"/>
          <w:szCs w:val="24"/>
          <w:lang w:val="es-ES_tradnl"/>
        </w:rPr>
        <w:t>DE 2017</w:t>
      </w:r>
    </w:p>
    <w:p w:rsidR="003E54FD" w:rsidRPr="003E54FD" w:rsidRDefault="003E54FD" w:rsidP="003E54FD">
      <w:pPr>
        <w:tabs>
          <w:tab w:val="center" w:pos="4253"/>
        </w:tabs>
        <w:suppressAutoHyphens/>
        <w:spacing w:after="0" w:line="240" w:lineRule="auto"/>
        <w:jc w:val="center"/>
        <w:rPr>
          <w:rFonts w:ascii="Arial" w:hAnsi="Arial" w:cs="Arial"/>
          <w:b/>
          <w:sz w:val="24"/>
          <w:szCs w:val="24"/>
          <w:lang w:val="es-ES_tradnl"/>
        </w:rPr>
      </w:pPr>
    </w:p>
    <w:p w:rsidR="003E54FD" w:rsidRPr="002A0766" w:rsidRDefault="003E54FD" w:rsidP="003E54FD">
      <w:pPr>
        <w:tabs>
          <w:tab w:val="center" w:pos="4253"/>
        </w:tabs>
        <w:suppressAutoHyphens/>
        <w:spacing w:after="0" w:line="240" w:lineRule="auto"/>
        <w:jc w:val="center"/>
        <w:rPr>
          <w:rFonts w:ascii="Arial" w:hAnsi="Arial" w:cs="Arial"/>
          <w:b/>
          <w:sz w:val="24"/>
          <w:szCs w:val="24"/>
        </w:rPr>
      </w:pPr>
      <w:r w:rsidRPr="002A0766">
        <w:rPr>
          <w:rFonts w:ascii="Arial" w:hAnsi="Arial" w:cs="Arial"/>
          <w:b/>
          <w:sz w:val="24"/>
          <w:szCs w:val="24"/>
        </w:rPr>
        <w:t xml:space="preserve">(E. E. Nº 2017-17-1-0003380, </w:t>
      </w:r>
      <w:proofErr w:type="spellStart"/>
      <w:r w:rsidRPr="002A0766">
        <w:rPr>
          <w:rFonts w:ascii="Arial" w:hAnsi="Arial" w:cs="Arial"/>
          <w:b/>
          <w:sz w:val="24"/>
          <w:szCs w:val="24"/>
        </w:rPr>
        <w:t>Ent</w:t>
      </w:r>
      <w:proofErr w:type="spellEnd"/>
      <w:r w:rsidRPr="002A0766">
        <w:rPr>
          <w:rFonts w:ascii="Arial" w:hAnsi="Arial" w:cs="Arial"/>
          <w:b/>
          <w:sz w:val="24"/>
          <w:szCs w:val="24"/>
        </w:rPr>
        <w:t>. N° 2756/17)</w:t>
      </w:r>
    </w:p>
    <w:p w:rsidR="003E54FD" w:rsidRPr="003E54FD" w:rsidRDefault="003E54FD" w:rsidP="003E54FD">
      <w:pPr>
        <w:spacing w:after="0" w:line="360" w:lineRule="auto"/>
        <w:ind w:firstLine="851"/>
        <w:jc w:val="both"/>
        <w:rPr>
          <w:rFonts w:ascii="Arial" w:eastAsia="Times New Roman" w:hAnsi="Arial" w:cs="Arial"/>
          <w:b/>
          <w:bCs/>
          <w:sz w:val="24"/>
          <w:szCs w:val="24"/>
          <w:lang w:val="es-ES" w:eastAsia="es-ES"/>
        </w:rPr>
      </w:pPr>
    </w:p>
    <w:p w:rsidR="003E54FD" w:rsidRDefault="003E54FD" w:rsidP="003E54FD">
      <w:pPr>
        <w:spacing w:after="0" w:line="360" w:lineRule="auto"/>
        <w:ind w:firstLine="851"/>
        <w:jc w:val="both"/>
        <w:rPr>
          <w:rFonts w:ascii="Arial" w:eastAsia="Times New Roman" w:hAnsi="Arial" w:cs="Arial"/>
          <w:sz w:val="24"/>
          <w:szCs w:val="24"/>
          <w:lang w:val="es-ES" w:eastAsia="es-ES"/>
        </w:rPr>
      </w:pPr>
      <w:r w:rsidRPr="003E54FD">
        <w:rPr>
          <w:rFonts w:ascii="Arial" w:eastAsia="Times New Roman" w:hAnsi="Arial" w:cs="Arial"/>
          <w:b/>
          <w:bCs/>
          <w:sz w:val="24"/>
          <w:szCs w:val="24"/>
          <w:lang w:val="es-ES" w:eastAsia="es-ES"/>
        </w:rPr>
        <w:t>VISTO:</w:t>
      </w:r>
      <w:r w:rsidRPr="003E54FD">
        <w:rPr>
          <w:rFonts w:ascii="Arial" w:eastAsia="Times New Roman" w:hAnsi="Arial" w:cs="Arial"/>
          <w:sz w:val="24"/>
          <w:szCs w:val="24"/>
          <w:lang w:val="es-ES" w:eastAsia="es-ES"/>
        </w:rPr>
        <w:t xml:space="preserve"> que este Tribunal ha examinado el Estado de Ejecución Presupuestal del Banco Hipotecario del Uruguay (BHU) correspondiente al </w:t>
      </w:r>
      <w:r>
        <w:rPr>
          <w:rFonts w:ascii="Arial" w:eastAsia="Times New Roman" w:hAnsi="Arial" w:cs="Arial"/>
          <w:sz w:val="24"/>
          <w:szCs w:val="24"/>
          <w:lang w:val="es-ES" w:eastAsia="es-ES"/>
        </w:rPr>
        <w:t>E</w:t>
      </w:r>
      <w:r w:rsidRPr="003E54FD">
        <w:rPr>
          <w:rFonts w:ascii="Arial" w:eastAsia="Times New Roman" w:hAnsi="Arial" w:cs="Arial"/>
          <w:sz w:val="24"/>
          <w:szCs w:val="24"/>
          <w:lang w:val="es-ES" w:eastAsia="es-ES"/>
        </w:rPr>
        <w:t>jercicio 2016;</w:t>
      </w:r>
    </w:p>
    <w:p w:rsidR="003E54FD" w:rsidRPr="003E54FD" w:rsidRDefault="003E54FD" w:rsidP="003E54FD">
      <w:pPr>
        <w:spacing w:after="0" w:line="360" w:lineRule="auto"/>
        <w:ind w:firstLine="851"/>
        <w:jc w:val="both"/>
        <w:rPr>
          <w:rFonts w:ascii="Arial" w:eastAsia="Times New Roman" w:hAnsi="Arial" w:cs="Arial"/>
          <w:sz w:val="24"/>
          <w:szCs w:val="24"/>
          <w:lang w:val="es-ES" w:eastAsia="es-ES"/>
        </w:rPr>
      </w:pPr>
      <w:r w:rsidRPr="003E54FD">
        <w:rPr>
          <w:rFonts w:ascii="Arial" w:eastAsia="Times New Roman" w:hAnsi="Arial" w:cs="Arial"/>
          <w:b/>
          <w:bCs/>
          <w:sz w:val="24"/>
          <w:szCs w:val="24"/>
          <w:lang w:val="es-ES" w:eastAsia="es-ES"/>
        </w:rPr>
        <w:t>RESULTANDO:</w:t>
      </w:r>
      <w:r w:rsidRPr="003E54FD">
        <w:rPr>
          <w:rFonts w:ascii="Arial" w:eastAsia="Times New Roman" w:hAnsi="Arial" w:cs="Arial"/>
          <w:sz w:val="24"/>
          <w:szCs w:val="24"/>
          <w:lang w:val="es-ES" w:eastAsia="es-ES"/>
        </w:rPr>
        <w:t xml:space="preserve"> que el examen se efectuó de acuerdo con los Principios Fundamentales de Auditoría (ISSAI 100 y 200) y las Directrices de Auditoría Financiera de la Organización Internacional de Entidades Fiscalizado</w:t>
      </w:r>
      <w:r>
        <w:rPr>
          <w:rFonts w:ascii="Arial" w:eastAsia="Times New Roman" w:hAnsi="Arial" w:cs="Arial"/>
          <w:sz w:val="24"/>
          <w:szCs w:val="24"/>
          <w:lang w:val="es-ES" w:eastAsia="es-ES"/>
        </w:rPr>
        <w:softHyphen/>
      </w:r>
      <w:r w:rsidRPr="003E54FD">
        <w:rPr>
          <w:rFonts w:ascii="Arial" w:eastAsia="Times New Roman" w:hAnsi="Arial" w:cs="Arial"/>
          <w:sz w:val="24"/>
          <w:szCs w:val="24"/>
          <w:lang w:val="es-ES" w:eastAsia="es-ES"/>
        </w:rPr>
        <w:t>ras Superiores (INTOSAI), habiéndose llevado a cabo los procedimientos considerados necesarios en las circunstancias;</w:t>
      </w:r>
    </w:p>
    <w:p w:rsidR="003E54FD" w:rsidRDefault="003E54FD" w:rsidP="003E54FD">
      <w:pPr>
        <w:spacing w:after="0" w:line="360" w:lineRule="auto"/>
        <w:ind w:firstLine="851"/>
        <w:jc w:val="both"/>
        <w:rPr>
          <w:rFonts w:ascii="Arial" w:eastAsia="Times New Roman" w:hAnsi="Arial" w:cs="Arial"/>
          <w:sz w:val="24"/>
          <w:szCs w:val="24"/>
          <w:lang w:val="es-ES" w:eastAsia="es-ES"/>
        </w:rPr>
      </w:pPr>
      <w:r w:rsidRPr="003E54FD">
        <w:rPr>
          <w:rFonts w:ascii="Arial" w:eastAsia="Times New Roman" w:hAnsi="Arial" w:cs="Arial"/>
          <w:b/>
          <w:bCs/>
          <w:sz w:val="24"/>
          <w:szCs w:val="24"/>
          <w:lang w:val="es-ES" w:eastAsia="es-ES"/>
        </w:rPr>
        <w:t>CONSIDERANDO:</w:t>
      </w:r>
      <w:r w:rsidRPr="003E54FD">
        <w:rPr>
          <w:rFonts w:ascii="Arial" w:eastAsia="Times New Roman" w:hAnsi="Arial" w:cs="Arial"/>
          <w:sz w:val="24"/>
          <w:szCs w:val="24"/>
          <w:lang w:val="es-ES" w:eastAsia="es-ES"/>
        </w:rPr>
        <w:t xml:space="preserve"> que las conclusiones y evidencias obtenidas son las que se expresan en el Informe de Auditoría, que incluye Dictamen e Informe a la Administración;</w:t>
      </w:r>
    </w:p>
    <w:p w:rsidR="003E54FD" w:rsidRPr="003E54FD" w:rsidRDefault="003E54FD" w:rsidP="003E54FD">
      <w:pPr>
        <w:spacing w:after="0" w:line="360" w:lineRule="auto"/>
        <w:ind w:firstLine="851"/>
        <w:jc w:val="both"/>
        <w:rPr>
          <w:rFonts w:ascii="Arial" w:eastAsia="Times New Roman" w:hAnsi="Arial" w:cs="Arial"/>
          <w:sz w:val="24"/>
          <w:szCs w:val="24"/>
          <w:lang w:val="es-ES" w:eastAsia="es-ES"/>
        </w:rPr>
      </w:pPr>
      <w:r w:rsidRPr="003E54FD">
        <w:rPr>
          <w:rFonts w:ascii="Arial" w:eastAsia="Times New Roman" w:hAnsi="Arial" w:cs="Arial"/>
          <w:b/>
          <w:bCs/>
          <w:sz w:val="24"/>
          <w:szCs w:val="24"/>
          <w:lang w:val="es-ES" w:eastAsia="es-ES"/>
        </w:rPr>
        <w:t>ATENTO:</w:t>
      </w:r>
      <w:r w:rsidRPr="003E54FD">
        <w:rPr>
          <w:rFonts w:ascii="Arial" w:eastAsia="Times New Roman" w:hAnsi="Arial" w:cs="Arial"/>
          <w:sz w:val="24"/>
          <w:szCs w:val="24"/>
          <w:lang w:val="es-ES" w:eastAsia="es-ES"/>
        </w:rPr>
        <w:t xml:space="preserve"> a lo establecido por el Artículo 211 Literales C) y E) de la Constitución de la República;</w:t>
      </w:r>
    </w:p>
    <w:p w:rsidR="003E54FD" w:rsidRPr="003E54FD" w:rsidRDefault="003E54FD" w:rsidP="003E54FD">
      <w:pPr>
        <w:spacing w:after="0" w:line="360" w:lineRule="auto"/>
        <w:jc w:val="center"/>
        <w:rPr>
          <w:rFonts w:ascii="Arial" w:eastAsia="Times New Roman" w:hAnsi="Arial" w:cs="Arial"/>
          <w:b/>
          <w:bCs/>
          <w:sz w:val="24"/>
          <w:szCs w:val="24"/>
          <w:lang w:val="es-ES" w:eastAsia="es-ES"/>
        </w:rPr>
      </w:pPr>
      <w:r w:rsidRPr="003E54FD">
        <w:rPr>
          <w:rFonts w:ascii="Arial" w:eastAsia="Times New Roman" w:hAnsi="Arial" w:cs="Arial"/>
          <w:b/>
          <w:bCs/>
          <w:sz w:val="24"/>
          <w:szCs w:val="24"/>
          <w:lang w:val="es-ES" w:eastAsia="es-ES"/>
        </w:rPr>
        <w:t>EL TRIBUNAL ACUERDA</w:t>
      </w:r>
    </w:p>
    <w:p w:rsidR="003E54FD" w:rsidRPr="003E54FD" w:rsidRDefault="003E54FD" w:rsidP="003E54FD">
      <w:pPr>
        <w:widowControl w:val="0"/>
        <w:suppressAutoHyphens/>
        <w:spacing w:after="0" w:line="360" w:lineRule="auto"/>
        <w:ind w:left="284" w:hanging="284"/>
        <w:jc w:val="both"/>
        <w:rPr>
          <w:rFonts w:ascii="Arial" w:eastAsia="Times New Roman" w:hAnsi="Arial" w:cs="Arial"/>
          <w:spacing w:val="-3"/>
          <w:sz w:val="24"/>
          <w:szCs w:val="24"/>
          <w:lang w:val="es-ES_tradnl" w:eastAsia="es-ES"/>
        </w:rPr>
      </w:pPr>
      <w:r w:rsidRPr="003E54FD">
        <w:rPr>
          <w:rFonts w:ascii="Arial" w:eastAsia="Times New Roman" w:hAnsi="Arial" w:cs="Arial"/>
          <w:b/>
          <w:spacing w:val="-3"/>
          <w:sz w:val="24"/>
          <w:szCs w:val="24"/>
          <w:lang w:val="es-ES" w:eastAsia="es-ES"/>
        </w:rPr>
        <w:t>1)</w:t>
      </w:r>
      <w:r w:rsidRPr="003E54FD">
        <w:rPr>
          <w:rFonts w:ascii="Arial" w:eastAsia="Times New Roman" w:hAnsi="Arial" w:cs="Arial"/>
          <w:spacing w:val="-3"/>
          <w:sz w:val="24"/>
          <w:szCs w:val="24"/>
          <w:lang w:val="es-ES_tradnl" w:eastAsia="es-ES"/>
        </w:rPr>
        <w:t xml:space="preserve"> Expedirse respecto al Estado de Ejecución Presupuestal correspondiente al </w:t>
      </w:r>
      <w:r>
        <w:rPr>
          <w:rFonts w:ascii="Arial" w:eastAsia="Times New Roman" w:hAnsi="Arial" w:cs="Arial"/>
          <w:spacing w:val="-3"/>
          <w:sz w:val="24"/>
          <w:szCs w:val="24"/>
          <w:lang w:val="es-ES_tradnl" w:eastAsia="es-ES"/>
        </w:rPr>
        <w:t>E</w:t>
      </w:r>
      <w:r w:rsidRPr="003E54FD">
        <w:rPr>
          <w:rFonts w:ascii="Arial" w:eastAsia="Times New Roman" w:hAnsi="Arial" w:cs="Arial"/>
          <w:spacing w:val="-3"/>
          <w:sz w:val="24"/>
          <w:szCs w:val="24"/>
          <w:lang w:val="es-ES_tradnl" w:eastAsia="es-ES"/>
        </w:rPr>
        <w:t>jercicio 2016 del Banco Hipotecario del Uruguay, en los términos del Informe de Auditoría que se adjunta;</w:t>
      </w:r>
    </w:p>
    <w:p w:rsidR="003E54FD" w:rsidRPr="003E54FD" w:rsidRDefault="003E54FD" w:rsidP="003E54FD">
      <w:pPr>
        <w:widowControl w:val="0"/>
        <w:suppressAutoHyphens/>
        <w:spacing w:after="0" w:line="360" w:lineRule="auto"/>
        <w:ind w:left="284" w:hanging="284"/>
        <w:jc w:val="both"/>
        <w:rPr>
          <w:rFonts w:ascii="Arial" w:eastAsia="Times New Roman" w:hAnsi="Arial" w:cs="Arial"/>
          <w:spacing w:val="-3"/>
          <w:sz w:val="24"/>
          <w:szCs w:val="24"/>
          <w:lang w:val="es-ES_tradnl" w:eastAsia="es-ES"/>
        </w:rPr>
      </w:pPr>
      <w:r w:rsidRPr="003E54FD">
        <w:rPr>
          <w:rFonts w:ascii="Arial" w:eastAsia="Times New Roman" w:hAnsi="Arial" w:cs="Arial"/>
          <w:b/>
          <w:spacing w:val="-3"/>
          <w:sz w:val="24"/>
          <w:szCs w:val="24"/>
          <w:lang w:val="es-ES_tradnl" w:eastAsia="es-ES"/>
        </w:rPr>
        <w:t>2)</w:t>
      </w:r>
      <w:r w:rsidRPr="003E54FD">
        <w:rPr>
          <w:rFonts w:ascii="Arial" w:eastAsia="Times New Roman" w:hAnsi="Arial" w:cs="Arial"/>
          <w:spacing w:val="-3"/>
          <w:sz w:val="24"/>
          <w:szCs w:val="24"/>
          <w:lang w:val="es-ES_tradnl" w:eastAsia="es-ES"/>
        </w:rPr>
        <w:t xml:space="preserve"> Comunicar al Ministerio de Vivienda, Ordenamiento territorial y Medio Ambiente, a la Oficina de Planeamiento y Presupuesto (OPP), al Organismo </w:t>
      </w:r>
      <w:r w:rsidR="00DC66B8">
        <w:rPr>
          <w:rFonts w:ascii="Arial" w:eastAsia="Times New Roman" w:hAnsi="Arial" w:cs="Arial"/>
          <w:spacing w:val="-3"/>
          <w:sz w:val="24"/>
          <w:szCs w:val="24"/>
          <w:lang w:val="es-ES_tradnl" w:eastAsia="es-ES"/>
        </w:rPr>
        <w:t>y a los Contadores Delegados; y</w:t>
      </w:r>
    </w:p>
    <w:p w:rsidR="003E54FD" w:rsidRDefault="003E54FD" w:rsidP="003E54FD">
      <w:pPr>
        <w:widowControl w:val="0"/>
        <w:suppressAutoHyphens/>
        <w:spacing w:after="0" w:line="360" w:lineRule="auto"/>
        <w:jc w:val="both"/>
        <w:rPr>
          <w:rFonts w:ascii="Arial" w:eastAsia="Times New Roman" w:hAnsi="Arial" w:cs="Arial"/>
          <w:spacing w:val="-3"/>
          <w:sz w:val="24"/>
          <w:szCs w:val="24"/>
          <w:lang w:val="es-ES_tradnl" w:eastAsia="es-ES"/>
        </w:rPr>
      </w:pPr>
      <w:r w:rsidRPr="003E54FD">
        <w:rPr>
          <w:rFonts w:ascii="Arial" w:eastAsia="Times New Roman" w:hAnsi="Arial" w:cs="Arial"/>
          <w:b/>
          <w:spacing w:val="-3"/>
          <w:sz w:val="24"/>
          <w:szCs w:val="24"/>
          <w:lang w:val="es-ES_tradnl" w:eastAsia="es-ES"/>
        </w:rPr>
        <w:t>3)</w:t>
      </w:r>
      <w:r w:rsidRPr="003E54FD">
        <w:rPr>
          <w:rFonts w:ascii="Arial" w:eastAsia="Times New Roman" w:hAnsi="Arial" w:cs="Arial"/>
          <w:spacing w:val="-3"/>
          <w:sz w:val="24"/>
          <w:szCs w:val="24"/>
          <w:lang w:val="es-ES_tradnl" w:eastAsia="es-ES"/>
        </w:rPr>
        <w:t xml:space="preserve"> Dar cuenta a la Asamblea General.</w:t>
      </w:r>
    </w:p>
    <w:p w:rsidR="008B197D" w:rsidRDefault="003E54FD" w:rsidP="003E54FD">
      <w:pPr>
        <w:widowControl w:val="0"/>
        <w:suppressAutoHyphens/>
        <w:spacing w:after="0" w:line="360" w:lineRule="auto"/>
        <w:ind w:hanging="567"/>
        <w:jc w:val="both"/>
      </w:pPr>
      <w:proofErr w:type="gramStart"/>
      <w:r>
        <w:rPr>
          <w:rFonts w:ascii="Arial" w:eastAsia="Times New Roman" w:hAnsi="Arial" w:cs="Arial"/>
          <w:spacing w:val="-3"/>
          <w:sz w:val="24"/>
          <w:szCs w:val="24"/>
          <w:lang w:val="es-ES_tradnl" w:eastAsia="es-ES"/>
        </w:rPr>
        <w:t>dc</w:t>
      </w:r>
      <w:proofErr w:type="gramEnd"/>
    </w:p>
    <w:p w:rsidR="002A0766" w:rsidRDefault="002A0766" w:rsidP="00963D69">
      <w:pPr>
        <w:pStyle w:val="Ttulo"/>
        <w:spacing w:line="360" w:lineRule="auto"/>
        <w:jc w:val="center"/>
        <w:rPr>
          <w:rFonts w:ascii="Arial" w:hAnsi="Arial" w:cs="Arial"/>
          <w:b/>
          <w:spacing w:val="-1"/>
        </w:rPr>
      </w:pPr>
      <w:r>
        <w:rPr>
          <w:rFonts w:ascii="Arial" w:hAnsi="Arial" w:cs="Arial"/>
          <w:b/>
          <w:spacing w:val="-1"/>
        </w:rPr>
        <w:lastRenderedPageBreak/>
        <w:t>D</w:t>
      </w:r>
      <w:r w:rsidRPr="005E4FB6">
        <w:rPr>
          <w:rFonts w:ascii="Arial" w:hAnsi="Arial" w:cs="Arial"/>
          <w:b/>
          <w:spacing w:val="-1"/>
        </w:rPr>
        <w:t>ICTAMEN</w:t>
      </w:r>
    </w:p>
    <w:p w:rsidR="00DC66B8" w:rsidRPr="005E4FB6" w:rsidRDefault="00DC66B8" w:rsidP="00963D69">
      <w:pPr>
        <w:pStyle w:val="Ttulo"/>
        <w:spacing w:line="360" w:lineRule="auto"/>
        <w:jc w:val="center"/>
        <w:rPr>
          <w:rFonts w:ascii="Arial" w:hAnsi="Arial" w:cs="Arial"/>
          <w:b/>
          <w:spacing w:val="-1"/>
        </w:rPr>
      </w:pPr>
    </w:p>
    <w:p w:rsidR="002A0766" w:rsidRPr="00DC66B8" w:rsidRDefault="002A0766" w:rsidP="002A2644">
      <w:pPr>
        <w:tabs>
          <w:tab w:val="left" w:pos="-720"/>
        </w:tabs>
        <w:suppressAutoHyphens/>
        <w:spacing w:line="360" w:lineRule="auto"/>
        <w:jc w:val="both"/>
        <w:rPr>
          <w:rFonts w:ascii="Arial" w:hAnsi="Arial" w:cs="Arial"/>
          <w:spacing w:val="-3"/>
          <w:sz w:val="24"/>
          <w:szCs w:val="24"/>
          <w:lang w:val="es-ES_tradnl"/>
        </w:rPr>
      </w:pPr>
      <w:r w:rsidRPr="00DC66B8">
        <w:rPr>
          <w:rFonts w:ascii="Arial" w:hAnsi="Arial" w:cs="Arial"/>
          <w:spacing w:val="-3"/>
          <w:sz w:val="24"/>
          <w:szCs w:val="24"/>
          <w:lang w:val="es-ES_tradnl"/>
        </w:rPr>
        <w:t>El Tribunal de Cuentas ha examinado el Estado de Ejecución Presupuestal del Banco Hipotecario del Uruguay (BHU), correspondiente al Ejercicio finalizado el 31/12/2016, los anexos y las notas explicativas al estado.</w:t>
      </w:r>
    </w:p>
    <w:p w:rsidR="002A0766" w:rsidRPr="00DC66B8" w:rsidRDefault="002A0766" w:rsidP="00963D69">
      <w:pPr>
        <w:tabs>
          <w:tab w:val="left" w:pos="-720"/>
        </w:tabs>
        <w:suppressAutoHyphens/>
        <w:spacing w:line="360" w:lineRule="auto"/>
        <w:jc w:val="both"/>
        <w:rPr>
          <w:rFonts w:ascii="Arial" w:hAnsi="Arial" w:cs="Arial"/>
          <w:spacing w:val="-3"/>
          <w:sz w:val="24"/>
          <w:szCs w:val="24"/>
          <w:lang w:val="es-ES_tradnl"/>
        </w:rPr>
      </w:pPr>
      <w:r w:rsidRPr="00DC66B8">
        <w:rPr>
          <w:rFonts w:ascii="Arial" w:hAnsi="Arial" w:cs="Arial"/>
          <w:spacing w:val="-3"/>
          <w:sz w:val="24"/>
          <w:szCs w:val="24"/>
          <w:lang w:val="es-ES_tradnl"/>
        </w:rPr>
        <w:t>También se presentan, en caso de corresponder, los incumplimientos legales constatados por el Tribunal de Cuentas en el curso de la auditoría efectuada.</w:t>
      </w:r>
    </w:p>
    <w:p w:rsidR="002A0766" w:rsidRPr="00DC66B8" w:rsidRDefault="00DC66B8" w:rsidP="00963D69">
      <w:pPr>
        <w:tabs>
          <w:tab w:val="left" w:pos="-720"/>
        </w:tabs>
        <w:suppressAutoHyphens/>
        <w:spacing w:line="360" w:lineRule="auto"/>
        <w:jc w:val="both"/>
        <w:rPr>
          <w:rFonts w:ascii="Arial" w:hAnsi="Arial" w:cs="Arial"/>
          <w:b/>
          <w:spacing w:val="-3"/>
          <w:sz w:val="24"/>
          <w:szCs w:val="24"/>
          <w:lang w:val="es-ES_tradnl"/>
        </w:rPr>
      </w:pPr>
      <w:r w:rsidRPr="00DC66B8">
        <w:rPr>
          <w:rFonts w:ascii="Arial" w:hAnsi="Arial" w:cs="Arial"/>
          <w:b/>
          <w:spacing w:val="-3"/>
          <w:sz w:val="24"/>
          <w:szCs w:val="24"/>
          <w:lang w:val="es-ES_tradnl"/>
        </w:rPr>
        <w:t>Responsabilidad de la Dirección</w:t>
      </w:r>
    </w:p>
    <w:p w:rsidR="002A0766" w:rsidRPr="00DC66B8" w:rsidRDefault="002A0766" w:rsidP="00963D69">
      <w:pPr>
        <w:tabs>
          <w:tab w:val="left" w:pos="-720"/>
        </w:tabs>
        <w:suppressAutoHyphens/>
        <w:spacing w:line="360" w:lineRule="auto"/>
        <w:jc w:val="both"/>
        <w:rPr>
          <w:rFonts w:ascii="Arial" w:hAnsi="Arial" w:cs="Arial"/>
          <w:spacing w:val="-3"/>
          <w:sz w:val="24"/>
          <w:szCs w:val="24"/>
          <w:lang w:val="es-ES_tradnl"/>
        </w:rPr>
      </w:pPr>
      <w:r w:rsidRPr="00DC66B8">
        <w:rPr>
          <w:rFonts w:ascii="Arial" w:hAnsi="Arial" w:cs="Arial"/>
          <w:spacing w:val="-3"/>
          <w:sz w:val="24"/>
          <w:szCs w:val="24"/>
          <w:lang w:val="es-ES_tradnl"/>
        </w:rPr>
        <w:t>La Dirección del BHU es responsable por la preparación y la razonable presentación de este estado  de ejecución presupuestal de acuerdo con las normas establecidas en el TOCAF, en el Presupuesto vigente para el Ejercicio 2016 y en la Ordenanza Nº 75 de 16/09/1998 del Tribunal de Cuentas. Esta responsabilidad incluye diseñar, implementar y mantener un  control Interno adecuado para la preparación y presentación razonable del estado que esté libre de errores significativos, ya sea debido a fraude o error, seleccionar y aplicar políticas apropiadas.</w:t>
      </w:r>
    </w:p>
    <w:p w:rsidR="002A0766" w:rsidRPr="00DC66B8" w:rsidRDefault="002A0766" w:rsidP="00963D69">
      <w:pPr>
        <w:tabs>
          <w:tab w:val="left" w:pos="-720"/>
        </w:tabs>
        <w:suppressAutoHyphens/>
        <w:spacing w:line="360" w:lineRule="auto"/>
        <w:jc w:val="both"/>
        <w:rPr>
          <w:rFonts w:ascii="Arial" w:hAnsi="Arial" w:cs="Arial"/>
          <w:b/>
          <w:spacing w:val="-3"/>
          <w:sz w:val="24"/>
          <w:szCs w:val="24"/>
          <w:lang w:val="es-ES_tradnl"/>
        </w:rPr>
      </w:pPr>
      <w:r w:rsidRPr="00DC66B8">
        <w:rPr>
          <w:rFonts w:ascii="Arial" w:hAnsi="Arial" w:cs="Arial"/>
          <w:b/>
          <w:spacing w:val="-3"/>
          <w:sz w:val="24"/>
          <w:szCs w:val="24"/>
          <w:lang w:val="es-ES_tradnl"/>
        </w:rPr>
        <w:t>Responsabilidad del Auditor</w:t>
      </w:r>
    </w:p>
    <w:p w:rsidR="002A0766" w:rsidRPr="00DC66B8" w:rsidRDefault="002A0766" w:rsidP="00963D69">
      <w:pPr>
        <w:tabs>
          <w:tab w:val="left" w:pos="-720"/>
        </w:tabs>
        <w:suppressAutoHyphens/>
        <w:spacing w:line="360" w:lineRule="auto"/>
        <w:jc w:val="both"/>
        <w:rPr>
          <w:rFonts w:ascii="Arial" w:hAnsi="Arial" w:cs="Arial"/>
          <w:spacing w:val="-3"/>
          <w:sz w:val="24"/>
          <w:szCs w:val="24"/>
          <w:lang w:val="es-ES_tradnl"/>
        </w:rPr>
      </w:pPr>
      <w:r w:rsidRPr="00DC66B8">
        <w:rPr>
          <w:rFonts w:ascii="Arial" w:hAnsi="Arial" w:cs="Arial"/>
          <w:spacing w:val="-3"/>
          <w:sz w:val="24"/>
          <w:szCs w:val="24"/>
          <w:lang w:val="es-ES_tradnl"/>
        </w:rPr>
        <w:t>La responsabilidad del Tribunal de Cuentas es expresar una opinión sobre dicho Estado de Ejecución Presupuestal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el estado mencionado está libre de errores significativos.</w:t>
      </w:r>
    </w:p>
    <w:p w:rsidR="002A0766" w:rsidRPr="00DC66B8" w:rsidRDefault="002A0766" w:rsidP="00963D69">
      <w:pPr>
        <w:tabs>
          <w:tab w:val="left" w:pos="-720"/>
        </w:tabs>
        <w:suppressAutoHyphens/>
        <w:spacing w:line="360" w:lineRule="auto"/>
        <w:jc w:val="both"/>
        <w:rPr>
          <w:rFonts w:ascii="Arial" w:hAnsi="Arial" w:cs="Arial"/>
          <w:spacing w:val="-3"/>
          <w:sz w:val="24"/>
          <w:szCs w:val="24"/>
          <w:lang w:val="es-ES_tradnl"/>
        </w:rPr>
      </w:pPr>
      <w:r w:rsidRPr="00DC66B8">
        <w:rPr>
          <w:rFonts w:ascii="Arial" w:hAnsi="Arial" w:cs="Arial"/>
          <w:spacing w:val="-3"/>
          <w:sz w:val="24"/>
          <w:szCs w:val="24"/>
          <w:lang w:val="es-ES_tradn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efectuar la evaluación de riesgos, el auditor considera los aspectos de control interno de la entidad relevantes para la preparación y presentación razonable del estado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del Estado de Ejecución Presupuestal.</w:t>
      </w:r>
    </w:p>
    <w:p w:rsidR="002A0766" w:rsidRPr="00DC66B8" w:rsidRDefault="002A0766" w:rsidP="00963D69">
      <w:pPr>
        <w:tabs>
          <w:tab w:val="left" w:pos="-720"/>
        </w:tabs>
        <w:suppressAutoHyphens/>
        <w:spacing w:line="360" w:lineRule="auto"/>
        <w:jc w:val="both"/>
        <w:rPr>
          <w:rFonts w:ascii="Arial" w:hAnsi="Arial" w:cs="Arial"/>
          <w:spacing w:val="-1"/>
          <w:sz w:val="24"/>
          <w:szCs w:val="24"/>
          <w:lang w:val="es-ES_tradnl"/>
        </w:rPr>
      </w:pPr>
      <w:r w:rsidRPr="00DC66B8">
        <w:rPr>
          <w:rFonts w:ascii="Arial" w:hAnsi="Arial" w:cs="Arial"/>
          <w:spacing w:val="-3"/>
          <w:sz w:val="24"/>
          <w:szCs w:val="24"/>
          <w:lang w:val="es-ES_tradnl"/>
        </w:rPr>
        <w:t>Se considera  que la evidencia de auditoría obtenida brinda una base suficiente y apropiada para sustentar la opinión.</w:t>
      </w:r>
    </w:p>
    <w:p w:rsidR="002A0766" w:rsidRPr="00DC66B8" w:rsidRDefault="002A0766" w:rsidP="00963D69">
      <w:pPr>
        <w:tabs>
          <w:tab w:val="left" w:pos="-720"/>
        </w:tabs>
        <w:suppressAutoHyphens/>
        <w:spacing w:line="360" w:lineRule="auto"/>
        <w:jc w:val="both"/>
        <w:rPr>
          <w:rFonts w:ascii="Arial" w:hAnsi="Arial" w:cs="Arial"/>
          <w:b/>
          <w:spacing w:val="-3"/>
          <w:sz w:val="24"/>
          <w:szCs w:val="24"/>
          <w:lang w:val="es-ES_tradnl"/>
        </w:rPr>
      </w:pPr>
      <w:r w:rsidRPr="00DC66B8">
        <w:rPr>
          <w:rFonts w:ascii="Arial" w:hAnsi="Arial" w:cs="Arial"/>
          <w:b/>
          <w:spacing w:val="-3"/>
          <w:sz w:val="24"/>
          <w:szCs w:val="24"/>
          <w:lang w:val="es-ES_tradnl"/>
        </w:rPr>
        <w:t>Opinión</w:t>
      </w:r>
    </w:p>
    <w:p w:rsidR="002A0766" w:rsidRPr="005E4FB6" w:rsidRDefault="002A0766" w:rsidP="00963D69">
      <w:pPr>
        <w:pStyle w:val="Textoindependiente"/>
        <w:widowControl/>
        <w:spacing w:line="360" w:lineRule="auto"/>
        <w:rPr>
          <w:rFonts w:ascii="Arial" w:hAnsi="Arial" w:cs="Arial"/>
          <w:szCs w:val="24"/>
        </w:rPr>
      </w:pPr>
      <w:r w:rsidRPr="005E4FB6">
        <w:rPr>
          <w:rFonts w:ascii="Arial" w:hAnsi="Arial" w:cs="Arial"/>
          <w:szCs w:val="24"/>
        </w:rPr>
        <w:t>En opinión del Tribunal de Cuentas</w:t>
      </w:r>
      <w:r>
        <w:rPr>
          <w:rFonts w:ascii="Arial" w:hAnsi="Arial" w:cs="Arial"/>
          <w:szCs w:val="24"/>
        </w:rPr>
        <w:t>,</w:t>
      </w:r>
      <w:r w:rsidRPr="005E4FB6">
        <w:rPr>
          <w:rFonts w:ascii="Arial" w:hAnsi="Arial" w:cs="Arial"/>
          <w:szCs w:val="24"/>
        </w:rPr>
        <w:t xml:space="preserve"> el </w:t>
      </w:r>
      <w:r>
        <w:rPr>
          <w:rFonts w:ascii="Arial" w:hAnsi="Arial" w:cs="Arial"/>
          <w:szCs w:val="24"/>
        </w:rPr>
        <w:t xml:space="preserve">estado referido precedentemente </w:t>
      </w:r>
      <w:r w:rsidRPr="005E4FB6">
        <w:rPr>
          <w:rFonts w:ascii="Arial" w:hAnsi="Arial" w:cs="Arial"/>
          <w:szCs w:val="24"/>
        </w:rPr>
        <w:t xml:space="preserve"> presenta razonablemente, en todos sus aspectos importantes, la </w:t>
      </w:r>
      <w:r>
        <w:rPr>
          <w:rFonts w:ascii="Arial" w:hAnsi="Arial" w:cs="Arial"/>
          <w:szCs w:val="24"/>
        </w:rPr>
        <w:t>e</w:t>
      </w:r>
      <w:r w:rsidRPr="005E4FB6">
        <w:rPr>
          <w:rFonts w:ascii="Arial" w:hAnsi="Arial" w:cs="Arial"/>
          <w:szCs w:val="24"/>
        </w:rPr>
        <w:t xml:space="preserve">jecución </w:t>
      </w:r>
      <w:r>
        <w:rPr>
          <w:rFonts w:ascii="Arial" w:hAnsi="Arial" w:cs="Arial"/>
          <w:szCs w:val="24"/>
        </w:rPr>
        <w:t>p</w:t>
      </w:r>
      <w:r w:rsidRPr="005E4FB6">
        <w:rPr>
          <w:rFonts w:ascii="Arial" w:hAnsi="Arial" w:cs="Arial"/>
          <w:szCs w:val="24"/>
        </w:rPr>
        <w:t>resupuestal del B</w:t>
      </w:r>
      <w:r>
        <w:rPr>
          <w:rFonts w:ascii="Arial" w:hAnsi="Arial" w:cs="Arial"/>
          <w:szCs w:val="24"/>
        </w:rPr>
        <w:t>HU</w:t>
      </w:r>
      <w:r w:rsidRPr="005E4FB6">
        <w:rPr>
          <w:rFonts w:ascii="Arial" w:hAnsi="Arial" w:cs="Arial"/>
          <w:szCs w:val="24"/>
        </w:rPr>
        <w:t xml:space="preserve"> correspondiente al </w:t>
      </w:r>
      <w:r>
        <w:rPr>
          <w:rFonts w:ascii="Arial" w:hAnsi="Arial" w:cs="Arial"/>
          <w:szCs w:val="24"/>
        </w:rPr>
        <w:t>E</w:t>
      </w:r>
      <w:r w:rsidRPr="005E4FB6">
        <w:rPr>
          <w:rFonts w:ascii="Arial" w:hAnsi="Arial" w:cs="Arial"/>
          <w:szCs w:val="24"/>
        </w:rPr>
        <w:t>jercicio finalizado el 31/12/201</w:t>
      </w:r>
      <w:r>
        <w:rPr>
          <w:rFonts w:ascii="Arial" w:hAnsi="Arial" w:cs="Arial"/>
          <w:szCs w:val="24"/>
        </w:rPr>
        <w:t>6</w:t>
      </w:r>
      <w:r w:rsidRPr="005E4FB6">
        <w:rPr>
          <w:rFonts w:ascii="Arial" w:hAnsi="Arial" w:cs="Arial"/>
          <w:szCs w:val="24"/>
        </w:rPr>
        <w:t xml:space="preserve">, de acuerdo con las normas establecidas en el TOCAF, en el Presupuesto vigente para el </w:t>
      </w:r>
      <w:r>
        <w:rPr>
          <w:rFonts w:ascii="Arial" w:hAnsi="Arial" w:cs="Arial"/>
          <w:szCs w:val="24"/>
        </w:rPr>
        <w:t>e</w:t>
      </w:r>
      <w:r w:rsidRPr="005E4FB6">
        <w:rPr>
          <w:rFonts w:ascii="Arial" w:hAnsi="Arial" w:cs="Arial"/>
          <w:szCs w:val="24"/>
        </w:rPr>
        <w:t>jercicio 201</w:t>
      </w:r>
      <w:r>
        <w:rPr>
          <w:rFonts w:ascii="Arial" w:hAnsi="Arial" w:cs="Arial"/>
          <w:szCs w:val="24"/>
        </w:rPr>
        <w:t>6</w:t>
      </w:r>
      <w:r w:rsidRPr="005E4FB6">
        <w:rPr>
          <w:rFonts w:ascii="Arial" w:hAnsi="Arial" w:cs="Arial"/>
          <w:szCs w:val="24"/>
        </w:rPr>
        <w:t xml:space="preserve"> y en la Ordenanza Nº 75 del 16/09/1998 del Tribunal de Cuentas.</w:t>
      </w:r>
    </w:p>
    <w:p w:rsidR="002A0766" w:rsidRDefault="002A0766" w:rsidP="00963D69">
      <w:pPr>
        <w:spacing w:line="360" w:lineRule="auto"/>
        <w:jc w:val="both"/>
        <w:rPr>
          <w:rFonts w:ascii="Arial" w:hAnsi="Arial" w:cs="Arial"/>
          <w:sz w:val="24"/>
          <w:szCs w:val="24"/>
          <w:lang w:val="es-ES_tradnl"/>
        </w:rPr>
      </w:pPr>
      <w:r w:rsidRPr="00DC66B8">
        <w:rPr>
          <w:rFonts w:ascii="Arial" w:hAnsi="Arial" w:cs="Arial"/>
          <w:sz w:val="24"/>
          <w:szCs w:val="24"/>
          <w:lang w:val="es-ES_tradnl"/>
        </w:rPr>
        <w:t>Con relación al cumplimiento de la normativa vigente, en el curso de la auditoría realizada, se ha constatado que:</w:t>
      </w:r>
    </w:p>
    <w:p w:rsidR="002A0766" w:rsidRPr="00A21A6D" w:rsidRDefault="002A0766" w:rsidP="002A0766">
      <w:pPr>
        <w:pStyle w:val="Textoindependiente"/>
        <w:widowControl/>
        <w:numPr>
          <w:ilvl w:val="0"/>
          <w:numId w:val="1"/>
        </w:numPr>
        <w:spacing w:line="360" w:lineRule="auto"/>
        <w:rPr>
          <w:rFonts w:ascii="Arial" w:hAnsi="Arial" w:cs="Arial"/>
          <w:szCs w:val="24"/>
        </w:rPr>
      </w:pPr>
      <w:r w:rsidRPr="0074519F">
        <w:rPr>
          <w:rFonts w:ascii="Arial" w:hAnsi="Arial" w:cs="Arial"/>
          <w:bCs/>
          <w:szCs w:val="24"/>
        </w:rPr>
        <w:t xml:space="preserve">Artículos 211 Literal B) de la Constitución de la República y 3 de la Ley Nº19.149 de fecha 24/10/2013 por utilizar los servicios profesionales de supernumerarios, pagándoles por asunto requerido, configurándose en consecuencia arrendamientos de obra por un total de $ 41:500.973. No se </w:t>
      </w:r>
      <w:r>
        <w:rPr>
          <w:rFonts w:ascii="Arial" w:hAnsi="Arial" w:cs="Arial"/>
          <w:bCs/>
          <w:szCs w:val="24"/>
        </w:rPr>
        <w:t xml:space="preserve">celebraron contratos por los mismos, no se </w:t>
      </w:r>
      <w:r w:rsidRPr="0074519F">
        <w:rPr>
          <w:rFonts w:ascii="Arial" w:hAnsi="Arial" w:cs="Arial"/>
          <w:bCs/>
          <w:szCs w:val="24"/>
        </w:rPr>
        <w:t>contó con el informe previo y favorable de la Oficina de Planeamiento y Presupuesto (OPP) y de la Oficina Nacional de Servicio Civil (ONSC).</w:t>
      </w:r>
    </w:p>
    <w:p w:rsidR="002A0766" w:rsidRPr="008C2A8C" w:rsidRDefault="002A0766" w:rsidP="002A0766">
      <w:pPr>
        <w:pStyle w:val="Textoindependiente"/>
        <w:widowControl/>
        <w:numPr>
          <w:ilvl w:val="0"/>
          <w:numId w:val="1"/>
        </w:numPr>
        <w:spacing w:line="360" w:lineRule="auto"/>
        <w:rPr>
          <w:rFonts w:ascii="Arial" w:hAnsi="Arial" w:cs="Arial"/>
          <w:szCs w:val="24"/>
        </w:rPr>
      </w:pPr>
      <w:r w:rsidRPr="008C2A8C">
        <w:rPr>
          <w:rFonts w:ascii="Arial" w:hAnsi="Arial" w:cs="Arial"/>
          <w:szCs w:val="24"/>
        </w:rPr>
        <w:t>Artículo 38 del TOCAF por haber celebrado contratos de arrendamiento de obra por $ 469.352 sin informe previo y favorable de la OPP y de la ONSC.</w:t>
      </w:r>
    </w:p>
    <w:p w:rsidR="002A0766" w:rsidRPr="008324F7" w:rsidRDefault="002A0766" w:rsidP="002A0766">
      <w:pPr>
        <w:pStyle w:val="Textoindependiente"/>
        <w:widowControl/>
        <w:numPr>
          <w:ilvl w:val="0"/>
          <w:numId w:val="1"/>
        </w:numPr>
        <w:spacing w:line="360" w:lineRule="auto"/>
        <w:rPr>
          <w:rFonts w:ascii="Arial" w:hAnsi="Arial" w:cs="Arial"/>
          <w:color w:val="FF0000"/>
          <w:szCs w:val="24"/>
        </w:rPr>
      </w:pPr>
      <w:r w:rsidRPr="008C2A8C">
        <w:rPr>
          <w:rFonts w:ascii="Arial" w:hAnsi="Arial" w:cs="Arial"/>
          <w:bCs/>
          <w:szCs w:val="24"/>
        </w:rPr>
        <w:t>Artículo 15 del TOCAF, al haber comprometido un gasto sin crédito disponible por un importe de $ 2:780.573. El mismo fue observado por los Contadores Delegados por falta de disponibilidad y reiterado</w:t>
      </w:r>
      <w:r>
        <w:rPr>
          <w:rFonts w:ascii="Arial" w:hAnsi="Arial" w:cs="Arial"/>
          <w:bCs/>
          <w:szCs w:val="24"/>
        </w:rPr>
        <w:t xml:space="preserve"> oportunamente por el O</w:t>
      </w:r>
      <w:r w:rsidRPr="005C0F26">
        <w:rPr>
          <w:rFonts w:ascii="Arial" w:hAnsi="Arial" w:cs="Arial"/>
          <w:bCs/>
          <w:szCs w:val="24"/>
        </w:rPr>
        <w:t>rdenador competente.</w:t>
      </w:r>
    </w:p>
    <w:p w:rsidR="002A0766" w:rsidRDefault="002A0766" w:rsidP="002A0766">
      <w:pPr>
        <w:pStyle w:val="Prrafodelista1"/>
        <w:widowControl w:val="0"/>
        <w:numPr>
          <w:ilvl w:val="0"/>
          <w:numId w:val="1"/>
        </w:numPr>
        <w:spacing w:after="0" w:line="360" w:lineRule="auto"/>
        <w:jc w:val="both"/>
        <w:rPr>
          <w:rFonts w:ascii="Arial" w:hAnsi="Arial" w:cs="Arial"/>
          <w:bCs/>
          <w:szCs w:val="24"/>
        </w:rPr>
      </w:pPr>
      <w:r>
        <w:rPr>
          <w:rFonts w:ascii="Arial" w:hAnsi="Arial" w:cs="Arial"/>
          <w:bCs/>
          <w:szCs w:val="24"/>
        </w:rPr>
        <w:t>Artículo 5 L</w:t>
      </w:r>
      <w:r w:rsidRPr="0074519F">
        <w:rPr>
          <w:rFonts w:ascii="Arial" w:hAnsi="Arial" w:cs="Arial"/>
          <w:bCs/>
          <w:szCs w:val="24"/>
        </w:rPr>
        <w:t>iteral d) de la Ley Nº 18.381 de fecha 07/11/2008 al no publicar en la página web del Banco, información sobre el presupuesto asignado, su ejecución, con los resultados de las auditorías que en cada caso corresponda.</w:t>
      </w:r>
    </w:p>
    <w:p w:rsidR="002A0766" w:rsidRDefault="002A0766" w:rsidP="002A0766">
      <w:pPr>
        <w:pStyle w:val="Textoindependiente"/>
        <w:widowControl/>
        <w:numPr>
          <w:ilvl w:val="0"/>
          <w:numId w:val="1"/>
        </w:numPr>
        <w:spacing w:line="360" w:lineRule="auto"/>
        <w:rPr>
          <w:rFonts w:ascii="Arial" w:hAnsi="Arial" w:cs="Arial"/>
          <w:szCs w:val="24"/>
        </w:rPr>
      </w:pPr>
      <w:r>
        <w:rPr>
          <w:rFonts w:ascii="Arial" w:hAnsi="Arial" w:cs="Arial"/>
          <w:szCs w:val="24"/>
        </w:rPr>
        <w:t>A</w:t>
      </w:r>
      <w:r w:rsidRPr="00D81909">
        <w:rPr>
          <w:rFonts w:ascii="Arial" w:hAnsi="Arial" w:cs="Arial"/>
          <w:szCs w:val="24"/>
        </w:rPr>
        <w:t xml:space="preserve">rtículo 60 del Decreto Nº 108/16 </w:t>
      </w:r>
      <w:r>
        <w:rPr>
          <w:rFonts w:ascii="Arial" w:hAnsi="Arial" w:cs="Arial"/>
          <w:szCs w:val="24"/>
        </w:rPr>
        <w:t xml:space="preserve">aprobatorio del </w:t>
      </w:r>
      <w:r w:rsidRPr="00D81909">
        <w:rPr>
          <w:rFonts w:ascii="Arial" w:hAnsi="Arial" w:cs="Arial"/>
          <w:szCs w:val="24"/>
        </w:rPr>
        <w:t>Presupuesto 2016, por no haber remitido al Tribunal de Cuentas el Sistema de Remuneración por Cumplimiento de Metas (SRCM) para su conocimiento.</w:t>
      </w:r>
    </w:p>
    <w:p w:rsidR="002A0766" w:rsidRPr="006D3D19" w:rsidRDefault="002A0766" w:rsidP="002A0766">
      <w:pPr>
        <w:pStyle w:val="Textoindependiente"/>
        <w:widowControl/>
        <w:numPr>
          <w:ilvl w:val="0"/>
          <w:numId w:val="1"/>
        </w:numPr>
        <w:spacing w:line="360" w:lineRule="auto"/>
        <w:rPr>
          <w:rFonts w:ascii="Arial" w:hAnsi="Arial" w:cs="Arial"/>
          <w:szCs w:val="24"/>
        </w:rPr>
      </w:pPr>
      <w:r w:rsidRPr="00D81909">
        <w:rPr>
          <w:rFonts w:ascii="Arial" w:hAnsi="Arial" w:cs="Arial"/>
          <w:szCs w:val="24"/>
        </w:rPr>
        <w:t xml:space="preserve">Resolución del Tribunal de Cuentas de 11/05/2005, por no haber comunicado la concesión contractual de </w:t>
      </w:r>
      <w:r>
        <w:rPr>
          <w:rFonts w:ascii="Arial" w:hAnsi="Arial" w:cs="Arial"/>
          <w:szCs w:val="24"/>
        </w:rPr>
        <w:t>s</w:t>
      </w:r>
      <w:r w:rsidRPr="00D81909">
        <w:rPr>
          <w:rFonts w:ascii="Arial" w:hAnsi="Arial" w:cs="Arial"/>
          <w:szCs w:val="24"/>
        </w:rPr>
        <w:t xml:space="preserve">ervicios de </w:t>
      </w:r>
      <w:r>
        <w:rPr>
          <w:rFonts w:ascii="Arial" w:hAnsi="Arial" w:cs="Arial"/>
          <w:szCs w:val="24"/>
        </w:rPr>
        <w:t>r</w:t>
      </w:r>
      <w:r w:rsidRPr="00D81909">
        <w:rPr>
          <w:rFonts w:ascii="Arial" w:hAnsi="Arial" w:cs="Arial"/>
          <w:szCs w:val="24"/>
        </w:rPr>
        <w:t xml:space="preserve">estaurante y </w:t>
      </w:r>
      <w:r>
        <w:rPr>
          <w:rFonts w:ascii="Arial" w:hAnsi="Arial" w:cs="Arial"/>
          <w:szCs w:val="24"/>
        </w:rPr>
        <w:t>c</w:t>
      </w:r>
      <w:r w:rsidRPr="00D81909">
        <w:rPr>
          <w:rFonts w:ascii="Arial" w:hAnsi="Arial" w:cs="Arial"/>
          <w:szCs w:val="24"/>
        </w:rPr>
        <w:t xml:space="preserve">afetería para la sede de casa central del BHU, </w:t>
      </w:r>
      <w:r>
        <w:rPr>
          <w:rFonts w:ascii="Arial" w:hAnsi="Arial" w:cs="Arial"/>
          <w:szCs w:val="24"/>
        </w:rPr>
        <w:t>ni</w:t>
      </w:r>
      <w:r w:rsidRPr="00D81909">
        <w:rPr>
          <w:rFonts w:ascii="Arial" w:hAnsi="Arial" w:cs="Arial"/>
          <w:szCs w:val="24"/>
        </w:rPr>
        <w:t xml:space="preserve"> los informes semestrales de la Oficina que tiene a cargo la verificación del cumplimiento </w:t>
      </w:r>
      <w:r w:rsidRPr="006D3D19">
        <w:rPr>
          <w:rFonts w:ascii="Arial" w:hAnsi="Arial" w:cs="Arial"/>
          <w:szCs w:val="24"/>
        </w:rPr>
        <w:t>del contrato.</w:t>
      </w:r>
    </w:p>
    <w:p w:rsidR="002A0766" w:rsidRPr="008C2A8C" w:rsidRDefault="002A0766" w:rsidP="002A0766">
      <w:pPr>
        <w:pStyle w:val="Textoindependiente"/>
        <w:widowControl/>
        <w:numPr>
          <w:ilvl w:val="0"/>
          <w:numId w:val="1"/>
        </w:numPr>
        <w:spacing w:line="360" w:lineRule="auto"/>
        <w:rPr>
          <w:rFonts w:ascii="Arial" w:hAnsi="Arial" w:cs="Arial"/>
          <w:bCs/>
        </w:rPr>
      </w:pPr>
      <w:r w:rsidRPr="006D3D19">
        <w:rPr>
          <w:rFonts w:ascii="Arial" w:hAnsi="Arial" w:cs="Arial"/>
          <w:szCs w:val="24"/>
        </w:rPr>
        <w:t>Resolución del Tribunal de Cuentas  de fecha 01/10/1997 por no haber abonado</w:t>
      </w:r>
      <w:r w:rsidRPr="005C0F26">
        <w:rPr>
          <w:rFonts w:ascii="Arial" w:hAnsi="Arial" w:cs="Arial"/>
          <w:szCs w:val="24"/>
        </w:rPr>
        <w:t xml:space="preserve"> en plazo la tasa del Tribunal de Cuentas </w:t>
      </w:r>
      <w:r w:rsidRPr="006D3D19">
        <w:rPr>
          <w:rFonts w:ascii="Arial" w:hAnsi="Arial" w:cs="Arial"/>
          <w:szCs w:val="24"/>
        </w:rPr>
        <w:t>establecida por el artículo 1 de la Ley Nº 16.853, el artículo 468 de la Ley Nº 17.296, el artículo 413 de la Ley Nº 17.930 y la Resolución del Tribunal de Cuentas de fecha 16/02/1998.</w:t>
      </w:r>
    </w:p>
    <w:p w:rsidR="002A0766" w:rsidRDefault="002A0766" w:rsidP="008C2A8C">
      <w:pPr>
        <w:pStyle w:val="Textoindependiente"/>
        <w:widowControl/>
        <w:spacing w:line="360" w:lineRule="auto"/>
        <w:ind w:left="720"/>
        <w:jc w:val="right"/>
        <w:rPr>
          <w:rFonts w:ascii="Arial" w:hAnsi="Arial" w:cs="Arial"/>
          <w:bCs/>
        </w:rPr>
      </w:pPr>
      <w:r w:rsidRPr="00EE6F06">
        <w:rPr>
          <w:rFonts w:ascii="Arial" w:hAnsi="Arial" w:cs="Arial"/>
          <w:bCs/>
        </w:rPr>
        <w:t xml:space="preserve">Montevideo, </w:t>
      </w:r>
      <w:r>
        <w:rPr>
          <w:rFonts w:ascii="Arial" w:hAnsi="Arial" w:cs="Arial"/>
          <w:bCs/>
        </w:rPr>
        <w:t xml:space="preserve">13 </w:t>
      </w:r>
      <w:r w:rsidRPr="00EE6F06">
        <w:rPr>
          <w:rFonts w:ascii="Arial" w:hAnsi="Arial" w:cs="Arial"/>
          <w:bCs/>
        </w:rPr>
        <w:t xml:space="preserve">de </w:t>
      </w:r>
      <w:r>
        <w:rPr>
          <w:rFonts w:ascii="Arial" w:hAnsi="Arial" w:cs="Arial"/>
          <w:bCs/>
        </w:rPr>
        <w:t>diciembre</w:t>
      </w:r>
      <w:r w:rsidRPr="00EE6F06">
        <w:rPr>
          <w:rFonts w:ascii="Arial" w:hAnsi="Arial" w:cs="Arial"/>
          <w:bCs/>
        </w:rPr>
        <w:t xml:space="preserve"> de 201</w:t>
      </w:r>
      <w:r>
        <w:rPr>
          <w:rFonts w:ascii="Arial" w:hAnsi="Arial" w:cs="Arial"/>
          <w:bCs/>
        </w:rPr>
        <w:t>7</w:t>
      </w: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593E64" w:rsidRDefault="00593E64" w:rsidP="003E54FD">
      <w:pPr>
        <w:widowControl w:val="0"/>
        <w:suppressAutoHyphens/>
        <w:spacing w:after="0" w:line="360" w:lineRule="auto"/>
        <w:ind w:hanging="567"/>
        <w:jc w:val="both"/>
      </w:pPr>
    </w:p>
    <w:p w:rsidR="002A0766" w:rsidRPr="004B744B" w:rsidRDefault="002A0766" w:rsidP="004B744B">
      <w:pPr>
        <w:widowControl w:val="0"/>
        <w:spacing w:after="0" w:line="360" w:lineRule="auto"/>
        <w:jc w:val="center"/>
        <w:outlineLvl w:val="6"/>
        <w:rPr>
          <w:rFonts w:ascii="Arial" w:eastAsia="Times New Roman" w:hAnsi="Arial" w:cs="Arial"/>
          <w:b/>
          <w:spacing w:val="-3"/>
          <w:sz w:val="24"/>
          <w:szCs w:val="24"/>
          <w:lang w:val="es-ES_tradnl" w:eastAsia="es-ES"/>
        </w:rPr>
      </w:pPr>
      <w:r w:rsidRPr="004B744B">
        <w:rPr>
          <w:rFonts w:ascii="Arial" w:eastAsia="Times New Roman" w:hAnsi="Arial" w:cs="Arial"/>
          <w:b/>
          <w:spacing w:val="-3"/>
          <w:sz w:val="24"/>
          <w:szCs w:val="24"/>
          <w:lang w:val="es-ES_tradnl" w:eastAsia="es-ES"/>
        </w:rPr>
        <w:t>INFORME A LA ADMINISTRACION</w:t>
      </w:r>
    </w:p>
    <w:p w:rsidR="002A0766" w:rsidRPr="004B744B" w:rsidRDefault="002A0766" w:rsidP="004B744B">
      <w:pPr>
        <w:spacing w:after="0" w:line="240" w:lineRule="auto"/>
        <w:rPr>
          <w:rFonts w:ascii="Times New Roman" w:eastAsia="Times New Roman" w:hAnsi="Times New Roman" w:cs="Times New Roman"/>
          <w:sz w:val="24"/>
          <w:szCs w:val="24"/>
          <w:lang w:val="es-ES_tradnl" w:eastAsia="es-ES"/>
        </w:rPr>
      </w:pPr>
    </w:p>
    <w:p w:rsidR="002A0766" w:rsidRPr="004B744B" w:rsidRDefault="002A0766" w:rsidP="004B744B">
      <w:pPr>
        <w:widowControl w:val="0"/>
        <w:spacing w:after="0" w:line="360" w:lineRule="auto"/>
        <w:jc w:val="both"/>
        <w:rPr>
          <w:rFonts w:ascii="Arial" w:eastAsia="Times New Roman" w:hAnsi="Arial" w:cs="Arial"/>
          <w:spacing w:val="-3"/>
          <w:sz w:val="24"/>
          <w:szCs w:val="24"/>
          <w:lang w:val="es-ES_tradnl" w:eastAsia="es-ES"/>
        </w:rPr>
      </w:pPr>
      <w:r w:rsidRPr="004B744B">
        <w:rPr>
          <w:rFonts w:ascii="Arial" w:eastAsia="Times New Roman" w:hAnsi="Arial" w:cs="Arial"/>
          <w:spacing w:val="-3"/>
          <w:sz w:val="24"/>
          <w:szCs w:val="24"/>
          <w:lang w:val="es-ES_tradnl" w:eastAsia="es-ES"/>
        </w:rPr>
        <w:t xml:space="preserve">El Tribunal de Cuentas ha examinado el Estado de Ejecución Presupuestal del Banco Hipotecario del Uruguay (BHU) correspondiente al </w:t>
      </w:r>
      <w:r>
        <w:rPr>
          <w:rFonts w:ascii="Arial" w:eastAsia="Times New Roman" w:hAnsi="Arial" w:cs="Arial"/>
          <w:spacing w:val="-3"/>
          <w:sz w:val="24"/>
          <w:szCs w:val="24"/>
          <w:lang w:val="es-ES_tradnl" w:eastAsia="es-ES"/>
        </w:rPr>
        <w:t>E</w:t>
      </w:r>
      <w:r w:rsidRPr="004B744B">
        <w:rPr>
          <w:rFonts w:ascii="Arial" w:eastAsia="Times New Roman" w:hAnsi="Arial" w:cs="Arial"/>
          <w:spacing w:val="-3"/>
          <w:sz w:val="24"/>
          <w:szCs w:val="24"/>
          <w:lang w:val="es-ES_tradnl" w:eastAsia="es-ES"/>
        </w:rPr>
        <w:t>jercicio 2016 y ha emitido su Dictamen.</w:t>
      </w:r>
    </w:p>
    <w:p w:rsidR="002A0766" w:rsidRPr="004B744B" w:rsidRDefault="002A0766" w:rsidP="004B744B">
      <w:pPr>
        <w:spacing w:after="0" w:line="360" w:lineRule="auto"/>
        <w:jc w:val="both"/>
        <w:rPr>
          <w:rFonts w:ascii="Arial" w:eastAsia="Times New Roman" w:hAnsi="Arial" w:cs="Arial"/>
          <w:sz w:val="24"/>
          <w:szCs w:val="24"/>
          <w:lang w:val="es-ES" w:eastAsia="es-ES"/>
        </w:rPr>
      </w:pPr>
      <w:r w:rsidRPr="004B744B">
        <w:rPr>
          <w:rFonts w:ascii="Arial" w:eastAsia="Times New Roman" w:hAnsi="Arial" w:cs="Arial"/>
          <w:sz w:val="24"/>
          <w:szCs w:val="24"/>
          <w:lang w:val="es-ES" w:eastAsia="es-ES"/>
        </w:rPr>
        <w:t>Este Informe incluye comentarios que se ha entendido conveniente exponer, relacionados con la aprobación y presentación del Estado de Ejecución Presupuestal y la evaluación del sistema de control interno.</w:t>
      </w:r>
    </w:p>
    <w:p w:rsidR="002A0766" w:rsidRPr="004B744B" w:rsidRDefault="002A0766" w:rsidP="004B744B">
      <w:pPr>
        <w:spacing w:after="0" w:line="360" w:lineRule="auto"/>
        <w:jc w:val="both"/>
        <w:rPr>
          <w:rFonts w:ascii="Arial" w:eastAsia="Times New Roman" w:hAnsi="Arial" w:cs="Arial"/>
          <w:sz w:val="24"/>
          <w:szCs w:val="24"/>
          <w:lang w:val="es-ES" w:eastAsia="es-ES"/>
        </w:rPr>
      </w:pPr>
      <w:r w:rsidRPr="004B744B">
        <w:rPr>
          <w:rFonts w:ascii="Arial" w:eastAsia="Times New Roman" w:hAnsi="Arial" w:cs="Arial"/>
          <w:sz w:val="24"/>
          <w:szCs w:val="24"/>
          <w:lang w:val="es-ES" w:eastAsia="es-ES"/>
        </w:rPr>
        <w:t xml:space="preserve">También se agregan las principales recomendaciones que deberán atender el Organismo y una evaluación del cumplimiento de las recomendaciones señaladas en el Informe de Auditoría correspondiente al </w:t>
      </w:r>
      <w:r>
        <w:rPr>
          <w:rFonts w:ascii="Arial" w:eastAsia="Times New Roman" w:hAnsi="Arial" w:cs="Arial"/>
          <w:sz w:val="24"/>
          <w:szCs w:val="24"/>
          <w:lang w:val="es-ES" w:eastAsia="es-ES"/>
        </w:rPr>
        <w:t>E</w:t>
      </w:r>
      <w:r w:rsidRPr="004B744B">
        <w:rPr>
          <w:rFonts w:ascii="Arial" w:eastAsia="Times New Roman" w:hAnsi="Arial" w:cs="Arial"/>
          <w:sz w:val="24"/>
          <w:szCs w:val="24"/>
          <w:lang w:val="es-ES" w:eastAsia="es-ES"/>
        </w:rPr>
        <w:t>jercicio anterior.</w:t>
      </w:r>
    </w:p>
    <w:p w:rsidR="002A0766" w:rsidRPr="004B744B" w:rsidRDefault="002A0766" w:rsidP="004B744B">
      <w:pPr>
        <w:widowControl w:val="0"/>
        <w:spacing w:after="0" w:line="360" w:lineRule="auto"/>
        <w:jc w:val="both"/>
        <w:rPr>
          <w:rFonts w:ascii="Arial" w:eastAsia="Times New Roman" w:hAnsi="Arial" w:cs="Arial"/>
          <w:spacing w:val="-3"/>
          <w:sz w:val="24"/>
          <w:szCs w:val="24"/>
          <w:lang w:val="es-ES_tradnl" w:eastAsia="es-ES"/>
        </w:rPr>
      </w:pPr>
    </w:p>
    <w:p w:rsidR="002A0766" w:rsidRPr="004B744B" w:rsidRDefault="002A0766" w:rsidP="002A0766">
      <w:pPr>
        <w:widowControl w:val="0"/>
        <w:numPr>
          <w:ilvl w:val="0"/>
          <w:numId w:val="2"/>
        </w:numPr>
        <w:spacing w:after="0" w:line="360" w:lineRule="auto"/>
        <w:jc w:val="both"/>
        <w:rPr>
          <w:rFonts w:ascii="Arial" w:eastAsia="Times New Roman" w:hAnsi="Arial" w:cs="Arial"/>
          <w:b/>
          <w:spacing w:val="-3"/>
          <w:sz w:val="24"/>
          <w:szCs w:val="24"/>
          <w:lang w:val="es-ES_tradnl" w:eastAsia="es-ES"/>
        </w:rPr>
      </w:pPr>
      <w:r w:rsidRPr="004B744B">
        <w:rPr>
          <w:rFonts w:ascii="Arial" w:eastAsia="Times New Roman" w:hAnsi="Arial" w:cs="Arial"/>
          <w:b/>
          <w:spacing w:val="-3"/>
          <w:sz w:val="24"/>
          <w:szCs w:val="24"/>
          <w:lang w:val="es-ES_tradnl" w:eastAsia="es-ES"/>
        </w:rPr>
        <w:t>Aprobación y presentación del Estado de Ejecución Presupuestal</w:t>
      </w:r>
    </w:p>
    <w:p w:rsidR="002A0766" w:rsidRPr="004B744B" w:rsidRDefault="002A0766" w:rsidP="004B744B">
      <w:pPr>
        <w:spacing w:after="0" w:line="360" w:lineRule="auto"/>
        <w:jc w:val="both"/>
        <w:rPr>
          <w:rFonts w:ascii="Arial" w:eastAsia="Times New Roman" w:hAnsi="Arial" w:cs="Arial"/>
          <w:sz w:val="24"/>
          <w:szCs w:val="24"/>
          <w:lang w:val="es-ES" w:eastAsia="es-ES"/>
        </w:rPr>
      </w:pPr>
      <w:r w:rsidRPr="004B744B">
        <w:rPr>
          <w:rFonts w:ascii="Arial" w:eastAsia="Times New Roman" w:hAnsi="Arial" w:cs="Arial"/>
          <w:sz w:val="24"/>
          <w:szCs w:val="24"/>
          <w:lang w:val="es-ES" w:eastAsia="es-ES"/>
        </w:rPr>
        <w:t xml:space="preserve">El mencionado Estado de Ejecución fue aprobado por Resolución de Directorio Nº 0165/2017 de fecha 25/05/2017 y remitido a este Tribunal el 30/05/2017, dando cumplimiento al plazo establecido en </w:t>
      </w:r>
      <w:r>
        <w:rPr>
          <w:rFonts w:ascii="Arial" w:eastAsia="Times New Roman" w:hAnsi="Arial" w:cs="Arial"/>
          <w:sz w:val="24"/>
          <w:szCs w:val="24"/>
          <w:lang w:val="es-ES" w:eastAsia="es-ES"/>
        </w:rPr>
        <w:t>el Numeral 1 de la Ordenanza Nº</w:t>
      </w:r>
      <w:r w:rsidRPr="004B744B">
        <w:rPr>
          <w:rFonts w:ascii="Arial" w:eastAsia="Times New Roman" w:hAnsi="Arial" w:cs="Arial"/>
          <w:sz w:val="24"/>
          <w:szCs w:val="24"/>
          <w:lang w:val="es-ES" w:eastAsia="es-ES"/>
        </w:rPr>
        <w:t>75 de 16/09/1998.</w:t>
      </w:r>
    </w:p>
    <w:p w:rsidR="002A0766" w:rsidRPr="004B744B" w:rsidRDefault="002A0766" w:rsidP="004B744B">
      <w:pPr>
        <w:widowControl w:val="0"/>
        <w:spacing w:after="0" w:line="360" w:lineRule="auto"/>
        <w:jc w:val="both"/>
        <w:rPr>
          <w:rFonts w:ascii="Arial" w:eastAsia="Times New Roman" w:hAnsi="Arial" w:cs="Arial"/>
          <w:spacing w:val="-3"/>
          <w:sz w:val="24"/>
          <w:szCs w:val="24"/>
          <w:lang w:eastAsia="es-ES"/>
        </w:rPr>
      </w:pPr>
      <w:r w:rsidRPr="004B744B">
        <w:rPr>
          <w:rFonts w:ascii="Arial" w:eastAsia="Times New Roman" w:hAnsi="Arial" w:cs="Arial"/>
          <w:spacing w:val="-3"/>
          <w:sz w:val="24"/>
          <w:szCs w:val="24"/>
          <w:lang w:val="es-ES_tradnl" w:eastAsia="es-ES"/>
        </w:rPr>
        <w:t>Los créditos definitivos expuestos en el referido estado comprenden las asignaciones del Presupuesto 2016 aprobado por Decreto Nº 108/2016 de 18/04/2016  y las correspondientes trasposiciones y adecuaciones de partidas de carácter no limitativo realizadas durante el ejercicio 2016, las que fueron aprobadas previamente por la Oficina de Planeamiento y Presupuesto (OPP) y comunicadas al Tribunal de Cuentas. Las asignaciones iniciales  se encuentran expresadas a precios de cierre enero-diciembre 2016.</w:t>
      </w:r>
    </w:p>
    <w:p w:rsidR="002A0766" w:rsidRPr="004B744B" w:rsidRDefault="002A0766" w:rsidP="004B744B">
      <w:pPr>
        <w:spacing w:after="0" w:line="360" w:lineRule="auto"/>
        <w:jc w:val="both"/>
        <w:rPr>
          <w:rFonts w:ascii="Arial" w:eastAsia="Times New Roman" w:hAnsi="Arial" w:cs="Arial"/>
          <w:sz w:val="24"/>
          <w:szCs w:val="24"/>
          <w:lang w:val="es-ES" w:eastAsia="es-ES"/>
        </w:rPr>
      </w:pPr>
      <w:r w:rsidRPr="004B744B">
        <w:rPr>
          <w:rFonts w:ascii="Arial" w:eastAsia="Times New Roman" w:hAnsi="Arial" w:cs="Arial"/>
          <w:sz w:val="24"/>
          <w:szCs w:val="24"/>
          <w:lang w:val="es-ES" w:eastAsia="es-ES"/>
        </w:rPr>
        <w:t>De acuerdo con lo establecido en el Artículo 20 del TOCAF el BHU consideró ejecutados los créditos presupuestales cuando se devengaron los gastos para los cuales se habían destinado. Con relación a los recursos, el Organismo procedió a contabilizar los ingresos aplicando el criterio de lo percibido, de acuerdo con lo dispuesto por el Artículo 95 del TOCAF.</w:t>
      </w:r>
    </w:p>
    <w:p w:rsidR="002A0766" w:rsidRPr="004B744B" w:rsidRDefault="002A0766" w:rsidP="002A0766">
      <w:pPr>
        <w:widowControl w:val="0"/>
        <w:numPr>
          <w:ilvl w:val="0"/>
          <w:numId w:val="2"/>
        </w:numPr>
        <w:spacing w:after="0" w:line="360" w:lineRule="auto"/>
        <w:jc w:val="both"/>
        <w:rPr>
          <w:rFonts w:ascii="Arial" w:eastAsia="Times New Roman" w:hAnsi="Arial" w:cs="Arial"/>
          <w:b/>
          <w:spacing w:val="-3"/>
          <w:sz w:val="24"/>
          <w:szCs w:val="24"/>
          <w:lang w:val="es-ES_tradnl" w:eastAsia="es-ES"/>
        </w:rPr>
      </w:pPr>
      <w:r w:rsidRPr="004B744B">
        <w:rPr>
          <w:rFonts w:ascii="Arial" w:eastAsia="Times New Roman" w:hAnsi="Arial" w:cs="Arial"/>
          <w:b/>
          <w:spacing w:val="-3"/>
          <w:sz w:val="24"/>
          <w:szCs w:val="24"/>
          <w:lang w:val="es-ES_tradnl" w:eastAsia="es-ES"/>
        </w:rPr>
        <w:t>Evaluación del sistema de control interno</w:t>
      </w:r>
    </w:p>
    <w:p w:rsidR="002A0766" w:rsidRPr="004B744B" w:rsidRDefault="002A0766" w:rsidP="004B744B">
      <w:pPr>
        <w:spacing w:after="0" w:line="360" w:lineRule="auto"/>
        <w:jc w:val="both"/>
        <w:rPr>
          <w:rFonts w:ascii="Arial" w:eastAsia="Times New Roman" w:hAnsi="Arial" w:cs="Arial"/>
          <w:sz w:val="24"/>
          <w:szCs w:val="24"/>
          <w:lang w:val="es-ES" w:eastAsia="es-ES"/>
        </w:rPr>
      </w:pPr>
      <w:r w:rsidRPr="004B744B">
        <w:rPr>
          <w:rFonts w:ascii="Arial" w:eastAsia="Times New Roman" w:hAnsi="Arial" w:cs="Arial"/>
          <w:sz w:val="24"/>
          <w:szCs w:val="24"/>
          <w:lang w:val="es-ES" w:eastAsia="es-ES"/>
        </w:rPr>
        <w:t>El examen de los aspectos de control interno relevantes para la preparación y presentación razonable del Estado de Ejecución Presupu</w:t>
      </w:r>
      <w:r w:rsidR="00DC66B8">
        <w:rPr>
          <w:rFonts w:ascii="Arial" w:eastAsia="Times New Roman" w:hAnsi="Arial" w:cs="Arial"/>
          <w:sz w:val="24"/>
          <w:szCs w:val="24"/>
          <w:lang w:val="es-ES" w:eastAsia="es-ES"/>
        </w:rPr>
        <w:t>estal permitió constatar:</w:t>
      </w:r>
    </w:p>
    <w:p w:rsidR="002A0766" w:rsidRPr="004B744B" w:rsidRDefault="002A0766" w:rsidP="002A0766">
      <w:pPr>
        <w:numPr>
          <w:ilvl w:val="0"/>
          <w:numId w:val="3"/>
        </w:numPr>
        <w:spacing w:after="0" w:line="360" w:lineRule="auto"/>
        <w:jc w:val="both"/>
        <w:rPr>
          <w:rFonts w:ascii="Arial" w:eastAsia="Times New Roman" w:hAnsi="Arial" w:cs="Arial"/>
          <w:sz w:val="24"/>
          <w:szCs w:val="24"/>
          <w:lang w:val="es-ES" w:eastAsia="es-ES"/>
        </w:rPr>
      </w:pPr>
      <w:r w:rsidRPr="004B744B">
        <w:rPr>
          <w:rFonts w:ascii="Arial" w:eastAsia="Times New Roman" w:hAnsi="Arial" w:cs="Arial"/>
          <w:sz w:val="24"/>
          <w:szCs w:val="24"/>
          <w:lang w:val="es-ES" w:eastAsia="es-ES"/>
        </w:rPr>
        <w:t>el sistema de contabilidad presupuestal no procesa la totalidad de las operaciones, sino que es necesario complementar el mismo con el sist</w:t>
      </w:r>
      <w:r w:rsidR="00DC66B8">
        <w:rPr>
          <w:rFonts w:ascii="Arial" w:eastAsia="Times New Roman" w:hAnsi="Arial" w:cs="Arial"/>
          <w:sz w:val="24"/>
          <w:szCs w:val="24"/>
          <w:lang w:val="es-ES" w:eastAsia="es-ES"/>
        </w:rPr>
        <w:t>ema de contabilidad patrimonial.</w:t>
      </w:r>
    </w:p>
    <w:p w:rsidR="002A0766" w:rsidRPr="004B744B" w:rsidRDefault="002A0766" w:rsidP="002A0766">
      <w:pPr>
        <w:numPr>
          <w:ilvl w:val="0"/>
          <w:numId w:val="3"/>
        </w:numPr>
        <w:spacing w:after="0" w:line="360" w:lineRule="auto"/>
        <w:jc w:val="both"/>
        <w:rPr>
          <w:rFonts w:ascii="Arial" w:eastAsia="Times New Roman" w:hAnsi="Arial" w:cs="Arial"/>
          <w:sz w:val="24"/>
          <w:szCs w:val="24"/>
          <w:lang w:val="es-ES" w:eastAsia="es-ES"/>
        </w:rPr>
      </w:pPr>
      <w:r w:rsidRPr="004B744B">
        <w:rPr>
          <w:rFonts w:ascii="Arial" w:eastAsia="Times New Roman" w:hAnsi="Arial" w:cs="Arial"/>
          <w:sz w:val="24"/>
          <w:szCs w:val="24"/>
          <w:lang w:val="es-ES" w:eastAsia="es-ES"/>
        </w:rPr>
        <w:t xml:space="preserve"> el Organismo posee un inventario de Bienes de Uso que no se encuentra valuado ni actualizado.</w:t>
      </w:r>
    </w:p>
    <w:p w:rsidR="002A0766" w:rsidRPr="004B744B" w:rsidRDefault="002A0766" w:rsidP="004B744B">
      <w:pPr>
        <w:spacing w:after="0" w:line="360" w:lineRule="auto"/>
        <w:jc w:val="both"/>
        <w:rPr>
          <w:rFonts w:ascii="Arial" w:eastAsia="Times New Roman" w:hAnsi="Arial" w:cs="Arial"/>
          <w:sz w:val="16"/>
          <w:szCs w:val="16"/>
          <w:highlight w:val="yellow"/>
          <w:lang w:val="es-ES" w:eastAsia="es-ES"/>
        </w:rPr>
      </w:pPr>
    </w:p>
    <w:p w:rsidR="002A0766" w:rsidRPr="004B744B" w:rsidRDefault="002A0766" w:rsidP="004B744B">
      <w:pPr>
        <w:widowControl w:val="0"/>
        <w:spacing w:after="0" w:line="360" w:lineRule="auto"/>
        <w:jc w:val="both"/>
        <w:rPr>
          <w:rFonts w:ascii="Arial" w:eastAsia="Times New Roman" w:hAnsi="Arial" w:cs="Arial"/>
          <w:b/>
          <w:spacing w:val="-3"/>
          <w:sz w:val="24"/>
          <w:szCs w:val="24"/>
          <w:lang w:val="es-ES" w:eastAsia="es-ES"/>
        </w:rPr>
      </w:pPr>
      <w:r w:rsidRPr="004B744B">
        <w:rPr>
          <w:rFonts w:ascii="Arial" w:eastAsia="Times New Roman" w:hAnsi="Arial" w:cs="Arial"/>
          <w:b/>
          <w:spacing w:val="-3"/>
          <w:sz w:val="24"/>
          <w:szCs w:val="24"/>
          <w:lang w:val="es-ES" w:eastAsia="es-ES"/>
        </w:rPr>
        <w:t>3.  Recomendaciones</w:t>
      </w:r>
    </w:p>
    <w:p w:rsidR="002A0766" w:rsidRPr="004B744B" w:rsidRDefault="002A0766" w:rsidP="004B744B">
      <w:pPr>
        <w:widowControl w:val="0"/>
        <w:spacing w:after="0" w:line="360" w:lineRule="auto"/>
        <w:jc w:val="both"/>
        <w:rPr>
          <w:rFonts w:ascii="Arial" w:eastAsia="Times New Roman" w:hAnsi="Arial" w:cs="Arial"/>
          <w:b/>
          <w:spacing w:val="-3"/>
          <w:sz w:val="24"/>
          <w:szCs w:val="24"/>
          <w:lang w:val="es-ES" w:eastAsia="es-ES"/>
        </w:rPr>
      </w:pPr>
      <w:r w:rsidRPr="004B744B">
        <w:rPr>
          <w:rFonts w:ascii="Arial" w:eastAsia="Times New Roman" w:hAnsi="Arial" w:cs="Arial"/>
          <w:b/>
          <w:spacing w:val="-3"/>
          <w:sz w:val="24"/>
          <w:szCs w:val="24"/>
          <w:lang w:val="es-ES" w:eastAsia="es-ES"/>
        </w:rPr>
        <w:t>3.1 Reco</w:t>
      </w:r>
      <w:r>
        <w:rPr>
          <w:rFonts w:ascii="Arial" w:eastAsia="Times New Roman" w:hAnsi="Arial" w:cs="Arial"/>
          <w:b/>
          <w:spacing w:val="-3"/>
          <w:sz w:val="24"/>
          <w:szCs w:val="24"/>
          <w:lang w:val="es-ES" w:eastAsia="es-ES"/>
        </w:rPr>
        <w:t>mendaciones de E</w:t>
      </w:r>
      <w:r w:rsidRPr="004B744B">
        <w:rPr>
          <w:rFonts w:ascii="Arial" w:eastAsia="Times New Roman" w:hAnsi="Arial" w:cs="Arial"/>
          <w:b/>
          <w:spacing w:val="-3"/>
          <w:sz w:val="24"/>
          <w:szCs w:val="24"/>
          <w:lang w:val="es-ES" w:eastAsia="es-ES"/>
        </w:rPr>
        <w:t>je</w:t>
      </w:r>
      <w:r w:rsidR="00DC66B8">
        <w:rPr>
          <w:rFonts w:ascii="Arial" w:eastAsia="Times New Roman" w:hAnsi="Arial" w:cs="Arial"/>
          <w:b/>
          <w:spacing w:val="-3"/>
          <w:sz w:val="24"/>
          <w:szCs w:val="24"/>
          <w:lang w:val="es-ES" w:eastAsia="es-ES"/>
        </w:rPr>
        <w:t>rcicios anteriores no cumplidas</w:t>
      </w:r>
    </w:p>
    <w:p w:rsidR="002A0766" w:rsidRPr="004B744B" w:rsidRDefault="002A0766" w:rsidP="004B744B">
      <w:pPr>
        <w:widowControl w:val="0"/>
        <w:spacing w:after="0" w:line="360" w:lineRule="auto"/>
        <w:jc w:val="both"/>
        <w:rPr>
          <w:rFonts w:ascii="Arial" w:eastAsia="Times New Roman" w:hAnsi="Arial" w:cs="Arial"/>
          <w:spacing w:val="-3"/>
          <w:sz w:val="24"/>
          <w:szCs w:val="24"/>
          <w:lang w:val="es-ES" w:eastAsia="es-ES"/>
        </w:rPr>
      </w:pPr>
      <w:r w:rsidRPr="004B744B">
        <w:rPr>
          <w:rFonts w:ascii="Arial" w:eastAsia="Times New Roman" w:hAnsi="Arial" w:cs="Arial"/>
          <w:b/>
          <w:spacing w:val="-3"/>
          <w:sz w:val="24"/>
          <w:szCs w:val="24"/>
          <w:lang w:val="es-ES" w:eastAsia="es-ES"/>
        </w:rPr>
        <w:t xml:space="preserve">3.1.1 </w:t>
      </w:r>
      <w:r>
        <w:rPr>
          <w:rFonts w:ascii="Arial" w:eastAsia="Times New Roman" w:hAnsi="Arial" w:cs="Arial"/>
          <w:spacing w:val="-3"/>
          <w:sz w:val="24"/>
          <w:szCs w:val="24"/>
          <w:lang w:val="es-ES" w:eastAsia="es-ES"/>
        </w:rPr>
        <w:t>No se dio cumplimiento con</w:t>
      </w:r>
      <w:r w:rsidRPr="004B744B">
        <w:rPr>
          <w:rFonts w:ascii="Arial" w:eastAsia="Times New Roman" w:hAnsi="Arial" w:cs="Arial"/>
          <w:spacing w:val="-3"/>
          <w:sz w:val="24"/>
          <w:szCs w:val="24"/>
          <w:lang w:val="es-ES" w:eastAsia="es-ES"/>
        </w:rPr>
        <w:t xml:space="preserve"> lo dispuesto por los Artículos 211 Literal B) de la Constitución de la República y </w:t>
      </w:r>
      <w:r w:rsidRPr="004B744B">
        <w:rPr>
          <w:rFonts w:ascii="Arial" w:eastAsia="Times New Roman" w:hAnsi="Arial" w:cs="Arial"/>
          <w:bCs/>
          <w:sz w:val="24"/>
          <w:szCs w:val="24"/>
          <w:lang w:val="es-ES" w:eastAsia="es-ES"/>
        </w:rPr>
        <w:t>3 de Ley Nº 19.149 de fecha 24/10/2013</w:t>
      </w:r>
      <w:r w:rsidRPr="004B744B">
        <w:rPr>
          <w:rFonts w:ascii="Arial" w:eastAsia="Times New Roman" w:hAnsi="Arial" w:cs="Arial"/>
          <w:spacing w:val="-3"/>
          <w:sz w:val="24"/>
          <w:szCs w:val="24"/>
          <w:lang w:val="es-ES" w:eastAsia="es-ES"/>
        </w:rPr>
        <w:t>, respecto a las formalidades previstas para los contratos de arrendamiento de obra con los supernumerarios.</w:t>
      </w:r>
    </w:p>
    <w:p w:rsidR="002A0766" w:rsidRPr="004B744B" w:rsidRDefault="002A0766" w:rsidP="004B744B">
      <w:pPr>
        <w:widowControl w:val="0"/>
        <w:spacing w:after="0" w:line="360" w:lineRule="auto"/>
        <w:jc w:val="both"/>
        <w:rPr>
          <w:rFonts w:ascii="Arial" w:eastAsia="Times New Roman" w:hAnsi="Arial" w:cs="Arial"/>
          <w:spacing w:val="-3"/>
          <w:sz w:val="24"/>
          <w:szCs w:val="24"/>
          <w:lang w:val="es-ES" w:eastAsia="es-ES"/>
        </w:rPr>
      </w:pPr>
      <w:r w:rsidRPr="004B744B">
        <w:rPr>
          <w:rFonts w:ascii="Arial" w:eastAsia="Times New Roman" w:hAnsi="Arial" w:cs="Arial"/>
          <w:b/>
          <w:spacing w:val="-3"/>
          <w:sz w:val="24"/>
          <w:szCs w:val="24"/>
          <w:lang w:val="es-ES" w:eastAsia="es-ES"/>
        </w:rPr>
        <w:t xml:space="preserve">3.1.2 </w:t>
      </w:r>
      <w:r w:rsidRPr="004B744B">
        <w:rPr>
          <w:rFonts w:ascii="Arial" w:eastAsia="Times New Roman" w:hAnsi="Arial" w:cs="Arial"/>
          <w:spacing w:val="-3"/>
          <w:sz w:val="24"/>
          <w:szCs w:val="24"/>
          <w:lang w:val="es-ES" w:eastAsia="es-ES"/>
        </w:rPr>
        <w:t>No se unificaron en un sistema contable todos los conceptos que integran el Estado de Ejecución Presupuestal.</w:t>
      </w:r>
    </w:p>
    <w:p w:rsidR="002A0766" w:rsidRPr="004B744B" w:rsidRDefault="002A0766" w:rsidP="004B744B">
      <w:pPr>
        <w:widowControl w:val="0"/>
        <w:spacing w:after="0" w:line="360" w:lineRule="auto"/>
        <w:jc w:val="both"/>
        <w:rPr>
          <w:rFonts w:ascii="Arial" w:eastAsia="Times New Roman" w:hAnsi="Arial" w:cs="Arial"/>
          <w:spacing w:val="-3"/>
          <w:sz w:val="24"/>
          <w:szCs w:val="24"/>
          <w:lang w:val="es-ES" w:eastAsia="es-ES"/>
        </w:rPr>
      </w:pPr>
      <w:r w:rsidRPr="004B744B">
        <w:rPr>
          <w:rFonts w:ascii="Arial" w:eastAsia="Times New Roman" w:hAnsi="Arial" w:cs="Arial"/>
          <w:b/>
          <w:spacing w:val="-3"/>
          <w:sz w:val="24"/>
          <w:szCs w:val="24"/>
          <w:lang w:val="es-ES" w:eastAsia="es-ES"/>
        </w:rPr>
        <w:t xml:space="preserve">3.1.3 </w:t>
      </w:r>
      <w:r w:rsidRPr="004B744B">
        <w:rPr>
          <w:rFonts w:ascii="Arial" w:eastAsia="Arial Unicode MS" w:hAnsi="Arial" w:cs="Arial"/>
          <w:bCs/>
          <w:sz w:val="24"/>
          <w:szCs w:val="24"/>
          <w:lang w:val="es-ES" w:eastAsia="es-ES"/>
        </w:rPr>
        <w:t xml:space="preserve">No se dio </w:t>
      </w:r>
      <w:r>
        <w:rPr>
          <w:rFonts w:ascii="Arial" w:eastAsia="Times New Roman" w:hAnsi="Arial" w:cs="Arial"/>
          <w:spacing w:val="-3"/>
          <w:sz w:val="24"/>
          <w:szCs w:val="24"/>
          <w:lang w:val="es-ES" w:eastAsia="es-ES"/>
        </w:rPr>
        <w:t>cumplimiento con el Artículo 5 L</w:t>
      </w:r>
      <w:r w:rsidRPr="004B744B">
        <w:rPr>
          <w:rFonts w:ascii="Arial" w:eastAsia="Times New Roman" w:hAnsi="Arial" w:cs="Arial"/>
          <w:spacing w:val="-3"/>
          <w:sz w:val="24"/>
          <w:szCs w:val="24"/>
          <w:lang w:val="es-ES" w:eastAsia="es-ES"/>
        </w:rPr>
        <w:t>iteral d) de la Ley Nº 18.381 de fecha 07/11/2008 al no publicar en la página web del Banco, información sobre presupuesto asignado, su ejecución, con los resultados de las auditorías que en cada caso corresponda.</w:t>
      </w:r>
    </w:p>
    <w:p w:rsidR="002A0766" w:rsidRPr="004B744B" w:rsidRDefault="002A0766" w:rsidP="004B744B">
      <w:pPr>
        <w:widowControl w:val="0"/>
        <w:spacing w:after="0" w:line="360" w:lineRule="auto"/>
        <w:jc w:val="both"/>
        <w:rPr>
          <w:rFonts w:ascii="Arial" w:eastAsia="Times New Roman" w:hAnsi="Arial" w:cs="Arial"/>
          <w:spacing w:val="-3"/>
          <w:sz w:val="24"/>
          <w:szCs w:val="24"/>
          <w:lang w:val="es-ES" w:eastAsia="es-ES"/>
        </w:rPr>
      </w:pPr>
      <w:r w:rsidRPr="004B744B">
        <w:rPr>
          <w:rFonts w:ascii="Arial" w:eastAsia="Times New Roman" w:hAnsi="Arial" w:cs="Arial"/>
          <w:b/>
          <w:spacing w:val="-3"/>
          <w:sz w:val="24"/>
          <w:szCs w:val="24"/>
          <w:lang w:val="es-ES" w:eastAsia="es-ES"/>
        </w:rPr>
        <w:t>3.1.4</w:t>
      </w:r>
      <w:r w:rsidRPr="004B744B">
        <w:rPr>
          <w:rFonts w:ascii="Times New Roman" w:eastAsia="Times New Roman" w:hAnsi="Times New Roman" w:cs="Times New Roman"/>
          <w:sz w:val="24"/>
          <w:szCs w:val="24"/>
          <w:lang w:val="es-ES" w:eastAsia="es-ES"/>
        </w:rPr>
        <w:t xml:space="preserve"> </w:t>
      </w:r>
      <w:r>
        <w:rPr>
          <w:rFonts w:ascii="Arial" w:eastAsia="Times New Roman" w:hAnsi="Arial" w:cs="Arial"/>
          <w:spacing w:val="-3"/>
          <w:sz w:val="24"/>
          <w:szCs w:val="24"/>
          <w:lang w:val="es-ES" w:eastAsia="es-ES"/>
        </w:rPr>
        <w:t>No se dio cumplimiento con el A</w:t>
      </w:r>
      <w:r w:rsidRPr="004B744B">
        <w:rPr>
          <w:rFonts w:ascii="Arial" w:eastAsia="Times New Roman" w:hAnsi="Arial" w:cs="Arial"/>
          <w:spacing w:val="-3"/>
          <w:sz w:val="24"/>
          <w:szCs w:val="24"/>
          <w:lang w:val="es-ES" w:eastAsia="es-ES"/>
        </w:rPr>
        <w:t>rtículo 15 del TOCAF por haber comprometido un gasto sin crédito disponible, el que fue observado por el Contador Delegado y reiterado oportunamente por el ordenador competente.</w:t>
      </w:r>
    </w:p>
    <w:p w:rsidR="002A0766" w:rsidRPr="004B744B" w:rsidRDefault="002A0766" w:rsidP="004B744B">
      <w:pPr>
        <w:widowControl w:val="0"/>
        <w:spacing w:after="0" w:line="360" w:lineRule="auto"/>
        <w:jc w:val="both"/>
        <w:rPr>
          <w:rFonts w:ascii="Arial" w:eastAsia="Times New Roman" w:hAnsi="Arial" w:cs="Arial"/>
          <w:spacing w:val="-3"/>
          <w:sz w:val="24"/>
          <w:szCs w:val="24"/>
          <w:lang w:val="es-ES" w:eastAsia="es-ES"/>
        </w:rPr>
      </w:pPr>
      <w:r w:rsidRPr="004B744B">
        <w:rPr>
          <w:rFonts w:ascii="Arial" w:eastAsia="Times New Roman" w:hAnsi="Arial" w:cs="Arial"/>
          <w:b/>
          <w:spacing w:val="-3"/>
          <w:sz w:val="24"/>
          <w:szCs w:val="24"/>
          <w:lang w:val="es-ES" w:eastAsia="es-ES"/>
        </w:rPr>
        <w:t>3.1.5</w:t>
      </w:r>
      <w:r w:rsidRPr="004B744B">
        <w:rPr>
          <w:rFonts w:ascii="Arial" w:eastAsia="Times New Roman" w:hAnsi="Arial" w:cs="Arial"/>
          <w:spacing w:val="-3"/>
          <w:sz w:val="24"/>
          <w:szCs w:val="24"/>
          <w:lang w:val="es-ES" w:eastAsia="es-ES"/>
        </w:rPr>
        <w:t xml:space="preserve"> No se implementaron los mecanismos necesario</w:t>
      </w:r>
      <w:r>
        <w:rPr>
          <w:rFonts w:ascii="Arial" w:eastAsia="Times New Roman" w:hAnsi="Arial" w:cs="Arial"/>
          <w:spacing w:val="-3"/>
          <w:sz w:val="24"/>
          <w:szCs w:val="24"/>
          <w:lang w:val="es-ES" w:eastAsia="es-ES"/>
        </w:rPr>
        <w:t>s</w:t>
      </w:r>
      <w:r w:rsidRPr="004B744B">
        <w:rPr>
          <w:rFonts w:ascii="Arial" w:eastAsia="Times New Roman" w:hAnsi="Arial" w:cs="Arial"/>
          <w:spacing w:val="-3"/>
          <w:sz w:val="24"/>
          <w:szCs w:val="24"/>
          <w:lang w:val="es-ES" w:eastAsia="es-ES"/>
        </w:rPr>
        <w:t xml:space="preserve"> para contar con un inventario valuado </w:t>
      </w:r>
      <w:r w:rsidR="00DC66B8">
        <w:rPr>
          <w:rFonts w:ascii="Arial" w:eastAsia="Times New Roman" w:hAnsi="Arial" w:cs="Arial"/>
          <w:spacing w:val="-3"/>
          <w:sz w:val="24"/>
          <w:szCs w:val="24"/>
          <w:lang w:val="es-ES" w:eastAsia="es-ES"/>
        </w:rPr>
        <w:t>y actualizado de bienes de uso.</w:t>
      </w:r>
    </w:p>
    <w:p w:rsidR="002A0766" w:rsidRDefault="002A0766" w:rsidP="004B744B">
      <w:pPr>
        <w:widowControl w:val="0"/>
        <w:spacing w:after="0" w:line="360" w:lineRule="auto"/>
        <w:jc w:val="both"/>
        <w:rPr>
          <w:rFonts w:ascii="Arial" w:eastAsia="Times New Roman" w:hAnsi="Arial" w:cs="Arial"/>
          <w:b/>
          <w:spacing w:val="-3"/>
          <w:sz w:val="24"/>
          <w:szCs w:val="24"/>
          <w:lang w:val="es-ES" w:eastAsia="es-ES"/>
        </w:rPr>
      </w:pPr>
    </w:p>
    <w:p w:rsidR="002A0766" w:rsidRDefault="002A0766" w:rsidP="004B744B">
      <w:pPr>
        <w:widowControl w:val="0"/>
        <w:spacing w:after="0" w:line="360" w:lineRule="auto"/>
        <w:jc w:val="both"/>
        <w:rPr>
          <w:rFonts w:ascii="Arial" w:eastAsia="Times New Roman" w:hAnsi="Arial" w:cs="Arial"/>
          <w:b/>
          <w:spacing w:val="-3"/>
          <w:sz w:val="24"/>
          <w:szCs w:val="24"/>
          <w:lang w:val="es-ES" w:eastAsia="es-ES"/>
        </w:rPr>
      </w:pPr>
    </w:p>
    <w:p w:rsidR="002A0766" w:rsidRPr="004B744B" w:rsidRDefault="002A0766" w:rsidP="004B744B">
      <w:pPr>
        <w:widowControl w:val="0"/>
        <w:spacing w:after="0" w:line="360" w:lineRule="auto"/>
        <w:jc w:val="both"/>
        <w:rPr>
          <w:rFonts w:ascii="Arial" w:eastAsia="Times New Roman" w:hAnsi="Arial" w:cs="Arial"/>
          <w:b/>
          <w:spacing w:val="-3"/>
          <w:sz w:val="24"/>
          <w:szCs w:val="24"/>
          <w:lang w:val="es-ES" w:eastAsia="es-ES"/>
        </w:rPr>
      </w:pPr>
      <w:r w:rsidRPr="004B744B">
        <w:rPr>
          <w:rFonts w:ascii="Arial" w:eastAsia="Times New Roman" w:hAnsi="Arial" w:cs="Arial"/>
          <w:b/>
          <w:spacing w:val="-3"/>
          <w:sz w:val="24"/>
          <w:szCs w:val="24"/>
          <w:lang w:val="es-ES" w:eastAsia="es-ES"/>
        </w:rPr>
        <w:t>3.2</w:t>
      </w:r>
      <w:r>
        <w:rPr>
          <w:rFonts w:ascii="Arial" w:eastAsia="Times New Roman" w:hAnsi="Arial" w:cs="Arial"/>
          <w:b/>
          <w:spacing w:val="-3"/>
          <w:sz w:val="24"/>
          <w:szCs w:val="24"/>
          <w:lang w:val="es-ES" w:eastAsia="es-ES"/>
        </w:rPr>
        <w:t xml:space="preserve"> Recomendaciones del presente E</w:t>
      </w:r>
      <w:r w:rsidRPr="004B744B">
        <w:rPr>
          <w:rFonts w:ascii="Arial" w:eastAsia="Times New Roman" w:hAnsi="Arial" w:cs="Arial"/>
          <w:b/>
          <w:spacing w:val="-3"/>
          <w:sz w:val="24"/>
          <w:szCs w:val="24"/>
          <w:lang w:val="es-ES" w:eastAsia="es-ES"/>
        </w:rPr>
        <w:t>jercicio</w:t>
      </w:r>
    </w:p>
    <w:p w:rsidR="002A0766" w:rsidRPr="004B744B" w:rsidRDefault="002A0766" w:rsidP="004B744B">
      <w:pPr>
        <w:widowControl w:val="0"/>
        <w:spacing w:after="0" w:line="360" w:lineRule="auto"/>
        <w:jc w:val="both"/>
        <w:rPr>
          <w:rFonts w:ascii="Arial" w:eastAsia="Times New Roman" w:hAnsi="Arial" w:cs="Arial"/>
          <w:color w:val="76923C"/>
          <w:spacing w:val="-3"/>
          <w:sz w:val="24"/>
          <w:szCs w:val="24"/>
          <w:lang w:val="es-ES" w:eastAsia="es-ES"/>
        </w:rPr>
      </w:pPr>
      <w:r w:rsidRPr="004B744B">
        <w:rPr>
          <w:rFonts w:ascii="Arial" w:eastAsia="Times New Roman" w:hAnsi="Arial" w:cs="Arial"/>
          <w:spacing w:val="-3"/>
          <w:sz w:val="24"/>
          <w:szCs w:val="24"/>
          <w:lang w:val="es-ES" w:eastAsia="es-ES"/>
        </w:rPr>
        <w:t xml:space="preserve">Se reiteran las recomendaciones no cumplidas de ejercicios anteriores. </w:t>
      </w:r>
    </w:p>
    <w:p w:rsidR="002A0766" w:rsidRPr="004B744B" w:rsidRDefault="002A0766" w:rsidP="004B744B">
      <w:pPr>
        <w:widowControl w:val="0"/>
        <w:spacing w:after="0" w:line="360" w:lineRule="auto"/>
        <w:jc w:val="right"/>
        <w:rPr>
          <w:rFonts w:ascii="Arial" w:eastAsia="Times New Roman" w:hAnsi="Arial" w:cs="Arial"/>
          <w:spacing w:val="-3"/>
          <w:sz w:val="24"/>
          <w:szCs w:val="24"/>
          <w:lang w:val="es-ES" w:eastAsia="es-ES"/>
        </w:rPr>
      </w:pPr>
      <w:r w:rsidRPr="004B744B">
        <w:rPr>
          <w:rFonts w:ascii="Arial" w:eastAsia="Times New Roman" w:hAnsi="Arial" w:cs="Arial"/>
          <w:spacing w:val="-3"/>
          <w:sz w:val="24"/>
          <w:szCs w:val="24"/>
          <w:lang w:val="es-ES" w:eastAsia="es-ES"/>
        </w:rPr>
        <w:t>Montevideo, 13 de diciembre de 2017</w:t>
      </w:r>
    </w:p>
    <w:p w:rsidR="002A0766" w:rsidRPr="004B744B" w:rsidRDefault="002A0766" w:rsidP="004B744B">
      <w:pPr>
        <w:widowControl w:val="0"/>
        <w:spacing w:after="0" w:line="360" w:lineRule="auto"/>
        <w:jc w:val="right"/>
        <w:rPr>
          <w:rFonts w:ascii="Arial" w:eastAsia="Times New Roman" w:hAnsi="Arial" w:cs="Arial"/>
          <w:spacing w:val="-3"/>
          <w:sz w:val="24"/>
          <w:szCs w:val="24"/>
          <w:lang w:val="es-ES" w:eastAsia="es-ES"/>
        </w:rPr>
      </w:pPr>
    </w:p>
    <w:p w:rsidR="002A0766" w:rsidRPr="004B744B" w:rsidRDefault="002A0766" w:rsidP="004B744B">
      <w:pPr>
        <w:widowControl w:val="0"/>
        <w:spacing w:after="0" w:line="360" w:lineRule="auto"/>
        <w:jc w:val="right"/>
        <w:rPr>
          <w:rFonts w:ascii="Arial" w:eastAsia="Times New Roman" w:hAnsi="Arial" w:cs="Arial"/>
          <w:spacing w:val="-3"/>
          <w:sz w:val="24"/>
          <w:szCs w:val="24"/>
          <w:lang w:val="es-ES" w:eastAsia="es-ES"/>
        </w:rPr>
      </w:pPr>
    </w:p>
    <w:p w:rsidR="002A0766" w:rsidRDefault="002A0766" w:rsidP="004B744B">
      <w:pPr>
        <w:widowControl w:val="0"/>
        <w:spacing w:after="0" w:line="360" w:lineRule="auto"/>
        <w:jc w:val="right"/>
        <w:rPr>
          <w:rFonts w:ascii="Arial" w:eastAsia="Times New Roman" w:hAnsi="Arial" w:cs="Arial"/>
          <w:spacing w:val="-3"/>
          <w:sz w:val="24"/>
          <w:szCs w:val="24"/>
          <w:lang w:val="es-ES" w:eastAsia="es-ES"/>
        </w:rPr>
      </w:pPr>
    </w:p>
    <w:p w:rsidR="002A0766" w:rsidRDefault="002A0766" w:rsidP="004B744B">
      <w:pPr>
        <w:widowControl w:val="0"/>
        <w:spacing w:after="0" w:line="360" w:lineRule="auto"/>
        <w:jc w:val="right"/>
        <w:rPr>
          <w:rFonts w:ascii="Arial" w:eastAsia="Times New Roman" w:hAnsi="Arial" w:cs="Arial"/>
          <w:spacing w:val="-3"/>
          <w:sz w:val="24"/>
          <w:szCs w:val="24"/>
          <w:lang w:val="es-ES" w:eastAsia="es-ES"/>
        </w:rPr>
      </w:pPr>
    </w:p>
    <w:p w:rsidR="002A0766" w:rsidRDefault="002A0766" w:rsidP="004B744B">
      <w:pPr>
        <w:widowControl w:val="0"/>
        <w:spacing w:after="0" w:line="360" w:lineRule="auto"/>
        <w:jc w:val="right"/>
        <w:rPr>
          <w:rFonts w:ascii="Arial" w:eastAsia="Times New Roman" w:hAnsi="Arial" w:cs="Arial"/>
          <w:spacing w:val="-3"/>
          <w:sz w:val="24"/>
          <w:szCs w:val="24"/>
          <w:lang w:val="es-ES" w:eastAsia="es-ES"/>
        </w:rPr>
      </w:pPr>
    </w:p>
    <w:p w:rsidR="002A0766" w:rsidRPr="004B744B" w:rsidRDefault="002A0766" w:rsidP="004B744B">
      <w:pPr>
        <w:widowControl w:val="0"/>
        <w:spacing w:after="0" w:line="360" w:lineRule="auto"/>
        <w:ind w:hanging="426"/>
        <w:rPr>
          <w:rFonts w:ascii="Arial" w:eastAsia="Times New Roman" w:hAnsi="Arial" w:cs="Arial"/>
          <w:spacing w:val="-3"/>
          <w:sz w:val="24"/>
          <w:szCs w:val="24"/>
          <w:lang w:val="es-ES" w:eastAsia="es-ES"/>
        </w:rPr>
      </w:pPr>
      <w:proofErr w:type="gramStart"/>
      <w:r>
        <w:rPr>
          <w:rFonts w:ascii="Arial" w:eastAsia="Times New Roman" w:hAnsi="Arial" w:cs="Arial"/>
          <w:spacing w:val="-3"/>
          <w:sz w:val="24"/>
          <w:szCs w:val="24"/>
          <w:lang w:val="es-ES" w:eastAsia="es-ES"/>
        </w:rPr>
        <w:t>dc</w:t>
      </w:r>
      <w:proofErr w:type="gramEnd"/>
    </w:p>
    <w:p w:rsidR="002A0766" w:rsidRPr="004B744B" w:rsidRDefault="002A0766" w:rsidP="004B744B">
      <w:pPr>
        <w:widowControl w:val="0"/>
        <w:spacing w:after="0" w:line="360" w:lineRule="auto"/>
        <w:jc w:val="right"/>
        <w:rPr>
          <w:rFonts w:ascii="Arial" w:eastAsia="Times New Roman" w:hAnsi="Arial" w:cs="Arial"/>
          <w:spacing w:val="-3"/>
          <w:sz w:val="24"/>
          <w:szCs w:val="24"/>
          <w:lang w:val="es-ES" w:eastAsia="es-ES"/>
        </w:rPr>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DC66B8" w:rsidRDefault="00DC66B8"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Default="002A0766" w:rsidP="003E54FD">
      <w:pPr>
        <w:widowControl w:val="0"/>
        <w:suppressAutoHyphens/>
        <w:spacing w:after="0" w:line="360" w:lineRule="auto"/>
        <w:ind w:hanging="567"/>
        <w:jc w:val="both"/>
      </w:pPr>
    </w:p>
    <w:p w:rsidR="002A0766" w:rsidRPr="003E54FD" w:rsidRDefault="002A0766" w:rsidP="001B7626">
      <w:pPr>
        <w:spacing w:after="0" w:line="240" w:lineRule="auto"/>
        <w:jc w:val="right"/>
        <w:rPr>
          <w:rFonts w:ascii="Arial" w:eastAsia="Times New Roman" w:hAnsi="Arial" w:cs="Arial"/>
          <w:sz w:val="24"/>
          <w:szCs w:val="24"/>
          <w:lang w:val="es-ES" w:eastAsia="es-ES"/>
        </w:rPr>
      </w:pPr>
      <w:r>
        <w:rPr>
          <w:rFonts w:ascii="Arial" w:eastAsia="Times New Roman" w:hAnsi="Arial" w:cs="Arial"/>
          <w:sz w:val="24"/>
          <w:szCs w:val="24"/>
          <w:lang w:val="es-ES" w:eastAsia="es-ES"/>
        </w:rPr>
        <w:t>Montevideo, 29 de diciembre de 2017.-</w:t>
      </w:r>
    </w:p>
    <w:p w:rsidR="002A0766" w:rsidRPr="003E54FD" w:rsidRDefault="002A0766" w:rsidP="001B7626">
      <w:pPr>
        <w:spacing w:after="0" w:line="240" w:lineRule="auto"/>
        <w:rPr>
          <w:rFonts w:ascii="Arial" w:eastAsia="Times New Roman" w:hAnsi="Arial" w:cs="Arial"/>
          <w:sz w:val="24"/>
          <w:szCs w:val="24"/>
          <w:lang w:val="es-ES" w:eastAsia="es-ES"/>
        </w:rPr>
      </w:pPr>
    </w:p>
    <w:p w:rsidR="002A0766" w:rsidRPr="001B7626" w:rsidRDefault="002A0766" w:rsidP="001B7626">
      <w:pPr>
        <w:widowControl w:val="0"/>
        <w:spacing w:after="0" w:line="360" w:lineRule="auto"/>
        <w:jc w:val="both"/>
        <w:rPr>
          <w:rFonts w:ascii="Arial" w:eastAsia="Calibri" w:hAnsi="Arial" w:cs="Arial"/>
          <w:sz w:val="24"/>
          <w:szCs w:val="24"/>
        </w:rPr>
      </w:pPr>
      <w:r w:rsidRPr="001B7626">
        <w:rPr>
          <w:rFonts w:ascii="Arial" w:eastAsia="Calibri" w:hAnsi="Arial" w:cs="Arial"/>
          <w:sz w:val="24"/>
          <w:szCs w:val="24"/>
        </w:rPr>
        <w:t>Señor</w:t>
      </w:r>
    </w:p>
    <w:p w:rsidR="002A0766" w:rsidRPr="001B7626" w:rsidRDefault="002A0766" w:rsidP="001B7626">
      <w:pPr>
        <w:widowControl w:val="0"/>
        <w:spacing w:after="0" w:line="360" w:lineRule="auto"/>
        <w:jc w:val="both"/>
        <w:rPr>
          <w:rFonts w:ascii="Arial" w:eastAsia="Calibri" w:hAnsi="Arial" w:cs="Arial"/>
          <w:sz w:val="24"/>
          <w:szCs w:val="24"/>
        </w:rPr>
      </w:pPr>
      <w:r w:rsidRPr="001B7626">
        <w:rPr>
          <w:rFonts w:ascii="Arial" w:eastAsia="Calibri" w:hAnsi="Arial" w:cs="Arial"/>
          <w:sz w:val="24"/>
          <w:szCs w:val="24"/>
        </w:rPr>
        <w:t>Pre</w:t>
      </w:r>
      <w:r w:rsidR="00DC66B8">
        <w:rPr>
          <w:rFonts w:ascii="Arial" w:eastAsia="Calibri" w:hAnsi="Arial" w:cs="Arial"/>
          <w:sz w:val="24"/>
          <w:szCs w:val="24"/>
        </w:rPr>
        <w:t>sidente del Servicio Oficial de</w:t>
      </w:r>
    </w:p>
    <w:p w:rsidR="002A0766" w:rsidRPr="001B7626" w:rsidRDefault="002A0766" w:rsidP="001B7626">
      <w:pPr>
        <w:widowControl w:val="0"/>
        <w:spacing w:after="0" w:line="360" w:lineRule="auto"/>
        <w:jc w:val="both"/>
        <w:rPr>
          <w:rFonts w:ascii="Arial" w:eastAsia="Calibri" w:hAnsi="Arial" w:cs="Arial"/>
          <w:sz w:val="24"/>
          <w:szCs w:val="24"/>
        </w:rPr>
      </w:pPr>
      <w:r w:rsidRPr="001B7626">
        <w:rPr>
          <w:rFonts w:ascii="Arial" w:eastAsia="Calibri" w:hAnsi="Arial" w:cs="Arial"/>
          <w:sz w:val="24"/>
          <w:szCs w:val="24"/>
        </w:rPr>
        <w:t>Difusión</w:t>
      </w:r>
      <w:r>
        <w:rPr>
          <w:rFonts w:ascii="Arial" w:eastAsia="Calibri" w:hAnsi="Arial" w:cs="Arial"/>
          <w:sz w:val="24"/>
          <w:szCs w:val="24"/>
        </w:rPr>
        <w:t>,</w:t>
      </w:r>
      <w:r w:rsidR="00DC66B8">
        <w:rPr>
          <w:rFonts w:ascii="Arial" w:eastAsia="Calibri" w:hAnsi="Arial" w:cs="Arial"/>
          <w:sz w:val="24"/>
          <w:szCs w:val="24"/>
        </w:rPr>
        <w:t xml:space="preserve"> Radiotelevisión y Espectáculos</w:t>
      </w:r>
    </w:p>
    <w:p w:rsidR="002A0766" w:rsidRDefault="002A0766" w:rsidP="001B7626">
      <w:pPr>
        <w:spacing w:after="0" w:line="360" w:lineRule="auto"/>
        <w:jc w:val="both"/>
        <w:rPr>
          <w:rFonts w:eastAsia="Calibri" w:cs="Arial"/>
        </w:rPr>
      </w:pPr>
      <w:r w:rsidRPr="001B7626">
        <w:rPr>
          <w:rFonts w:ascii="Arial" w:eastAsia="Calibri" w:hAnsi="Arial" w:cs="Arial"/>
          <w:bCs/>
          <w:sz w:val="24"/>
          <w:szCs w:val="24"/>
        </w:rPr>
        <w:t xml:space="preserve">Sr. </w:t>
      </w:r>
      <w:proofErr w:type="spellStart"/>
      <w:r w:rsidRPr="001B7626">
        <w:rPr>
          <w:rFonts w:ascii="Arial" w:eastAsia="Calibri" w:hAnsi="Arial" w:cs="Arial"/>
          <w:bCs/>
          <w:sz w:val="24"/>
          <w:szCs w:val="24"/>
        </w:rPr>
        <w:t>Doreen</w:t>
      </w:r>
      <w:proofErr w:type="spellEnd"/>
      <w:r w:rsidRPr="001B7626">
        <w:rPr>
          <w:rFonts w:ascii="Arial" w:eastAsia="Calibri" w:hAnsi="Arial" w:cs="Arial"/>
          <w:bCs/>
          <w:sz w:val="24"/>
          <w:szCs w:val="24"/>
        </w:rPr>
        <w:t xml:space="preserve"> Javier Ibarra Ferreira</w:t>
      </w:r>
    </w:p>
    <w:p w:rsidR="002A0766" w:rsidRDefault="002A0766" w:rsidP="001B7626">
      <w:pPr>
        <w:spacing w:after="0" w:line="360" w:lineRule="auto"/>
        <w:jc w:val="right"/>
        <w:rPr>
          <w:rFonts w:ascii="Arial" w:eastAsia="Calibri" w:hAnsi="Arial" w:cs="Arial"/>
          <w:sz w:val="24"/>
          <w:szCs w:val="24"/>
        </w:rPr>
      </w:pPr>
      <w:r>
        <w:rPr>
          <w:rFonts w:ascii="Arial" w:eastAsia="Calibri" w:hAnsi="Arial" w:cs="Arial"/>
          <w:sz w:val="24"/>
          <w:szCs w:val="24"/>
        </w:rPr>
        <w:t>E.</w:t>
      </w:r>
      <w:r w:rsidR="00DC66B8">
        <w:rPr>
          <w:rFonts w:ascii="Arial" w:eastAsia="Calibri" w:hAnsi="Arial" w:cs="Arial"/>
          <w:sz w:val="24"/>
          <w:szCs w:val="24"/>
        </w:rPr>
        <w:t xml:space="preserve"> </w:t>
      </w:r>
      <w:r>
        <w:rPr>
          <w:rFonts w:ascii="Arial" w:eastAsia="Calibri" w:hAnsi="Arial" w:cs="Arial"/>
          <w:sz w:val="24"/>
          <w:szCs w:val="24"/>
        </w:rPr>
        <w:t>E. 2017-17-1-0003380</w:t>
      </w:r>
    </w:p>
    <w:p w:rsidR="002A0766" w:rsidRDefault="002A0766" w:rsidP="001B7626">
      <w:pPr>
        <w:spacing w:after="0" w:line="360" w:lineRule="auto"/>
        <w:jc w:val="right"/>
        <w:rPr>
          <w:rFonts w:ascii="Arial" w:eastAsia="Calibri" w:hAnsi="Arial" w:cs="Arial"/>
          <w:sz w:val="24"/>
          <w:szCs w:val="24"/>
        </w:rPr>
      </w:pPr>
      <w:r>
        <w:rPr>
          <w:rFonts w:ascii="Arial" w:eastAsia="Calibri" w:hAnsi="Arial" w:cs="Arial"/>
          <w:sz w:val="24"/>
          <w:szCs w:val="24"/>
        </w:rPr>
        <w:t>Entrada 2756/17</w:t>
      </w:r>
    </w:p>
    <w:p w:rsidR="002A0766" w:rsidRPr="001B7626" w:rsidRDefault="002A0766" w:rsidP="001B7626">
      <w:pPr>
        <w:spacing w:after="0" w:line="360" w:lineRule="auto"/>
        <w:jc w:val="right"/>
        <w:rPr>
          <w:rFonts w:ascii="Arial" w:hAnsi="Arial" w:cs="Arial"/>
          <w:sz w:val="24"/>
          <w:szCs w:val="24"/>
        </w:rPr>
      </w:pPr>
      <w:r>
        <w:rPr>
          <w:rFonts w:ascii="Arial" w:eastAsia="Calibri" w:hAnsi="Arial" w:cs="Arial"/>
          <w:sz w:val="24"/>
          <w:szCs w:val="24"/>
        </w:rPr>
        <w:t>Oficio 10343/17</w:t>
      </w:r>
    </w:p>
    <w:p w:rsidR="002A0766" w:rsidRPr="003E54FD" w:rsidRDefault="002A0766" w:rsidP="001B7626">
      <w:pPr>
        <w:spacing w:after="0" w:line="360" w:lineRule="auto"/>
        <w:ind w:firstLine="708"/>
        <w:jc w:val="both"/>
        <w:rPr>
          <w:rFonts w:ascii="Arial" w:eastAsia="Times New Roman" w:hAnsi="Arial" w:cs="Arial"/>
          <w:sz w:val="24"/>
          <w:szCs w:val="24"/>
          <w:lang w:val="es-ES" w:eastAsia="es-ES"/>
        </w:rPr>
      </w:pPr>
    </w:p>
    <w:p w:rsidR="002A0766" w:rsidRDefault="002A0766" w:rsidP="001B7626">
      <w:pPr>
        <w:spacing w:after="0" w:line="360" w:lineRule="auto"/>
        <w:ind w:firstLine="851"/>
        <w:jc w:val="both"/>
        <w:rPr>
          <w:rFonts w:ascii="Arial" w:eastAsia="Times New Roman" w:hAnsi="Arial" w:cs="Arial"/>
          <w:sz w:val="24"/>
          <w:szCs w:val="24"/>
          <w:lang w:val="es-ES" w:eastAsia="es-ES"/>
        </w:rPr>
      </w:pPr>
      <w:r w:rsidRPr="003E54FD">
        <w:rPr>
          <w:rFonts w:ascii="Arial" w:eastAsia="Times New Roman" w:hAnsi="Arial" w:cs="Arial"/>
          <w:sz w:val="24"/>
          <w:szCs w:val="24"/>
          <w:lang w:val="es-ES" w:eastAsia="es-ES"/>
        </w:rPr>
        <w:t>El Tribunal de Cuentas, en oportunidad de dictaminar sobre el Estado de Ejecución Presupuestal del Ejercicio 2016 del Banco Hipotecario del Uruguay (BHU), verificó los aspectos referidos a lo dispuesto en los Artículos 226 de la Ley Nº 18.172 de 31/08/2007 y 17 de la Ley Nº 17.904 de 07/10/2005.</w:t>
      </w:r>
    </w:p>
    <w:p w:rsidR="002A0766" w:rsidRPr="003E54FD" w:rsidRDefault="002A0766" w:rsidP="001B7626">
      <w:pPr>
        <w:spacing w:after="0" w:line="360" w:lineRule="auto"/>
        <w:ind w:firstLine="851"/>
        <w:jc w:val="both"/>
        <w:rPr>
          <w:rFonts w:ascii="Arial" w:eastAsia="Times New Roman" w:hAnsi="Arial" w:cs="Arial"/>
          <w:sz w:val="24"/>
          <w:szCs w:val="24"/>
          <w:lang w:val="es-ES" w:eastAsia="es-ES"/>
        </w:rPr>
      </w:pPr>
      <w:r w:rsidRPr="003E54FD">
        <w:rPr>
          <w:rFonts w:ascii="Arial" w:eastAsia="Times New Roman" w:hAnsi="Arial" w:cs="Arial"/>
          <w:sz w:val="24"/>
          <w:szCs w:val="24"/>
          <w:lang w:val="es-ES" w:eastAsia="es-ES"/>
        </w:rPr>
        <w:t>El BHU realizó g</w:t>
      </w:r>
      <w:r>
        <w:rPr>
          <w:rFonts w:ascii="Arial" w:eastAsia="Times New Roman" w:hAnsi="Arial" w:cs="Arial"/>
          <w:sz w:val="24"/>
          <w:szCs w:val="24"/>
          <w:lang w:val="es-ES" w:eastAsia="es-ES"/>
        </w:rPr>
        <w:t>astos en publicidad durante el E</w:t>
      </w:r>
      <w:r w:rsidRPr="003E54FD">
        <w:rPr>
          <w:rFonts w:ascii="Arial" w:eastAsia="Times New Roman" w:hAnsi="Arial" w:cs="Arial"/>
          <w:sz w:val="24"/>
          <w:szCs w:val="24"/>
          <w:lang w:val="es-ES" w:eastAsia="es-ES"/>
        </w:rPr>
        <w:t>jercicio 2016 por pautas publicitarias con privados por un total de $ 7:803.517</w:t>
      </w:r>
      <w:r>
        <w:rPr>
          <w:rFonts w:ascii="Arial" w:eastAsia="Times New Roman" w:hAnsi="Arial" w:cs="Arial"/>
          <w:sz w:val="24"/>
          <w:szCs w:val="24"/>
          <w:lang w:val="es-ES" w:eastAsia="es-ES"/>
        </w:rPr>
        <w:t>, de los cuales $</w:t>
      </w:r>
      <w:r w:rsidRPr="003E54FD">
        <w:rPr>
          <w:rFonts w:ascii="Arial" w:eastAsia="Times New Roman" w:hAnsi="Arial" w:cs="Arial"/>
          <w:sz w:val="24"/>
          <w:szCs w:val="24"/>
          <w:lang w:val="es-ES" w:eastAsia="es-ES"/>
        </w:rPr>
        <w:t>6:084.956 corresponden a publicidad en televisión y $ 1:718.561 a publicidad en radio. Lo contratado para televisión con TNU</w:t>
      </w:r>
      <w:r>
        <w:rPr>
          <w:rFonts w:ascii="Arial" w:eastAsia="Times New Roman" w:hAnsi="Arial" w:cs="Arial"/>
          <w:sz w:val="24"/>
          <w:szCs w:val="24"/>
          <w:lang w:val="es-ES" w:eastAsia="es-ES"/>
        </w:rPr>
        <w:t xml:space="preserve"> asciende a la cantidad de  $</w:t>
      </w:r>
      <w:r w:rsidRPr="003E54FD">
        <w:rPr>
          <w:rFonts w:ascii="Arial" w:eastAsia="Times New Roman" w:hAnsi="Arial" w:cs="Arial"/>
          <w:sz w:val="24"/>
          <w:szCs w:val="24"/>
          <w:lang w:val="es-ES" w:eastAsia="es-ES"/>
        </w:rPr>
        <w:t>1:216.991, y para radio en las radiod</w:t>
      </w:r>
      <w:r>
        <w:rPr>
          <w:rFonts w:ascii="Arial" w:eastAsia="Times New Roman" w:hAnsi="Arial" w:cs="Arial"/>
          <w:sz w:val="24"/>
          <w:szCs w:val="24"/>
          <w:lang w:val="es-ES" w:eastAsia="es-ES"/>
        </w:rPr>
        <w:t>ifusoras del SODRE asciende a $</w:t>
      </w:r>
      <w:r w:rsidRPr="003E54FD">
        <w:rPr>
          <w:rFonts w:ascii="Arial" w:eastAsia="Times New Roman" w:hAnsi="Arial" w:cs="Arial"/>
          <w:sz w:val="24"/>
          <w:szCs w:val="24"/>
          <w:lang w:val="es-ES" w:eastAsia="es-ES"/>
        </w:rPr>
        <w:t>347.712, lo que representa el 20% en ambos casos</w:t>
      </w:r>
      <w:r>
        <w:rPr>
          <w:rFonts w:ascii="Arial" w:eastAsia="Times New Roman" w:hAnsi="Arial" w:cs="Arial"/>
          <w:sz w:val="24"/>
          <w:szCs w:val="24"/>
          <w:lang w:val="es-ES" w:eastAsia="es-ES"/>
        </w:rPr>
        <w:t>, dando cumplimiento con el</w:t>
      </w:r>
      <w:r w:rsidRPr="003E54FD">
        <w:rPr>
          <w:rFonts w:ascii="Arial" w:eastAsia="Times New Roman" w:hAnsi="Arial" w:cs="Arial"/>
          <w:sz w:val="24"/>
          <w:szCs w:val="24"/>
          <w:lang w:val="es-ES" w:eastAsia="es-ES"/>
        </w:rPr>
        <w:t xml:space="preserve"> por</w:t>
      </w:r>
      <w:r w:rsidR="00DC66B8">
        <w:rPr>
          <w:rFonts w:ascii="Arial" w:eastAsia="Times New Roman" w:hAnsi="Arial" w:cs="Arial"/>
          <w:sz w:val="24"/>
          <w:szCs w:val="24"/>
          <w:lang w:val="es-ES" w:eastAsia="es-ES"/>
        </w:rPr>
        <w:t>centaje legal establecido.</w:t>
      </w:r>
    </w:p>
    <w:p w:rsidR="002A0766" w:rsidRDefault="002A0766" w:rsidP="001B7626">
      <w:pPr>
        <w:widowControl w:val="0"/>
        <w:tabs>
          <w:tab w:val="left" w:pos="-720"/>
        </w:tabs>
        <w:suppressAutoHyphens/>
        <w:spacing w:after="0" w:line="360" w:lineRule="auto"/>
        <w:jc w:val="right"/>
        <w:rPr>
          <w:rFonts w:ascii="Arial" w:eastAsia="Times New Roman" w:hAnsi="Arial" w:cs="Arial"/>
          <w:snapToGrid w:val="0"/>
          <w:sz w:val="24"/>
          <w:szCs w:val="24"/>
          <w:lang w:val="es-ES" w:eastAsia="es-ES"/>
        </w:rPr>
      </w:pPr>
      <w:r>
        <w:rPr>
          <w:rFonts w:ascii="Arial" w:eastAsia="Times New Roman" w:hAnsi="Arial" w:cs="Arial"/>
          <w:snapToGrid w:val="0"/>
          <w:sz w:val="24"/>
          <w:szCs w:val="24"/>
          <w:lang w:val="es-ES" w:eastAsia="es-ES"/>
        </w:rPr>
        <w:t>Saludo</w:t>
      </w:r>
      <w:r w:rsidR="00DC66B8">
        <w:rPr>
          <w:rFonts w:ascii="Arial" w:eastAsia="Times New Roman" w:hAnsi="Arial" w:cs="Arial"/>
          <w:snapToGrid w:val="0"/>
          <w:sz w:val="24"/>
          <w:szCs w:val="24"/>
          <w:lang w:val="es-ES" w:eastAsia="es-ES"/>
        </w:rPr>
        <w:t xml:space="preserve"> a Usted atentamente</w:t>
      </w:r>
    </w:p>
    <w:p w:rsidR="002A0766" w:rsidRDefault="002A0766" w:rsidP="001B7626">
      <w:pPr>
        <w:widowControl w:val="0"/>
        <w:tabs>
          <w:tab w:val="left" w:pos="-720"/>
        </w:tabs>
        <w:suppressAutoHyphens/>
        <w:spacing w:after="0" w:line="360" w:lineRule="auto"/>
        <w:jc w:val="right"/>
        <w:rPr>
          <w:rFonts w:ascii="Arial" w:eastAsia="Times New Roman" w:hAnsi="Arial" w:cs="Arial"/>
          <w:snapToGrid w:val="0"/>
          <w:sz w:val="24"/>
          <w:szCs w:val="24"/>
          <w:lang w:val="es-ES" w:eastAsia="es-ES"/>
        </w:rPr>
      </w:pPr>
    </w:p>
    <w:p w:rsidR="002A0766" w:rsidRDefault="002A0766" w:rsidP="001B7626">
      <w:pPr>
        <w:widowControl w:val="0"/>
        <w:tabs>
          <w:tab w:val="left" w:pos="-720"/>
        </w:tabs>
        <w:suppressAutoHyphens/>
        <w:spacing w:after="0" w:line="360" w:lineRule="auto"/>
        <w:jc w:val="right"/>
        <w:rPr>
          <w:rFonts w:ascii="Arial" w:eastAsia="Times New Roman" w:hAnsi="Arial" w:cs="Arial"/>
          <w:snapToGrid w:val="0"/>
          <w:sz w:val="24"/>
          <w:szCs w:val="24"/>
          <w:lang w:val="es-ES" w:eastAsia="es-ES"/>
        </w:rPr>
      </w:pPr>
    </w:p>
    <w:p w:rsidR="002A0766" w:rsidRDefault="002A0766" w:rsidP="001B7626">
      <w:pPr>
        <w:widowControl w:val="0"/>
        <w:tabs>
          <w:tab w:val="left" w:pos="-720"/>
        </w:tabs>
        <w:suppressAutoHyphens/>
        <w:spacing w:after="0" w:line="360" w:lineRule="auto"/>
        <w:jc w:val="right"/>
        <w:rPr>
          <w:rFonts w:ascii="Arial" w:eastAsia="Times New Roman" w:hAnsi="Arial" w:cs="Arial"/>
          <w:snapToGrid w:val="0"/>
          <w:sz w:val="24"/>
          <w:szCs w:val="24"/>
          <w:lang w:val="es-ES" w:eastAsia="es-ES"/>
        </w:rPr>
      </w:pPr>
    </w:p>
    <w:p w:rsidR="002A0766" w:rsidRPr="002A0766" w:rsidRDefault="002A0766" w:rsidP="002A0766">
      <w:pPr>
        <w:widowControl w:val="0"/>
        <w:tabs>
          <w:tab w:val="left" w:pos="-720"/>
        </w:tabs>
        <w:suppressAutoHyphens/>
        <w:spacing w:after="0" w:line="360" w:lineRule="auto"/>
        <w:ind w:hanging="426"/>
        <w:rPr>
          <w:rFonts w:ascii="Arial" w:eastAsia="Times New Roman" w:hAnsi="Arial" w:cs="Arial"/>
          <w:sz w:val="20"/>
          <w:szCs w:val="24"/>
          <w:lang w:val="es-ES" w:eastAsia="es-ES"/>
        </w:rPr>
      </w:pPr>
      <w:proofErr w:type="gramStart"/>
      <w:r>
        <w:rPr>
          <w:rFonts w:ascii="Arial" w:eastAsia="Times New Roman" w:hAnsi="Arial" w:cs="Arial"/>
          <w:snapToGrid w:val="0"/>
          <w:sz w:val="24"/>
          <w:szCs w:val="24"/>
          <w:lang w:val="es-ES" w:eastAsia="es-ES"/>
        </w:rPr>
        <w:t>dc</w:t>
      </w:r>
      <w:proofErr w:type="gramEnd"/>
    </w:p>
    <w:sectPr w:rsidR="002A0766" w:rsidRPr="002A0766" w:rsidSect="003E54FD">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464" w:rsidRDefault="002A0766">
      <w:pPr>
        <w:spacing w:after="0" w:line="240" w:lineRule="auto"/>
      </w:pPr>
      <w:r>
        <w:separator/>
      </w:r>
    </w:p>
  </w:endnote>
  <w:endnote w:type="continuationSeparator" w:id="0">
    <w:p w:rsidR="00A16464" w:rsidRDefault="002A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A6D" w:rsidRDefault="003E54FD">
    <w:pPr>
      <w:pStyle w:val="Piedepgina"/>
      <w:jc w:val="center"/>
    </w:pPr>
    <w:r>
      <w:fldChar w:fldCharType="begin"/>
    </w:r>
    <w:r>
      <w:instrText>PAGE   \* MERGEFORMAT</w:instrText>
    </w:r>
    <w:r>
      <w:fldChar w:fldCharType="separate"/>
    </w:r>
    <w:r w:rsidR="00593E64">
      <w:rPr>
        <w:noProof/>
      </w:rPr>
      <w:t>1</w:t>
    </w:r>
    <w:r>
      <w:fldChar w:fldCharType="end"/>
    </w:r>
  </w:p>
  <w:p w:rsidR="00A21A6D" w:rsidRDefault="00593E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464" w:rsidRDefault="002A0766">
      <w:pPr>
        <w:spacing w:after="0" w:line="240" w:lineRule="auto"/>
      </w:pPr>
      <w:r>
        <w:separator/>
      </w:r>
    </w:p>
  </w:footnote>
  <w:footnote w:type="continuationSeparator" w:id="0">
    <w:p w:rsidR="00A16464" w:rsidRDefault="002A0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679EA"/>
    <w:multiLevelType w:val="hybridMultilevel"/>
    <w:tmpl w:val="1C58DE32"/>
    <w:lvl w:ilvl="0" w:tplc="FBCEA0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3DE07A5"/>
    <w:multiLevelType w:val="hybridMultilevel"/>
    <w:tmpl w:val="7FDC7948"/>
    <w:lvl w:ilvl="0" w:tplc="19E24E6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4F07AB1"/>
    <w:multiLevelType w:val="multilevel"/>
    <w:tmpl w:val="BFC6A47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FD"/>
    <w:rsid w:val="002A0766"/>
    <w:rsid w:val="003E54FD"/>
    <w:rsid w:val="00593E64"/>
    <w:rsid w:val="008B197D"/>
    <w:rsid w:val="00A16464"/>
    <w:rsid w:val="00DC66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E54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E54FD"/>
  </w:style>
  <w:style w:type="paragraph" w:styleId="Textoindependiente">
    <w:name w:val="Body Text"/>
    <w:basedOn w:val="Normal"/>
    <w:link w:val="TextoindependienteCar"/>
    <w:semiHidden/>
    <w:rsid w:val="002A0766"/>
    <w:pPr>
      <w:widowControl w:val="0"/>
      <w:suppressAutoHyphens/>
      <w:spacing w:after="0" w:line="240" w:lineRule="atLeast"/>
      <w:jc w:val="both"/>
    </w:pPr>
    <w:rPr>
      <w:rFonts w:ascii="Courier New" w:eastAsia="Times New Roman" w:hAnsi="Courier New" w:cs="Times New Roman"/>
      <w:spacing w:val="-3"/>
      <w:sz w:val="24"/>
      <w:szCs w:val="20"/>
      <w:lang w:val="es-ES_tradnl" w:eastAsia="es-ES"/>
    </w:rPr>
  </w:style>
  <w:style w:type="character" w:customStyle="1" w:styleId="TextoindependienteCar">
    <w:name w:val="Texto independiente Car"/>
    <w:basedOn w:val="Fuentedeprrafopredeter"/>
    <w:link w:val="Textoindependiente"/>
    <w:semiHidden/>
    <w:rsid w:val="002A0766"/>
    <w:rPr>
      <w:rFonts w:ascii="Courier New" w:eastAsia="Times New Roman" w:hAnsi="Courier New" w:cs="Times New Roman"/>
      <w:spacing w:val="-3"/>
      <w:sz w:val="24"/>
      <w:szCs w:val="20"/>
      <w:lang w:val="es-ES_tradnl" w:eastAsia="es-ES"/>
    </w:rPr>
  </w:style>
  <w:style w:type="paragraph" w:styleId="Ttulo">
    <w:name w:val="Title"/>
    <w:basedOn w:val="Normal"/>
    <w:link w:val="TtuloCar"/>
    <w:qFormat/>
    <w:rsid w:val="002A0766"/>
    <w:pPr>
      <w:widowControl w:val="0"/>
      <w:spacing w:after="0" w:line="240" w:lineRule="auto"/>
    </w:pPr>
    <w:rPr>
      <w:rFonts w:ascii="Courier New" w:eastAsia="Times New Roman" w:hAnsi="Courier New" w:cs="Times New Roman"/>
      <w:sz w:val="24"/>
      <w:szCs w:val="24"/>
      <w:lang w:val="es-ES" w:eastAsia="es-ES"/>
    </w:rPr>
  </w:style>
  <w:style w:type="character" w:customStyle="1" w:styleId="TtuloCar">
    <w:name w:val="Título Car"/>
    <w:basedOn w:val="Fuentedeprrafopredeter"/>
    <w:link w:val="Ttulo"/>
    <w:rsid w:val="002A0766"/>
    <w:rPr>
      <w:rFonts w:ascii="Courier New" w:eastAsia="Times New Roman" w:hAnsi="Courier New" w:cs="Times New Roman"/>
      <w:sz w:val="24"/>
      <w:szCs w:val="24"/>
      <w:lang w:val="es-ES" w:eastAsia="es-ES"/>
    </w:rPr>
  </w:style>
  <w:style w:type="paragraph" w:customStyle="1" w:styleId="Prrafodelista1">
    <w:name w:val="Párrafo de lista1"/>
    <w:basedOn w:val="Normal"/>
    <w:rsid w:val="002A0766"/>
    <w:pPr>
      <w:ind w:left="720"/>
    </w:pPr>
    <w:rPr>
      <w:rFonts w:ascii="Calibri" w:eastAsia="Times New Roman" w:hAnsi="Calibri" w:cs="Times New Roman"/>
      <w:sz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E54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E54FD"/>
  </w:style>
  <w:style w:type="paragraph" w:styleId="Textoindependiente">
    <w:name w:val="Body Text"/>
    <w:basedOn w:val="Normal"/>
    <w:link w:val="TextoindependienteCar"/>
    <w:semiHidden/>
    <w:rsid w:val="002A0766"/>
    <w:pPr>
      <w:widowControl w:val="0"/>
      <w:suppressAutoHyphens/>
      <w:spacing w:after="0" w:line="240" w:lineRule="atLeast"/>
      <w:jc w:val="both"/>
    </w:pPr>
    <w:rPr>
      <w:rFonts w:ascii="Courier New" w:eastAsia="Times New Roman" w:hAnsi="Courier New" w:cs="Times New Roman"/>
      <w:spacing w:val="-3"/>
      <w:sz w:val="24"/>
      <w:szCs w:val="20"/>
      <w:lang w:val="es-ES_tradnl" w:eastAsia="es-ES"/>
    </w:rPr>
  </w:style>
  <w:style w:type="character" w:customStyle="1" w:styleId="TextoindependienteCar">
    <w:name w:val="Texto independiente Car"/>
    <w:basedOn w:val="Fuentedeprrafopredeter"/>
    <w:link w:val="Textoindependiente"/>
    <w:semiHidden/>
    <w:rsid w:val="002A0766"/>
    <w:rPr>
      <w:rFonts w:ascii="Courier New" w:eastAsia="Times New Roman" w:hAnsi="Courier New" w:cs="Times New Roman"/>
      <w:spacing w:val="-3"/>
      <w:sz w:val="24"/>
      <w:szCs w:val="20"/>
      <w:lang w:val="es-ES_tradnl" w:eastAsia="es-ES"/>
    </w:rPr>
  </w:style>
  <w:style w:type="paragraph" w:styleId="Ttulo">
    <w:name w:val="Title"/>
    <w:basedOn w:val="Normal"/>
    <w:link w:val="TtuloCar"/>
    <w:qFormat/>
    <w:rsid w:val="002A0766"/>
    <w:pPr>
      <w:widowControl w:val="0"/>
      <w:spacing w:after="0" w:line="240" w:lineRule="auto"/>
    </w:pPr>
    <w:rPr>
      <w:rFonts w:ascii="Courier New" w:eastAsia="Times New Roman" w:hAnsi="Courier New" w:cs="Times New Roman"/>
      <w:sz w:val="24"/>
      <w:szCs w:val="24"/>
      <w:lang w:val="es-ES" w:eastAsia="es-ES"/>
    </w:rPr>
  </w:style>
  <w:style w:type="character" w:customStyle="1" w:styleId="TtuloCar">
    <w:name w:val="Título Car"/>
    <w:basedOn w:val="Fuentedeprrafopredeter"/>
    <w:link w:val="Ttulo"/>
    <w:rsid w:val="002A0766"/>
    <w:rPr>
      <w:rFonts w:ascii="Courier New" w:eastAsia="Times New Roman" w:hAnsi="Courier New" w:cs="Times New Roman"/>
      <w:sz w:val="24"/>
      <w:szCs w:val="24"/>
      <w:lang w:val="es-ES" w:eastAsia="es-ES"/>
    </w:rPr>
  </w:style>
  <w:style w:type="paragraph" w:customStyle="1" w:styleId="Prrafodelista1">
    <w:name w:val="Párrafo de lista1"/>
    <w:basedOn w:val="Normal"/>
    <w:rsid w:val="002A0766"/>
    <w:pPr>
      <w:ind w:left="720"/>
    </w:pPr>
    <w:rPr>
      <w:rFonts w:ascii="Calibri" w:eastAsia="Times New Roman" w:hAnsi="Calibri" w:cs="Times New Roman"/>
      <w:sz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1668</Words>
  <Characters>9176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2017-12-29T13:59:00Z</cp:lastPrinted>
  <dcterms:created xsi:type="dcterms:W3CDTF">2017-12-29T13:51:00Z</dcterms:created>
  <dcterms:modified xsi:type="dcterms:W3CDTF">2018-04-10T15:55:00Z</dcterms:modified>
</cp:coreProperties>
</file>