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DA" w:rsidRPr="00786EEB" w:rsidRDefault="003D29DA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RES.649</w:t>
      </w:r>
      <w:r w:rsidR="00993FEE">
        <w:rPr>
          <w:rFonts w:cs="Arial"/>
          <w:b/>
          <w:sz w:val="28"/>
          <w:szCs w:val="28"/>
          <w:lang w:val="es-ES_tradnl"/>
        </w:rPr>
        <w:t>/18</w:t>
      </w:r>
      <w:bookmarkStart w:id="0" w:name="_GoBack"/>
      <w:bookmarkEnd w:id="0"/>
    </w:p>
    <w:p w:rsidR="003D29DA" w:rsidRDefault="003D29DA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3D29DA" w:rsidRPr="00762B34" w:rsidRDefault="003D29D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3D29DA" w:rsidRPr="00762B34" w:rsidRDefault="003D29DA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3D29DA" w:rsidRPr="00762B34" w:rsidRDefault="003D29D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3D29DA" w:rsidRPr="00762B34" w:rsidRDefault="003D29DA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3D29DA" w:rsidRPr="00762B34" w:rsidRDefault="003D29D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21 DE FEBRERO </w:t>
      </w:r>
      <w:r>
        <w:rPr>
          <w:rFonts w:ascii="Helvetica" w:hAnsi="Helvetica"/>
          <w:b/>
          <w:lang w:val="es-ES_tradnl"/>
        </w:rPr>
        <w:t>DE 2018</w:t>
      </w:r>
    </w:p>
    <w:p w:rsidR="003D29DA" w:rsidRPr="00762B34" w:rsidRDefault="003D29D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3D29DA" w:rsidRPr="003D29DA" w:rsidRDefault="003D29DA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3D29DA">
        <w:rPr>
          <w:rFonts w:cs="Arial"/>
          <w:b/>
          <w:lang w:val="en-US"/>
        </w:rPr>
        <w:t xml:space="preserve">(E. E. Nº </w:t>
      </w:r>
      <w:r w:rsidRPr="003D29DA">
        <w:rPr>
          <w:b/>
        </w:rPr>
        <w:t>2018-17-1-0000904</w:t>
      </w:r>
      <w:r w:rsidRPr="003D29DA">
        <w:rPr>
          <w:rFonts w:cs="Arial"/>
          <w:b/>
          <w:lang w:val="en-US"/>
        </w:rPr>
        <w:t xml:space="preserve">, </w:t>
      </w:r>
      <w:proofErr w:type="gramStart"/>
      <w:r w:rsidRPr="003D29DA">
        <w:rPr>
          <w:rFonts w:cs="Arial"/>
          <w:b/>
          <w:lang w:val="en-US"/>
        </w:rPr>
        <w:t>Ent</w:t>
      </w:r>
      <w:proofErr w:type="gramEnd"/>
      <w:r w:rsidRPr="003D29DA">
        <w:rPr>
          <w:rFonts w:cs="Arial"/>
          <w:b/>
          <w:lang w:val="en-US"/>
        </w:rPr>
        <w:t xml:space="preserve">. N° </w:t>
      </w:r>
      <w:r w:rsidRPr="003D29DA">
        <w:rPr>
          <w:b/>
          <w:spacing w:val="-3"/>
          <w:lang w:val="es-ES_tradnl"/>
        </w:rPr>
        <w:t>804</w:t>
      </w:r>
      <w:r w:rsidRPr="003D29DA">
        <w:rPr>
          <w:b/>
          <w:bCs/>
          <w:spacing w:val="-3"/>
          <w:lang w:val="es-ES_tradnl"/>
        </w:rPr>
        <w:t>/18</w:t>
      </w:r>
      <w:r w:rsidRPr="003D29DA">
        <w:rPr>
          <w:rFonts w:cs="Arial"/>
          <w:b/>
          <w:lang w:val="en-US"/>
        </w:rPr>
        <w:t>)</w:t>
      </w:r>
    </w:p>
    <w:p w:rsidR="003D29DA" w:rsidRDefault="003D29DA">
      <w:pPr>
        <w:rPr>
          <w:lang w:val="en-US"/>
        </w:rPr>
      </w:pPr>
    </w:p>
    <w:p w:rsidR="003D29DA" w:rsidRDefault="003D29DA">
      <w:pPr>
        <w:rPr>
          <w:lang w:val="en-US"/>
        </w:rPr>
      </w:pPr>
    </w:p>
    <w:p w:rsidR="00B923D2" w:rsidRDefault="00B923D2" w:rsidP="003D29DA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  <w:spacing w:val="-3"/>
          <w:lang w:val="es-ES_tradnl"/>
        </w:rPr>
        <w:t>VISTO:</w:t>
      </w:r>
      <w:r>
        <w:rPr>
          <w:spacing w:val="-3"/>
          <w:lang w:val="es-ES_tradnl"/>
        </w:rPr>
        <w:t xml:space="preserve"> estos antecedentes remitidos por la </w:t>
      </w:r>
      <w:r>
        <w:t>Administración de la</w:t>
      </w:r>
      <w:r w:rsidR="00935130">
        <w:t xml:space="preserve"> </w:t>
      </w:r>
      <w:r w:rsidR="00A531FF">
        <w:t>Administración</w:t>
      </w:r>
      <w:r w:rsidR="00935130">
        <w:t xml:space="preserve"> de los Servicios de Salud del Estado (ASSE)</w:t>
      </w:r>
      <w:r>
        <w:rPr>
          <w:spacing w:val="-3"/>
          <w:lang w:val="es-ES_tradnl"/>
        </w:rPr>
        <w:t xml:space="preserve">, relacionados con el acuerdo transaccional </w:t>
      </w:r>
      <w:r>
        <w:t xml:space="preserve">extrajudicial celebrado con  la </w:t>
      </w:r>
      <w:r w:rsidR="00935130">
        <w:t>firma Praxair Uruguay limitada</w:t>
      </w:r>
      <w:r>
        <w:t>;</w:t>
      </w:r>
    </w:p>
    <w:p w:rsidR="00D00C21" w:rsidRDefault="00B923D2" w:rsidP="003D29DA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</w:rPr>
        <w:t>RESULTANDO: 1)</w:t>
      </w:r>
      <w:r>
        <w:t xml:space="preserve"> que con fecha </w:t>
      </w:r>
      <w:r w:rsidR="00935130">
        <w:t>9</w:t>
      </w:r>
      <w:r>
        <w:t>/</w:t>
      </w:r>
      <w:r w:rsidR="00935130">
        <w:t>12</w:t>
      </w:r>
      <w:r>
        <w:t>/16,</w:t>
      </w:r>
      <w:r w:rsidR="00D00C21">
        <w:t xml:space="preserve"> la empresa</w:t>
      </w:r>
      <w:r>
        <w:t xml:space="preserve"> </w:t>
      </w:r>
      <w:r w:rsidR="00935130">
        <w:t>Praxair Uruguay Limit</w:t>
      </w:r>
      <w:r w:rsidR="00B71DD9">
        <w:t>ada  reclamó una</w:t>
      </w:r>
      <w:r w:rsidR="00935130">
        <w:t xml:space="preserve"> indemnización </w:t>
      </w:r>
      <w:r w:rsidR="00B71DD9">
        <w:t xml:space="preserve">a ASSE, </w:t>
      </w:r>
      <w:r w:rsidR="00935130">
        <w:t>por concepto de 37 tubos de oxígeno</w:t>
      </w:r>
      <w:r w:rsidR="00B71DD9">
        <w:t xml:space="preserve"> que fueron </w:t>
      </w:r>
      <w:r w:rsidR="00935130">
        <w:t xml:space="preserve"> entregados</w:t>
      </w:r>
      <w:r w:rsidR="00B71DD9">
        <w:t xml:space="preserve"> por dicha empresa</w:t>
      </w:r>
      <w:r w:rsidR="00935130">
        <w:t xml:space="preserve"> en comodato precario al Hospital Pasteur</w:t>
      </w:r>
      <w:r w:rsidR="00B71DD9">
        <w:t xml:space="preserve"> en</w:t>
      </w:r>
      <w:r w:rsidR="00935130">
        <w:t xml:space="preserve"> el marco de sucesivos llamados y que habrían sido extraviados en dicho hospital</w:t>
      </w:r>
      <w:r w:rsidR="00D00C21">
        <w:t>;</w:t>
      </w:r>
    </w:p>
    <w:p w:rsidR="00B923D2" w:rsidRDefault="00B923D2" w:rsidP="003D29DA">
      <w:pPr>
        <w:tabs>
          <w:tab w:val="left" w:pos="-720"/>
        </w:tabs>
        <w:suppressAutoHyphens/>
        <w:spacing w:line="360" w:lineRule="auto"/>
        <w:ind w:firstLine="2694"/>
        <w:jc w:val="both"/>
      </w:pPr>
      <w:r w:rsidRPr="006544A9">
        <w:rPr>
          <w:b/>
        </w:rPr>
        <w:t>2)</w:t>
      </w:r>
      <w:r w:rsidR="00B71DD9">
        <w:t xml:space="preserve"> que surgieron discrepancias entre</w:t>
      </w:r>
      <w:r w:rsidR="00935130">
        <w:t xml:space="preserve"> el relevamiento efectuado y l</w:t>
      </w:r>
      <w:r w:rsidR="00B71DD9">
        <w:t>as cantidades reclamadas, resultando  dificultosa</w:t>
      </w:r>
      <w:r w:rsidR="00935130">
        <w:t xml:space="preserve"> la determinación de la cantidad exacta</w:t>
      </w:r>
      <w:r w:rsidR="00B71DD9">
        <w:t xml:space="preserve"> de tubos desaparecidos</w:t>
      </w:r>
      <w:r w:rsidR="00935130">
        <w:t>, en razón de que</w:t>
      </w:r>
      <w:r w:rsidR="00B71DD9">
        <w:t xml:space="preserve"> en el período en el que sucedieron los hechos,</w:t>
      </w:r>
      <w:r w:rsidR="00935130">
        <w:t xml:space="preserve"> operaron cambios en las autoridades del cen</w:t>
      </w:r>
      <w:r w:rsidR="00B71DD9">
        <w:t>tro Asistencial</w:t>
      </w:r>
      <w:r>
        <w:t>;</w:t>
      </w:r>
    </w:p>
    <w:p w:rsidR="003D29DA" w:rsidRDefault="00B923D2" w:rsidP="003D29DA">
      <w:pPr>
        <w:tabs>
          <w:tab w:val="left" w:pos="-720"/>
        </w:tabs>
        <w:suppressAutoHyphens/>
        <w:spacing w:line="360" w:lineRule="auto"/>
        <w:ind w:firstLine="2694"/>
        <w:jc w:val="both"/>
      </w:pPr>
      <w:r w:rsidRPr="007621EB">
        <w:rPr>
          <w:b/>
        </w:rPr>
        <w:t>3)</w:t>
      </w:r>
      <w:r>
        <w:t xml:space="preserve"> que </w:t>
      </w:r>
      <w:r w:rsidR="00935130">
        <w:t xml:space="preserve">con fecha 6/7/17 </w:t>
      </w:r>
      <w:r w:rsidR="007621EB">
        <w:t xml:space="preserve">se </w:t>
      </w:r>
      <w:r w:rsidR="00935130">
        <w:t>arribó a un acuerdo con el proveedor, por el cual ASSE se obliga al pago</w:t>
      </w:r>
      <w:r w:rsidR="00B71DD9">
        <w:t xml:space="preserve"> de U$S 14.400, equivalente al monto de</w:t>
      </w:r>
      <w:r w:rsidR="00935130">
        <w:t xml:space="preserve"> 24 cilindros más IVA;   </w:t>
      </w:r>
    </w:p>
    <w:p w:rsidR="003D29DA" w:rsidRDefault="00935130" w:rsidP="003D29DA">
      <w:pPr>
        <w:tabs>
          <w:tab w:val="left" w:pos="-720"/>
        </w:tabs>
        <w:suppressAutoHyphens/>
        <w:spacing w:line="360" w:lineRule="auto"/>
        <w:ind w:firstLine="2694"/>
        <w:jc w:val="both"/>
      </w:pPr>
      <w:r w:rsidRPr="00935130">
        <w:rPr>
          <w:b/>
        </w:rPr>
        <w:t xml:space="preserve">4) </w:t>
      </w:r>
      <w:r w:rsidRPr="00935130">
        <w:t xml:space="preserve">que </w:t>
      </w:r>
      <w:r>
        <w:t>consta afectación</w:t>
      </w:r>
      <w:r w:rsidR="00B71DD9">
        <w:t xml:space="preserve"> Nº </w:t>
      </w:r>
      <w:r>
        <w:t xml:space="preserve">416 de fecha 29/9/18, por la suma de </w:t>
      </w:r>
      <w:r w:rsidR="00EE4E06">
        <w:t xml:space="preserve">$ 448.395, con cargo al Programa 440, Objeto de gasto 171 y 172, Financiamiento 12 Recursos con afectación especial, Ejercicio 2017; </w:t>
      </w:r>
    </w:p>
    <w:p w:rsidR="00B923D2" w:rsidRDefault="00EE4E06" w:rsidP="003D29DA">
      <w:pPr>
        <w:tabs>
          <w:tab w:val="left" w:pos="-720"/>
        </w:tabs>
        <w:suppressAutoHyphens/>
        <w:spacing w:line="360" w:lineRule="auto"/>
        <w:ind w:firstLine="2694"/>
        <w:jc w:val="both"/>
      </w:pPr>
      <w:r w:rsidRPr="00EE4E06">
        <w:rPr>
          <w:b/>
        </w:rPr>
        <w:t>5)</w:t>
      </w:r>
      <w:r>
        <w:t xml:space="preserve"> que </w:t>
      </w:r>
      <w:r w:rsidR="00935130" w:rsidRPr="00935130">
        <w:t>no consta resolució</w:t>
      </w:r>
      <w:r w:rsidR="00935130">
        <w:t>n del ordenador competente</w:t>
      </w:r>
      <w:r>
        <w:t xml:space="preserve">; </w:t>
      </w:r>
    </w:p>
    <w:p w:rsidR="00B923D2" w:rsidRDefault="00B923D2" w:rsidP="003D29DA">
      <w:pPr>
        <w:tabs>
          <w:tab w:val="left" w:pos="-720"/>
        </w:tabs>
        <w:suppressAutoHyphens/>
        <w:spacing w:line="360" w:lineRule="auto"/>
        <w:ind w:firstLine="851"/>
        <w:jc w:val="both"/>
        <w:rPr>
          <w:bCs/>
          <w:spacing w:val="-3"/>
          <w:lang w:val="es-ES_tradnl"/>
        </w:rPr>
      </w:pPr>
      <w:r>
        <w:rPr>
          <w:b/>
          <w:spacing w:val="-3"/>
        </w:rPr>
        <w:t>C</w:t>
      </w:r>
      <w:r>
        <w:rPr>
          <w:b/>
          <w:spacing w:val="-3"/>
          <w:lang w:val="es-ES_tradnl"/>
        </w:rPr>
        <w:t xml:space="preserve">ONSIDERANDO: </w:t>
      </w:r>
      <w:r>
        <w:rPr>
          <w:bCs/>
          <w:spacing w:val="-3"/>
          <w:lang w:val="es-ES_tradnl"/>
        </w:rPr>
        <w:t xml:space="preserve"> </w:t>
      </w:r>
      <w:r>
        <w:rPr>
          <w:b/>
          <w:bCs/>
          <w:spacing w:val="-3"/>
          <w:lang w:val="es-ES_tradnl"/>
        </w:rPr>
        <w:t xml:space="preserve">1) </w:t>
      </w:r>
      <w:r>
        <w:rPr>
          <w:bCs/>
          <w:spacing w:val="-3"/>
          <w:lang w:val="es-ES_tradnl"/>
        </w:rPr>
        <w:t xml:space="preserve">que por </w:t>
      </w:r>
      <w:r w:rsidR="007621EB">
        <w:rPr>
          <w:bCs/>
          <w:spacing w:val="-3"/>
          <w:lang w:val="es-ES_tradnl"/>
        </w:rPr>
        <w:t>R</w:t>
      </w:r>
      <w:r>
        <w:rPr>
          <w:bCs/>
          <w:spacing w:val="-3"/>
          <w:lang w:val="es-ES_tradnl"/>
        </w:rPr>
        <w:t>esolución de</w:t>
      </w:r>
      <w:r>
        <w:rPr>
          <w:b/>
          <w:spacing w:val="-3"/>
          <w:lang w:val="es-ES_tradnl"/>
        </w:rPr>
        <w:t xml:space="preserve"> </w:t>
      </w:r>
      <w:r>
        <w:rPr>
          <w:bCs/>
          <w:spacing w:val="-3"/>
          <w:lang w:val="es-ES_tradnl"/>
        </w:rPr>
        <w:t>fecha 18</w:t>
      </w:r>
      <w:r w:rsidR="0036208B">
        <w:rPr>
          <w:bCs/>
          <w:spacing w:val="-3"/>
          <w:lang w:val="es-ES_tradnl"/>
        </w:rPr>
        <w:t>/6/</w:t>
      </w:r>
      <w:r>
        <w:rPr>
          <w:bCs/>
          <w:spacing w:val="-3"/>
          <w:lang w:val="es-ES_tradnl"/>
        </w:rPr>
        <w:t>2008, en la redacción dada por el artículo 2 de la Resolución  del 23</w:t>
      </w:r>
      <w:r w:rsidR="0036208B">
        <w:rPr>
          <w:bCs/>
          <w:spacing w:val="-3"/>
          <w:lang w:val="es-ES_tradnl"/>
        </w:rPr>
        <w:t>/</w:t>
      </w:r>
      <w:r>
        <w:rPr>
          <w:bCs/>
          <w:spacing w:val="-3"/>
          <w:lang w:val="es-ES_tradnl"/>
        </w:rPr>
        <w:t>12</w:t>
      </w:r>
      <w:r w:rsidR="0036208B">
        <w:rPr>
          <w:bCs/>
          <w:spacing w:val="-3"/>
          <w:lang w:val="es-ES_tradnl"/>
        </w:rPr>
        <w:t>/</w:t>
      </w:r>
      <w:r>
        <w:rPr>
          <w:bCs/>
          <w:spacing w:val="-3"/>
          <w:lang w:val="es-ES_tradnl"/>
        </w:rPr>
        <w:t>2009, ambas del Tribunal de Cuentas ,</w:t>
      </w:r>
      <w:r w:rsidR="00B71DD9">
        <w:rPr>
          <w:bCs/>
          <w:spacing w:val="-3"/>
          <w:lang w:val="es-ES_tradnl"/>
        </w:rPr>
        <w:t xml:space="preserve"> </w:t>
      </w:r>
      <w:r>
        <w:rPr>
          <w:bCs/>
          <w:spacing w:val="-3"/>
          <w:lang w:val="es-ES_tradnl"/>
        </w:rPr>
        <w:t xml:space="preserve">se dispuso que se deben remitir al mismo, para su intervención, todos </w:t>
      </w:r>
      <w:r>
        <w:rPr>
          <w:bCs/>
          <w:spacing w:val="-3"/>
          <w:lang w:val="es-ES_tradnl"/>
        </w:rPr>
        <w:lastRenderedPageBreak/>
        <w:t>los gastos emergentes de transacciones  extrajudiciales y laudos  arbitrales, cualquiera sea su monto;</w:t>
      </w:r>
    </w:p>
    <w:p w:rsidR="003D29DA" w:rsidRDefault="00B923D2" w:rsidP="003D29DA">
      <w:pPr>
        <w:tabs>
          <w:tab w:val="left" w:pos="-720"/>
        </w:tabs>
        <w:suppressAutoHyphens/>
        <w:spacing w:line="360" w:lineRule="auto"/>
        <w:ind w:firstLine="2977"/>
        <w:jc w:val="both"/>
        <w:rPr>
          <w:bCs/>
          <w:spacing w:val="-3"/>
        </w:rPr>
      </w:pPr>
      <w:r>
        <w:rPr>
          <w:b/>
          <w:bCs/>
          <w:spacing w:val="-3"/>
          <w:lang w:val="es-ES_tradnl"/>
        </w:rPr>
        <w:t xml:space="preserve">2) </w:t>
      </w:r>
      <w:r w:rsidRPr="0011293A">
        <w:rPr>
          <w:bCs/>
          <w:spacing w:val="-3"/>
        </w:rPr>
        <w:t xml:space="preserve">que los aspectos que refieren a </w:t>
      </w:r>
      <w:r w:rsidR="0036208B">
        <w:rPr>
          <w:bCs/>
          <w:spacing w:val="-3"/>
        </w:rPr>
        <w:t xml:space="preserve">la </w:t>
      </w:r>
      <w:r w:rsidRPr="0011293A">
        <w:rPr>
          <w:bCs/>
          <w:spacing w:val="-3"/>
        </w:rPr>
        <w:t xml:space="preserve">oportunidad o conveniencia de la </w:t>
      </w:r>
      <w:r w:rsidR="0036208B">
        <w:rPr>
          <w:bCs/>
          <w:spacing w:val="-3"/>
        </w:rPr>
        <w:t>transacción</w:t>
      </w:r>
      <w:r w:rsidR="00B71DD9">
        <w:rPr>
          <w:bCs/>
          <w:spacing w:val="-3"/>
        </w:rPr>
        <w:t xml:space="preserve"> acordada</w:t>
      </w:r>
      <w:r w:rsidRPr="0011293A">
        <w:rPr>
          <w:bCs/>
          <w:spacing w:val="-3"/>
        </w:rPr>
        <w:t>, constituyen una cuestión de mérito cuya apreciación no encuadra en el ámbito de competencias de este Tribunal;</w:t>
      </w:r>
      <w:r w:rsidRPr="0011293A">
        <w:rPr>
          <w:bCs/>
          <w:spacing w:val="-3"/>
          <w:lang w:val="es-ES_tradnl"/>
        </w:rPr>
        <w:t xml:space="preserve">  </w:t>
      </w:r>
    </w:p>
    <w:p w:rsidR="00B923D2" w:rsidRPr="003D29DA" w:rsidRDefault="00B923D2" w:rsidP="003D29DA">
      <w:pPr>
        <w:tabs>
          <w:tab w:val="left" w:pos="-720"/>
        </w:tabs>
        <w:suppressAutoHyphens/>
        <w:spacing w:line="360" w:lineRule="auto"/>
        <w:ind w:firstLine="2977"/>
        <w:jc w:val="both"/>
        <w:rPr>
          <w:bCs/>
          <w:spacing w:val="-3"/>
        </w:rPr>
      </w:pPr>
      <w:r w:rsidRPr="00D954D8">
        <w:rPr>
          <w:b/>
          <w:bCs/>
          <w:spacing w:val="-3"/>
          <w:lang w:val="es-ES_tradnl"/>
        </w:rPr>
        <w:t>3)</w:t>
      </w:r>
      <w:r w:rsidRPr="00D954D8">
        <w:rPr>
          <w:bCs/>
          <w:spacing w:val="-3"/>
          <w:lang w:val="es-ES_tradnl"/>
        </w:rPr>
        <w:t xml:space="preserve"> que de acuerdo con lo previsto en el numeral 4º de la Ordenanza Nº 72, de 23</w:t>
      </w:r>
      <w:r w:rsidR="0036208B">
        <w:rPr>
          <w:bCs/>
          <w:spacing w:val="-3"/>
          <w:lang w:val="es-ES_tradnl"/>
        </w:rPr>
        <w:t>/</w:t>
      </w:r>
      <w:r w:rsidRPr="00D954D8">
        <w:rPr>
          <w:bCs/>
          <w:spacing w:val="-3"/>
          <w:lang w:val="es-ES_tradnl"/>
        </w:rPr>
        <w:t>5</w:t>
      </w:r>
      <w:r w:rsidR="0036208B">
        <w:rPr>
          <w:bCs/>
          <w:spacing w:val="-3"/>
          <w:lang w:val="es-ES_tradnl"/>
        </w:rPr>
        <w:t>/</w:t>
      </w:r>
      <w:r w:rsidRPr="00D954D8">
        <w:rPr>
          <w:bCs/>
          <w:spacing w:val="-3"/>
          <w:lang w:val="es-ES_tradnl"/>
        </w:rPr>
        <w:t>1996, se intervendrán conjuntamente con el pago los gastos cuyo monto no exceda el máximo fijado para la contratación directa ampliada</w:t>
      </w:r>
      <w:r>
        <w:rPr>
          <w:bCs/>
          <w:spacing w:val="-3"/>
          <w:lang w:val="es-ES_tradnl"/>
        </w:rPr>
        <w:t>;</w:t>
      </w:r>
    </w:p>
    <w:p w:rsidR="00B923D2" w:rsidRDefault="00B923D2" w:rsidP="003D29DA">
      <w:pPr>
        <w:tabs>
          <w:tab w:val="left" w:pos="-720"/>
        </w:tabs>
        <w:suppressAutoHyphens/>
        <w:spacing w:line="360" w:lineRule="auto"/>
        <w:ind w:firstLine="851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>ATENTO:</w:t>
      </w:r>
      <w:r>
        <w:rPr>
          <w:spacing w:val="-3"/>
          <w:lang w:val="es-ES_tradnl"/>
        </w:rPr>
        <w:t xml:space="preserve"> a lo precedentemente expuesto y a lo dispuesto por el artículo 211 literal B) de la Constitución</w:t>
      </w:r>
      <w:r w:rsidR="003D29DA">
        <w:rPr>
          <w:spacing w:val="-3"/>
          <w:lang w:val="es-ES_tradnl"/>
        </w:rPr>
        <w:t xml:space="preserve"> de la República</w:t>
      </w:r>
      <w:r>
        <w:rPr>
          <w:spacing w:val="-3"/>
          <w:lang w:val="es-ES_tradnl"/>
        </w:rPr>
        <w:t>;</w:t>
      </w:r>
    </w:p>
    <w:p w:rsidR="00B923D2" w:rsidRDefault="00B923D2" w:rsidP="00B923D2">
      <w:pPr>
        <w:rPr>
          <w:lang w:val="es-ES_tradnl"/>
        </w:rPr>
      </w:pPr>
    </w:p>
    <w:p w:rsidR="00B923D2" w:rsidRDefault="00B923D2" w:rsidP="00B923D2">
      <w:pPr>
        <w:pStyle w:val="Ttulo1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B923D2" w:rsidRDefault="00B923D2" w:rsidP="00B923D2"/>
    <w:p w:rsidR="00DD2F30" w:rsidRDefault="00EE4E06" w:rsidP="00B923D2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spacing w:val="-3"/>
          <w:lang w:val="es-ES_tradnl"/>
        </w:rPr>
        <w:t xml:space="preserve">Dictada la resolución por el ordenador competente, </w:t>
      </w:r>
      <w:r w:rsidR="00B71DD9">
        <w:rPr>
          <w:spacing w:val="-3"/>
          <w:lang w:val="es-ES_tradnl"/>
        </w:rPr>
        <w:t xml:space="preserve">se </w:t>
      </w:r>
      <w:r>
        <w:rPr>
          <w:spacing w:val="-3"/>
          <w:lang w:val="es-ES_tradnl"/>
        </w:rPr>
        <w:t>c</w:t>
      </w:r>
      <w:r w:rsidR="00B71DD9">
        <w:rPr>
          <w:spacing w:val="-3"/>
          <w:lang w:val="es-ES_tradnl"/>
        </w:rPr>
        <w:t>omete</w:t>
      </w:r>
      <w:r w:rsidR="00B923D2" w:rsidRPr="00DD2F30">
        <w:rPr>
          <w:spacing w:val="-3"/>
          <w:lang w:val="es-ES_tradnl"/>
        </w:rPr>
        <w:t xml:space="preserve"> a la Contadora Delegada</w:t>
      </w:r>
      <w:r>
        <w:rPr>
          <w:spacing w:val="-3"/>
          <w:lang w:val="es-ES_tradnl"/>
        </w:rPr>
        <w:t xml:space="preserve">,  </w:t>
      </w:r>
      <w:r w:rsidR="00B923D2" w:rsidRPr="00DD2F30">
        <w:rPr>
          <w:spacing w:val="-3"/>
          <w:lang w:val="es-ES_tradnl"/>
        </w:rPr>
        <w:t xml:space="preserve">la intervención del gasto de </w:t>
      </w:r>
      <w:r w:rsidR="00DD2F30">
        <w:t xml:space="preserve">$ </w:t>
      </w:r>
      <w:r>
        <w:t>448.395</w:t>
      </w:r>
      <w:r w:rsidR="00B923D2" w:rsidRPr="00DD2F30">
        <w:rPr>
          <w:spacing w:val="-3"/>
          <w:lang w:val="es-ES_tradnl"/>
        </w:rPr>
        <w:t xml:space="preserve"> conjuntamente con el pago, </w:t>
      </w:r>
      <w:r w:rsidR="00DD2F30" w:rsidRPr="00DD2F30">
        <w:rPr>
          <w:spacing w:val="-3"/>
          <w:lang w:val="es-ES_tradnl"/>
        </w:rPr>
        <w:t>previo control de su imputación con cargo a grupo adecuado con disponibilidad suficiente;</w:t>
      </w:r>
    </w:p>
    <w:p w:rsidR="00B71DD9" w:rsidRDefault="00B71DD9" w:rsidP="00B923D2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spacing w:val="-3"/>
          <w:lang w:val="es-ES_tradnl"/>
        </w:rPr>
        <w:t>Comunicar a la Contadora Delegada;</w:t>
      </w:r>
    </w:p>
    <w:p w:rsidR="00B923D2" w:rsidRPr="003D29DA" w:rsidRDefault="00B923D2" w:rsidP="003D29DA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 w:rsidRPr="00DD2F30">
        <w:rPr>
          <w:spacing w:val="-3"/>
          <w:lang w:val="es-ES_tradnl"/>
        </w:rPr>
        <w:t>Devolver las actuaciones</w:t>
      </w:r>
      <w:r w:rsidR="00B71DD9">
        <w:rPr>
          <w:spacing w:val="-3"/>
          <w:lang w:val="es-ES_tradnl"/>
        </w:rPr>
        <w:t xml:space="preserve"> al </w:t>
      </w:r>
      <w:r w:rsidR="00C86218">
        <w:rPr>
          <w:spacing w:val="-3"/>
          <w:lang w:val="es-ES_tradnl"/>
        </w:rPr>
        <w:t>O</w:t>
      </w:r>
      <w:r w:rsidR="00B71DD9">
        <w:rPr>
          <w:spacing w:val="-3"/>
          <w:lang w:val="es-ES_tradnl"/>
        </w:rPr>
        <w:t>rganismo actuante</w:t>
      </w:r>
      <w:r w:rsidRPr="00DD2F30">
        <w:rPr>
          <w:spacing w:val="-3"/>
          <w:lang w:val="es-ES_tradnl"/>
        </w:rPr>
        <w:t>.</w:t>
      </w:r>
    </w:p>
    <w:p w:rsidR="00B923D2" w:rsidRPr="003D29DA" w:rsidRDefault="003D29DA" w:rsidP="00B923D2">
      <w:pPr>
        <w:tabs>
          <w:tab w:val="left" w:pos="-720"/>
        </w:tabs>
        <w:suppressAutoHyphens/>
        <w:spacing w:line="360" w:lineRule="auto"/>
        <w:rPr>
          <w:spacing w:val="-3"/>
          <w:sz w:val="20"/>
          <w:szCs w:val="20"/>
          <w:lang w:val="es-ES_tradnl"/>
        </w:rPr>
      </w:pPr>
      <w:r>
        <w:rPr>
          <w:spacing w:val="-3"/>
          <w:sz w:val="20"/>
          <w:szCs w:val="20"/>
          <w:lang w:val="es-ES_tradnl"/>
        </w:rPr>
        <w:t>CLC</w:t>
      </w:r>
    </w:p>
    <w:sectPr w:rsidR="00B923D2" w:rsidRPr="003D29DA" w:rsidSect="00C84A1B">
      <w:headerReference w:type="default" r:id="rId8"/>
      <w:footerReference w:type="even" r:id="rId9"/>
      <w:footerReference w:type="default" r:id="rId10"/>
      <w:pgSz w:w="11907" w:h="16840" w:code="9"/>
      <w:pgMar w:top="3402" w:right="1701" w:bottom="1134" w:left="1701" w:header="0" w:footer="0" w:gutter="0"/>
      <w:paperSrc w:first="4" w:other="4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FA8" w:rsidRDefault="00D56FA8">
      <w:r>
        <w:separator/>
      </w:r>
    </w:p>
  </w:endnote>
  <w:endnote w:type="continuationSeparator" w:id="0">
    <w:p w:rsidR="00D56FA8" w:rsidRDefault="00D5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130" w:rsidRDefault="009351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5130" w:rsidRDefault="009351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130" w:rsidRDefault="009351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93FE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35130" w:rsidRDefault="009351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FA8" w:rsidRDefault="00D56FA8">
      <w:r>
        <w:separator/>
      </w:r>
    </w:p>
  </w:footnote>
  <w:footnote w:type="continuationSeparator" w:id="0">
    <w:p w:rsidR="00D56FA8" w:rsidRDefault="00D56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130" w:rsidRDefault="00935130">
    <w:pPr>
      <w:suppressAutoHyphens/>
      <w:jc w:val="both"/>
    </w:pP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081E24" wp14:editId="27792691">
              <wp:simplePos x="0" y="0"/>
              <wp:positionH relativeFrom="page">
                <wp:posOffset>1079500</wp:posOffset>
              </wp:positionH>
              <wp:positionV relativeFrom="paragraph">
                <wp:posOffset>0</wp:posOffset>
              </wp:positionV>
              <wp:extent cx="5356860" cy="152400"/>
              <wp:effectExtent l="3175" t="0" r="2540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568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35130" w:rsidRDefault="00935130">
                          <w:pPr>
                            <w:tabs>
                              <w:tab w:val="center" w:pos="4218"/>
                              <w:tab w:val="right" w:pos="8436"/>
                            </w:tabs>
                            <w:rPr>
                              <w:spacing w:val="-3"/>
                              <w:lang w:val="es-ES_tradnl"/>
                            </w:rPr>
                          </w:pP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left:0;text-align:left;margin-left:85pt;margin-top:0;width:421.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" o:allowincell="f" filled="f" stroked="f" strokeweight="0">
              <v:textbox inset="0,0,0,0">
                <w:txbxContent>
                  <w:p w:rsidR="005B5D91" w:rsidRDefault="0036208B">
                    <w:pPr>
                      <w:tabs>
                        <w:tab w:val="center" w:pos="4218"/>
                        <w:tab w:val="right" w:pos="8436"/>
                      </w:tabs>
                      <w:rPr>
                        <w:spacing w:val="-3"/>
                        <w:lang w:val="es-ES_tradnl"/>
                      </w:rPr>
                    </w:pPr>
                    <w:r>
                      <w:tab/>
                    </w:r>
                    <w: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  <w:p w:rsidR="00935130" w:rsidRDefault="00935130">
    <w:pPr>
      <w:suppressAutoHyphens/>
      <w:spacing w:after="140" w:line="100" w:lineRule="exact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C3D03"/>
    <w:multiLevelType w:val="singleLevel"/>
    <w:tmpl w:val="AEDA80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D2"/>
    <w:rsid w:val="0036208B"/>
    <w:rsid w:val="003D29DA"/>
    <w:rsid w:val="00510792"/>
    <w:rsid w:val="00651240"/>
    <w:rsid w:val="006B00D3"/>
    <w:rsid w:val="007621EB"/>
    <w:rsid w:val="008E3F30"/>
    <w:rsid w:val="00935130"/>
    <w:rsid w:val="00993FEE"/>
    <w:rsid w:val="00A531FF"/>
    <w:rsid w:val="00B71DD9"/>
    <w:rsid w:val="00B923D2"/>
    <w:rsid w:val="00C84A1B"/>
    <w:rsid w:val="00C86218"/>
    <w:rsid w:val="00D00C21"/>
    <w:rsid w:val="00D556C9"/>
    <w:rsid w:val="00D56FA8"/>
    <w:rsid w:val="00D96E59"/>
    <w:rsid w:val="00DD2F30"/>
    <w:rsid w:val="00E21B0B"/>
    <w:rsid w:val="00E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3D2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B923D2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B923D2"/>
    <w:rPr>
      <w:rFonts w:ascii="Arial" w:hAnsi="Arial"/>
      <w:b/>
      <w:spacing w:val="-3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semiHidden/>
    <w:rsid w:val="00B923D2"/>
    <w:pPr>
      <w:widowControl w:val="0"/>
      <w:tabs>
        <w:tab w:val="center" w:pos="4252"/>
        <w:tab w:val="right" w:pos="8504"/>
      </w:tabs>
    </w:pPr>
    <w:rPr>
      <w:rFonts w:ascii="Courier New" w:hAnsi="Courier New"/>
      <w:snapToGrid w:val="0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B923D2"/>
    <w:rPr>
      <w:rFonts w:ascii="Courier New" w:hAnsi="Courier New"/>
      <w:snapToGrid w:val="0"/>
      <w:sz w:val="24"/>
      <w:lang w:eastAsia="es-ES"/>
    </w:rPr>
  </w:style>
  <w:style w:type="character" w:styleId="Nmerodepgina">
    <w:name w:val="page number"/>
    <w:basedOn w:val="Fuentedeprrafopredeter"/>
    <w:semiHidden/>
    <w:rsid w:val="00B923D2"/>
  </w:style>
  <w:style w:type="paragraph" w:styleId="Textoindependiente">
    <w:name w:val="Body Text"/>
    <w:basedOn w:val="Normal"/>
    <w:link w:val="TextoindependienteCar"/>
    <w:semiHidden/>
    <w:rsid w:val="00B923D2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B923D2"/>
    <w:rPr>
      <w:rFonts w:ascii="Arial" w:hAnsi="Arial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B923D2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923D2"/>
    <w:rPr>
      <w:rFonts w:ascii="Arial" w:hAnsi="Arial"/>
      <w:spacing w:val="-3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A531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31FF"/>
    <w:rPr>
      <w:rFonts w:ascii="Arial" w:hAnsi="Arial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3D2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B923D2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B923D2"/>
    <w:rPr>
      <w:rFonts w:ascii="Arial" w:hAnsi="Arial"/>
      <w:b/>
      <w:spacing w:val="-3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semiHidden/>
    <w:rsid w:val="00B923D2"/>
    <w:pPr>
      <w:widowControl w:val="0"/>
      <w:tabs>
        <w:tab w:val="center" w:pos="4252"/>
        <w:tab w:val="right" w:pos="8504"/>
      </w:tabs>
    </w:pPr>
    <w:rPr>
      <w:rFonts w:ascii="Courier New" w:hAnsi="Courier New"/>
      <w:snapToGrid w:val="0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B923D2"/>
    <w:rPr>
      <w:rFonts w:ascii="Courier New" w:hAnsi="Courier New"/>
      <w:snapToGrid w:val="0"/>
      <w:sz w:val="24"/>
      <w:lang w:eastAsia="es-ES"/>
    </w:rPr>
  </w:style>
  <w:style w:type="character" w:styleId="Nmerodepgina">
    <w:name w:val="page number"/>
    <w:basedOn w:val="Fuentedeprrafopredeter"/>
    <w:semiHidden/>
    <w:rsid w:val="00B923D2"/>
  </w:style>
  <w:style w:type="paragraph" w:styleId="Textoindependiente">
    <w:name w:val="Body Text"/>
    <w:basedOn w:val="Normal"/>
    <w:link w:val="TextoindependienteCar"/>
    <w:semiHidden/>
    <w:rsid w:val="00B923D2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B923D2"/>
    <w:rPr>
      <w:rFonts w:ascii="Arial" w:hAnsi="Arial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B923D2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923D2"/>
    <w:rPr>
      <w:rFonts w:ascii="Arial" w:hAnsi="Arial"/>
      <w:spacing w:val="-3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A531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31FF"/>
    <w:rPr>
      <w:rFonts w:ascii="Arial" w:hAnsi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2018-02-26T14:35:00Z</cp:lastPrinted>
  <dcterms:created xsi:type="dcterms:W3CDTF">2018-02-26T14:31:00Z</dcterms:created>
  <dcterms:modified xsi:type="dcterms:W3CDTF">2018-02-26T14:55:00Z</dcterms:modified>
</cp:coreProperties>
</file>