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09" w:rsidRPr="00435509" w:rsidRDefault="00435509" w:rsidP="00435509">
      <w:pPr>
        <w:tabs>
          <w:tab w:val="center" w:pos="4253"/>
        </w:tabs>
        <w:suppressAutoHyphens/>
        <w:spacing w:after="0" w:line="360" w:lineRule="auto"/>
        <w:jc w:val="right"/>
        <w:rPr>
          <w:rFonts w:cs="Arial"/>
          <w:b/>
          <w:szCs w:val="24"/>
          <w:lang w:val="es-ES_tradnl"/>
        </w:rPr>
      </w:pPr>
      <w:bookmarkStart w:id="0" w:name="_GoBack"/>
      <w:bookmarkEnd w:id="0"/>
      <w:proofErr w:type="spellStart"/>
      <w:r w:rsidRPr="00435509">
        <w:rPr>
          <w:rFonts w:cs="Arial"/>
          <w:b/>
          <w:szCs w:val="24"/>
          <w:lang w:val="es-ES_tradnl"/>
        </w:rPr>
        <w:t>RES.Nº</w:t>
      </w:r>
      <w:proofErr w:type="spellEnd"/>
      <w:r w:rsidRPr="00435509">
        <w:rPr>
          <w:rFonts w:cs="Arial"/>
          <w:b/>
          <w:szCs w:val="24"/>
          <w:lang w:val="es-ES_tradnl"/>
        </w:rPr>
        <w:t xml:space="preserve"> </w:t>
      </w:r>
      <w:r w:rsidR="00A65FF5">
        <w:rPr>
          <w:rFonts w:cs="Arial"/>
          <w:b/>
          <w:szCs w:val="24"/>
          <w:lang w:val="es-ES_tradnl"/>
        </w:rPr>
        <w:t>421</w:t>
      </w:r>
      <w:r w:rsidRPr="00435509">
        <w:rPr>
          <w:rFonts w:cs="Arial"/>
          <w:b/>
          <w:szCs w:val="24"/>
          <w:lang w:val="es-ES_tradnl"/>
        </w:rPr>
        <w:t>/18</w:t>
      </w: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>RESOLUCION ADOPTADA POR EL</w:t>
      </w:r>
    </w:p>
    <w:p w:rsidR="00435509" w:rsidRPr="004746D1" w:rsidRDefault="00435509" w:rsidP="00435509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>TRIBUNAL DE CUENTAS</w:t>
      </w:r>
    </w:p>
    <w:p w:rsidR="00435509" w:rsidRPr="004746D1" w:rsidRDefault="00435509" w:rsidP="00435509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 w:rsidRPr="004746D1">
        <w:rPr>
          <w:rFonts w:cs="Arial"/>
          <w:b/>
          <w:szCs w:val="24"/>
          <w:lang w:val="es-ES_tradnl"/>
        </w:rPr>
        <w:t xml:space="preserve">EN SESION DE FECHA </w:t>
      </w:r>
      <w:r>
        <w:rPr>
          <w:rFonts w:cs="Arial"/>
          <w:b/>
          <w:szCs w:val="24"/>
          <w:lang w:val="es-ES_tradnl"/>
        </w:rPr>
        <w:t xml:space="preserve">31 </w:t>
      </w:r>
      <w:r w:rsidRPr="00A03CC2">
        <w:rPr>
          <w:rFonts w:cs="Arial"/>
          <w:b/>
          <w:szCs w:val="24"/>
          <w:lang w:val="es-ES_tradnl"/>
        </w:rPr>
        <w:t xml:space="preserve">DE </w:t>
      </w:r>
      <w:r>
        <w:rPr>
          <w:rFonts w:cs="Arial"/>
          <w:b/>
          <w:szCs w:val="24"/>
          <w:lang w:val="es-ES_tradnl"/>
        </w:rPr>
        <w:t>ENERO</w:t>
      </w:r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szCs w:val="24"/>
          <w:lang w:val="es-ES_tradnl"/>
        </w:rPr>
        <w:t>DE 2018</w:t>
      </w: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  <w:lang w:val="es-ES_tradnl"/>
        </w:rPr>
        <w:t>(</w:t>
      </w:r>
      <w:proofErr w:type="spellStart"/>
      <w:r>
        <w:rPr>
          <w:rFonts w:cs="Arial"/>
          <w:b/>
          <w:szCs w:val="24"/>
          <w:lang w:val="es-ES_tradnl"/>
        </w:rPr>
        <w:t>E.E.Nº</w:t>
      </w:r>
      <w:proofErr w:type="spellEnd"/>
      <w:r>
        <w:rPr>
          <w:rFonts w:cs="Arial"/>
          <w:b/>
          <w:szCs w:val="24"/>
          <w:lang w:val="es-ES_tradnl"/>
        </w:rPr>
        <w:t xml:space="preserve"> 2017-17-1-0008276</w:t>
      </w:r>
      <w:r w:rsidRPr="004746D1">
        <w:rPr>
          <w:rFonts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cs="Arial"/>
          <w:b/>
          <w:szCs w:val="24"/>
          <w:lang w:val="es-ES_tradnl"/>
        </w:rPr>
        <w:t>E</w:t>
      </w:r>
      <w:r>
        <w:rPr>
          <w:rFonts w:cs="Arial"/>
          <w:b/>
          <w:szCs w:val="24"/>
          <w:lang w:val="es-ES_tradnl"/>
        </w:rPr>
        <w:t>nt</w:t>
      </w:r>
      <w:r w:rsidRPr="004746D1">
        <w:rPr>
          <w:rFonts w:cs="Arial"/>
          <w:b/>
          <w:szCs w:val="24"/>
          <w:lang w:val="es-ES_tradnl"/>
        </w:rPr>
        <w:t>.</w:t>
      </w:r>
      <w:r>
        <w:rPr>
          <w:rFonts w:cs="Arial"/>
          <w:b/>
          <w:szCs w:val="24"/>
          <w:lang w:val="es-ES_tradnl"/>
        </w:rPr>
        <w:t>N°</w:t>
      </w:r>
      <w:proofErr w:type="spellEnd"/>
      <w:r>
        <w:rPr>
          <w:rFonts w:cs="Arial"/>
          <w:b/>
          <w:szCs w:val="24"/>
          <w:lang w:val="es-ES_tradnl"/>
        </w:rPr>
        <w:t xml:space="preserve"> 6821</w:t>
      </w:r>
      <w:r w:rsidRPr="004746D1">
        <w:rPr>
          <w:rFonts w:cs="Arial"/>
          <w:b/>
          <w:szCs w:val="24"/>
          <w:lang w:val="es-ES_tradnl"/>
        </w:rPr>
        <w:t>/</w:t>
      </w:r>
      <w:r>
        <w:rPr>
          <w:rFonts w:cs="Arial"/>
          <w:b/>
          <w:szCs w:val="24"/>
          <w:lang w:val="es-ES_tradnl"/>
        </w:rPr>
        <w:t>17</w:t>
      </w:r>
      <w:r w:rsidRPr="004746D1">
        <w:rPr>
          <w:rFonts w:cs="Arial"/>
          <w:b/>
          <w:szCs w:val="24"/>
          <w:lang w:val="es-ES_tradnl"/>
        </w:rPr>
        <w:t>)</w:t>
      </w:r>
    </w:p>
    <w:p w:rsidR="00435509" w:rsidRPr="004746D1" w:rsidRDefault="00435509" w:rsidP="00435509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spacing w:val="-3"/>
          <w:szCs w:val="24"/>
          <w:lang w:val="es-ES_tradnl"/>
        </w:rPr>
      </w:pPr>
    </w:p>
    <w:p w:rsidR="00B5100B" w:rsidRPr="000E6074" w:rsidRDefault="00B5100B" w:rsidP="00435509">
      <w:pPr>
        <w:tabs>
          <w:tab w:val="left" w:pos="-720"/>
        </w:tabs>
        <w:suppressAutoHyphens/>
        <w:spacing w:after="0" w:line="360" w:lineRule="auto"/>
        <w:ind w:firstLine="709"/>
        <w:rPr>
          <w:rFonts w:cs="Arial"/>
          <w:spacing w:val="-3"/>
          <w:lang w:val="es-ES_tradnl"/>
        </w:rPr>
      </w:pPr>
      <w:r w:rsidRPr="000E6074">
        <w:rPr>
          <w:rFonts w:cs="Arial"/>
          <w:b/>
          <w:spacing w:val="-3"/>
          <w:lang w:val="es-ES_tradnl"/>
        </w:rPr>
        <w:t>VISTO:</w:t>
      </w:r>
      <w:r w:rsidRPr="000E6074">
        <w:rPr>
          <w:rFonts w:cs="Arial"/>
          <w:spacing w:val="-3"/>
          <w:lang w:val="es-ES_tradnl"/>
        </w:rPr>
        <w:t xml:space="preserve"> </w:t>
      </w:r>
      <w:r>
        <w:rPr>
          <w:rFonts w:cs="Arial"/>
          <w:spacing w:val="-3"/>
          <w:lang w:val="es-ES_tradnl"/>
        </w:rPr>
        <w:t xml:space="preserve">estas actuaciones remitidas por el </w:t>
      </w:r>
      <w:r w:rsidRPr="000E6074">
        <w:rPr>
          <w:rFonts w:cs="Arial"/>
          <w:spacing w:val="-3"/>
          <w:lang w:val="es-ES_tradnl"/>
        </w:rPr>
        <w:t>Banco de la República Oriental del Uruguay (BROU)</w:t>
      </w:r>
      <w:r w:rsidR="00435509">
        <w:rPr>
          <w:rFonts w:cs="Arial"/>
          <w:spacing w:val="-3"/>
          <w:lang w:val="es-ES_tradnl"/>
        </w:rPr>
        <w:t>,</w:t>
      </w:r>
      <w:r>
        <w:rPr>
          <w:rFonts w:cs="Arial"/>
          <w:spacing w:val="-3"/>
          <w:lang w:val="es-ES_tradnl"/>
        </w:rPr>
        <w:t xml:space="preserve"> relacionadas con la </w:t>
      </w:r>
      <w:r w:rsidR="00E108C6">
        <w:rPr>
          <w:rFonts w:cs="Arial"/>
          <w:spacing w:val="-3"/>
          <w:lang w:val="es-ES_tradnl"/>
        </w:rPr>
        <w:t>solicitud de aprobación por parte del Tribunal de Cuentas</w:t>
      </w:r>
      <w:r w:rsidR="00762C4A">
        <w:rPr>
          <w:rFonts w:cs="Arial"/>
          <w:spacing w:val="-3"/>
          <w:lang w:val="es-ES_tradnl"/>
        </w:rPr>
        <w:t>,</w:t>
      </w:r>
      <w:r w:rsidR="00E108C6">
        <w:rPr>
          <w:rFonts w:cs="Arial"/>
          <w:spacing w:val="-3"/>
          <w:lang w:val="es-ES_tradnl"/>
        </w:rPr>
        <w:t xml:space="preserve"> de las medidas transitorias respecto a los gastos con rendición de cuentas y </w:t>
      </w:r>
      <w:r w:rsidR="00033569">
        <w:rPr>
          <w:rFonts w:cs="Arial"/>
          <w:spacing w:val="-3"/>
          <w:lang w:val="es-ES_tradnl"/>
        </w:rPr>
        <w:t>su</w:t>
      </w:r>
      <w:r w:rsidR="00E108C6">
        <w:rPr>
          <w:rFonts w:cs="Arial"/>
          <w:spacing w:val="-3"/>
          <w:lang w:val="es-ES_tradnl"/>
        </w:rPr>
        <w:t xml:space="preserve"> intervención </w:t>
      </w:r>
      <w:r w:rsidR="00033569">
        <w:rPr>
          <w:rFonts w:cs="Arial"/>
          <w:spacing w:val="-3"/>
          <w:lang w:val="es-ES_tradnl"/>
        </w:rPr>
        <w:t xml:space="preserve">por parte de los </w:t>
      </w:r>
      <w:r w:rsidR="00435509">
        <w:rPr>
          <w:rFonts w:cs="Arial"/>
          <w:spacing w:val="-3"/>
          <w:lang w:val="es-ES_tradnl"/>
        </w:rPr>
        <w:t>C</w:t>
      </w:r>
      <w:r w:rsidR="00033569">
        <w:rPr>
          <w:rFonts w:cs="Arial"/>
          <w:spacing w:val="-3"/>
          <w:lang w:val="es-ES_tradnl"/>
        </w:rPr>
        <w:t xml:space="preserve">ontadores </w:t>
      </w:r>
      <w:r w:rsidR="00435509">
        <w:rPr>
          <w:rFonts w:cs="Arial"/>
          <w:spacing w:val="-3"/>
          <w:lang w:val="es-ES_tradnl"/>
        </w:rPr>
        <w:t>D</w:t>
      </w:r>
      <w:r w:rsidR="00033569">
        <w:rPr>
          <w:rFonts w:cs="Arial"/>
          <w:spacing w:val="-3"/>
          <w:lang w:val="es-ES_tradnl"/>
        </w:rPr>
        <w:t xml:space="preserve">elegados, </w:t>
      </w:r>
      <w:r w:rsidR="00E108C6">
        <w:rPr>
          <w:rFonts w:cs="Arial"/>
          <w:spacing w:val="-3"/>
          <w:lang w:val="es-ES_tradnl"/>
        </w:rPr>
        <w:t xml:space="preserve">al poner en producción </w:t>
      </w:r>
      <w:r w:rsidR="00033569">
        <w:rPr>
          <w:rFonts w:cs="Arial"/>
          <w:spacing w:val="-3"/>
          <w:lang w:val="es-ES_tradnl"/>
        </w:rPr>
        <w:t>el</w:t>
      </w:r>
      <w:r w:rsidR="00E108C6">
        <w:rPr>
          <w:rFonts w:cs="Arial"/>
          <w:spacing w:val="-3"/>
          <w:lang w:val="es-ES_tradnl"/>
        </w:rPr>
        <w:t xml:space="preserve"> Sistema  Integral de </w:t>
      </w:r>
      <w:r w:rsidR="00033569">
        <w:rPr>
          <w:rFonts w:cs="Arial"/>
          <w:spacing w:val="-3"/>
          <w:lang w:val="es-ES_tradnl"/>
        </w:rPr>
        <w:t>Ejecución</w:t>
      </w:r>
      <w:r w:rsidR="00E108C6">
        <w:rPr>
          <w:rFonts w:cs="Arial"/>
          <w:spacing w:val="-3"/>
          <w:lang w:val="es-ES_tradnl"/>
        </w:rPr>
        <w:t xml:space="preserve"> Presupuestal </w:t>
      </w:r>
      <w:r w:rsidR="00435509">
        <w:rPr>
          <w:rFonts w:cs="Arial"/>
          <w:spacing w:val="-3"/>
          <w:lang w:val="es-ES_tradnl"/>
        </w:rPr>
        <w:t>(SIEP)</w:t>
      </w:r>
      <w:r>
        <w:rPr>
          <w:rFonts w:cs="Arial"/>
          <w:spacing w:val="-3"/>
          <w:lang w:val="es-ES_tradnl"/>
        </w:rPr>
        <w:t>;</w:t>
      </w:r>
    </w:p>
    <w:p w:rsidR="00435509" w:rsidRDefault="00312A29" w:rsidP="00435509">
      <w:pPr>
        <w:tabs>
          <w:tab w:val="left" w:pos="-720"/>
        </w:tabs>
        <w:suppressAutoHyphens/>
        <w:spacing w:after="0" w:line="360" w:lineRule="auto"/>
        <w:ind w:firstLine="709"/>
        <w:rPr>
          <w:rFonts w:cs="Arial"/>
          <w:spacing w:val="-3"/>
          <w:lang w:val="es-ES_tradnl"/>
        </w:rPr>
      </w:pPr>
      <w:r w:rsidRPr="000E6074">
        <w:rPr>
          <w:rFonts w:cs="Arial"/>
          <w:b/>
          <w:spacing w:val="-3"/>
          <w:lang w:val="es-ES_tradnl"/>
        </w:rPr>
        <w:t>RESULTANDO:</w:t>
      </w:r>
      <w:r w:rsidRPr="000E6074">
        <w:rPr>
          <w:rFonts w:cs="Arial"/>
          <w:spacing w:val="-3"/>
          <w:lang w:val="es-ES_tradnl"/>
        </w:rPr>
        <w:t xml:space="preserve"> </w:t>
      </w:r>
      <w:r w:rsidRPr="0039565D">
        <w:rPr>
          <w:rFonts w:cs="Arial"/>
          <w:b/>
          <w:spacing w:val="-3"/>
          <w:lang w:val="es-ES_tradnl"/>
        </w:rPr>
        <w:t>1</w:t>
      </w:r>
      <w:r w:rsidR="00435509">
        <w:rPr>
          <w:rFonts w:cs="Arial"/>
          <w:b/>
          <w:spacing w:val="-3"/>
          <w:lang w:val="es-ES_tradnl"/>
        </w:rPr>
        <w:t>)</w:t>
      </w:r>
      <w:r w:rsidR="00435509">
        <w:rPr>
          <w:rFonts w:cs="Arial"/>
          <w:spacing w:val="-3"/>
          <w:lang w:val="es-ES_tradnl"/>
        </w:rPr>
        <w:t xml:space="preserve"> que por N</w:t>
      </w:r>
      <w:r>
        <w:rPr>
          <w:rFonts w:cs="Arial"/>
          <w:spacing w:val="-3"/>
          <w:lang w:val="es-ES_tradnl"/>
        </w:rPr>
        <w:t>otas de fecha</w:t>
      </w:r>
      <w:r w:rsidR="00435509">
        <w:rPr>
          <w:rFonts w:cs="Arial"/>
          <w:spacing w:val="-3"/>
          <w:lang w:val="es-ES_tradnl"/>
        </w:rPr>
        <w:t>s 10/10/17 y 20/12/</w:t>
      </w:r>
      <w:r>
        <w:rPr>
          <w:rFonts w:cs="Arial"/>
          <w:spacing w:val="-3"/>
          <w:lang w:val="es-ES_tradnl"/>
        </w:rPr>
        <w:t>17</w:t>
      </w:r>
      <w:r w:rsidR="00435509">
        <w:rPr>
          <w:rFonts w:cs="Arial"/>
          <w:spacing w:val="-3"/>
          <w:lang w:val="es-ES_tradnl"/>
        </w:rPr>
        <w:t>,</w:t>
      </w:r>
      <w:r>
        <w:rPr>
          <w:rFonts w:cs="Arial"/>
          <w:spacing w:val="-3"/>
          <w:lang w:val="es-ES_tradnl"/>
        </w:rPr>
        <w:t xml:space="preserve"> el BROU expresa que el SIEP </w:t>
      </w:r>
      <w:r w:rsidR="00A22D05">
        <w:rPr>
          <w:rFonts w:cs="Arial"/>
          <w:spacing w:val="-3"/>
          <w:lang w:val="es-ES_tradnl"/>
        </w:rPr>
        <w:t>“</w:t>
      </w:r>
      <w:r w:rsidRPr="00033569">
        <w:rPr>
          <w:rFonts w:cs="Arial"/>
          <w:spacing w:val="-3"/>
          <w:lang w:val="es-ES_tradnl"/>
        </w:rPr>
        <w:t>contempla el escaneo de la documentación original, con excepción de los gastos con rendición de cuentas, entre los que se incluyen los Fondos Permanentes</w:t>
      </w:r>
      <w:r w:rsidR="00A22D05">
        <w:rPr>
          <w:rFonts w:cs="Arial"/>
          <w:spacing w:val="-3"/>
          <w:lang w:val="es-ES_tradnl"/>
        </w:rPr>
        <w:t>”</w:t>
      </w:r>
      <w:r>
        <w:rPr>
          <w:rFonts w:cs="Arial"/>
          <w:spacing w:val="-3"/>
          <w:lang w:val="es-ES_tradnl"/>
        </w:rPr>
        <w:t>;</w:t>
      </w:r>
    </w:p>
    <w:p w:rsidR="00435509" w:rsidRDefault="00435509" w:rsidP="00435509">
      <w:pPr>
        <w:tabs>
          <w:tab w:val="left" w:pos="-720"/>
        </w:tabs>
        <w:suppressAutoHyphens/>
        <w:spacing w:after="0" w:line="360" w:lineRule="auto"/>
        <w:ind w:firstLine="2410"/>
        <w:rPr>
          <w:rFonts w:cs="Arial"/>
          <w:spacing w:val="-3"/>
          <w:lang w:val="es-ES_tradnl"/>
        </w:rPr>
      </w:pPr>
      <w:r>
        <w:rPr>
          <w:rFonts w:cs="Arial"/>
          <w:b/>
          <w:spacing w:val="-3"/>
          <w:lang w:val="es-ES_tradnl"/>
        </w:rPr>
        <w:t>2</w:t>
      </w:r>
      <w:r w:rsidR="00312A29" w:rsidRPr="0039565D">
        <w:rPr>
          <w:rFonts w:cs="Arial"/>
          <w:b/>
          <w:spacing w:val="-3"/>
          <w:lang w:val="es-ES_tradnl"/>
        </w:rPr>
        <w:t>)</w:t>
      </w:r>
      <w:r w:rsidR="00312A29">
        <w:rPr>
          <w:rFonts w:cs="Arial"/>
          <w:spacing w:val="-3"/>
          <w:lang w:val="es-ES_tradnl"/>
        </w:rPr>
        <w:t xml:space="preserve"> que para </w:t>
      </w:r>
      <w:r w:rsidR="006D56DD">
        <w:rPr>
          <w:rFonts w:cs="Arial"/>
          <w:spacing w:val="-3"/>
          <w:lang w:val="es-ES_tradnl"/>
        </w:rPr>
        <w:t>“</w:t>
      </w:r>
      <w:r w:rsidR="00312A29">
        <w:rPr>
          <w:rFonts w:cs="Arial"/>
          <w:spacing w:val="-3"/>
          <w:lang w:val="es-ES_tradnl"/>
        </w:rPr>
        <w:t xml:space="preserve">los gastos con rendición de cuentas se analizarán los ajustes </w:t>
      </w:r>
      <w:r w:rsidR="00460B75">
        <w:rPr>
          <w:rFonts w:cs="Arial"/>
          <w:spacing w:val="-3"/>
          <w:lang w:val="es-ES_tradnl"/>
        </w:rPr>
        <w:t xml:space="preserve">necesarios a la programación, a efectos de </w:t>
      </w:r>
      <w:proofErr w:type="spellStart"/>
      <w:r w:rsidR="00460B75">
        <w:rPr>
          <w:rFonts w:cs="Arial"/>
          <w:spacing w:val="-3"/>
          <w:lang w:val="es-ES_tradnl"/>
        </w:rPr>
        <w:t>disponiblilizar</w:t>
      </w:r>
      <w:proofErr w:type="spellEnd"/>
      <w:r w:rsidR="00460B75">
        <w:rPr>
          <w:rFonts w:cs="Arial"/>
          <w:spacing w:val="-3"/>
          <w:lang w:val="es-ES_tradnl"/>
        </w:rPr>
        <w:t xml:space="preserve"> la documentación de cada línea en una etapa posterior</w:t>
      </w:r>
      <w:r>
        <w:rPr>
          <w:rFonts w:cs="Arial"/>
          <w:spacing w:val="-3"/>
          <w:lang w:val="es-ES_tradnl"/>
        </w:rPr>
        <w:t>,</w:t>
      </w:r>
      <w:r w:rsidR="00460B75">
        <w:rPr>
          <w:rFonts w:cs="Arial"/>
          <w:spacing w:val="-3"/>
          <w:lang w:val="es-ES_tradnl"/>
        </w:rPr>
        <w:t xml:space="preserve"> informándose al Tribunal de Cuentas los avances del tema. H</w:t>
      </w:r>
      <w:r w:rsidR="00312A29">
        <w:rPr>
          <w:rFonts w:cs="Arial"/>
          <w:spacing w:val="-3"/>
          <w:lang w:val="es-ES_tradnl"/>
        </w:rPr>
        <w:t xml:space="preserve">asta </w:t>
      </w:r>
      <w:r w:rsidR="00312A29" w:rsidRPr="00033569">
        <w:rPr>
          <w:rFonts w:cs="Arial"/>
          <w:spacing w:val="-3"/>
          <w:lang w:val="es-ES_tradnl"/>
        </w:rPr>
        <w:t>tanto no se disponga de la solución informátic</w:t>
      </w:r>
      <w:r>
        <w:rPr>
          <w:rFonts w:cs="Arial"/>
          <w:spacing w:val="-3"/>
          <w:lang w:val="es-ES_tradnl"/>
        </w:rPr>
        <w:t xml:space="preserve">a, se instrumentará un control </w:t>
      </w:r>
      <w:r w:rsidR="00C2701F">
        <w:rPr>
          <w:rFonts w:cs="Arial"/>
          <w:spacing w:val="-3"/>
          <w:lang w:val="es-ES_tradnl"/>
        </w:rPr>
        <w:t xml:space="preserve">ex </w:t>
      </w:r>
      <w:r w:rsidR="00312A29" w:rsidRPr="00033569">
        <w:rPr>
          <w:rFonts w:cs="Arial"/>
          <w:spacing w:val="-3"/>
          <w:lang w:val="es-ES_tradnl"/>
        </w:rPr>
        <w:t>post mensual por muestreo de la documentación original</w:t>
      </w:r>
      <w:r w:rsidR="006D56DD">
        <w:rPr>
          <w:rFonts w:cs="Arial"/>
          <w:spacing w:val="-3"/>
          <w:lang w:val="es-ES_tradnl"/>
        </w:rPr>
        <w:t>”</w:t>
      </w:r>
      <w:r w:rsidR="00312A29">
        <w:rPr>
          <w:rFonts w:cs="Arial"/>
          <w:spacing w:val="-3"/>
          <w:lang w:val="es-ES_tradnl"/>
        </w:rPr>
        <w:t>;</w:t>
      </w:r>
    </w:p>
    <w:p w:rsidR="00B5100B" w:rsidRPr="00A22D05" w:rsidRDefault="00312A29" w:rsidP="00435509">
      <w:pPr>
        <w:tabs>
          <w:tab w:val="left" w:pos="-720"/>
        </w:tabs>
        <w:suppressAutoHyphens/>
        <w:spacing w:after="0" w:line="360" w:lineRule="auto"/>
        <w:ind w:firstLine="2410"/>
        <w:rPr>
          <w:rFonts w:cs="Arial"/>
          <w:spacing w:val="-3"/>
          <w:lang w:val="es-ES_tradnl"/>
        </w:rPr>
      </w:pPr>
      <w:r w:rsidRPr="0039565D">
        <w:rPr>
          <w:rFonts w:cs="Arial"/>
          <w:b/>
          <w:spacing w:val="-3"/>
          <w:lang w:val="es-ES_tradnl"/>
        </w:rPr>
        <w:t>3)</w:t>
      </w:r>
      <w:r>
        <w:rPr>
          <w:rFonts w:cs="Arial"/>
          <w:spacing w:val="-3"/>
          <w:lang w:val="es-ES_tradnl"/>
        </w:rPr>
        <w:t xml:space="preserve"> que e</w:t>
      </w:r>
      <w:r w:rsidRPr="00033569">
        <w:rPr>
          <w:rFonts w:cs="Arial"/>
          <w:spacing w:val="-3"/>
          <w:lang w:val="es-ES_tradnl"/>
        </w:rPr>
        <w:t xml:space="preserve">l </w:t>
      </w:r>
      <w:r w:rsidR="006D56DD">
        <w:rPr>
          <w:rFonts w:cs="Arial"/>
          <w:spacing w:val="-3"/>
          <w:lang w:val="es-ES_tradnl"/>
        </w:rPr>
        <w:t>“</w:t>
      </w:r>
      <w:r w:rsidRPr="00033569">
        <w:rPr>
          <w:rFonts w:cs="Arial"/>
          <w:spacing w:val="-3"/>
          <w:lang w:val="es-ES_tradnl"/>
        </w:rPr>
        <w:t xml:space="preserve">Departamento de Gestión Presupuestal requerirá, en forma mensual, a tres o cuatro dependencias que remitan la </w:t>
      </w:r>
      <w:proofErr w:type="gramStart"/>
      <w:r w:rsidRPr="00033569">
        <w:rPr>
          <w:rFonts w:cs="Arial"/>
          <w:spacing w:val="-3"/>
          <w:lang w:val="es-ES_tradnl"/>
        </w:rPr>
        <w:t>documentación</w:t>
      </w:r>
      <w:proofErr w:type="gramEnd"/>
      <w:r w:rsidRPr="00033569">
        <w:rPr>
          <w:rFonts w:cs="Arial"/>
          <w:spacing w:val="-3"/>
          <w:lang w:val="es-ES_tradnl"/>
        </w:rPr>
        <w:t xml:space="preserve"> escaneada de los fondos permanentes y de otros gastos sujetos a rendición, a efectos de su control</w:t>
      </w:r>
      <w:r w:rsidR="00A22D05">
        <w:rPr>
          <w:rFonts w:cs="Arial"/>
          <w:spacing w:val="-3"/>
          <w:lang w:val="es-ES_tradnl"/>
        </w:rPr>
        <w:t>”</w:t>
      </w:r>
      <w:r>
        <w:rPr>
          <w:rFonts w:cs="Arial"/>
          <w:spacing w:val="-3"/>
          <w:lang w:val="es-ES_tradnl"/>
        </w:rPr>
        <w:t>;</w:t>
      </w:r>
    </w:p>
    <w:p w:rsidR="00435509" w:rsidRDefault="00B5100B" w:rsidP="00435509">
      <w:pPr>
        <w:tabs>
          <w:tab w:val="left" w:pos="-720"/>
        </w:tabs>
        <w:suppressAutoHyphens/>
        <w:spacing w:after="0" w:line="360" w:lineRule="auto"/>
        <w:ind w:firstLine="709"/>
        <w:rPr>
          <w:rFonts w:cs="Arial"/>
          <w:spacing w:val="-3"/>
          <w:lang w:val="es-ES_tradnl"/>
        </w:rPr>
      </w:pPr>
      <w:r w:rsidRPr="000E6074">
        <w:rPr>
          <w:rFonts w:cs="Arial"/>
          <w:b/>
          <w:spacing w:val="-3"/>
          <w:lang w:val="es-ES_tradnl"/>
        </w:rPr>
        <w:t>CONSIDERANDO:</w:t>
      </w:r>
      <w:r w:rsidRPr="000E6074">
        <w:rPr>
          <w:rFonts w:cs="Arial"/>
          <w:spacing w:val="-3"/>
          <w:lang w:val="es-ES_tradnl"/>
        </w:rPr>
        <w:t xml:space="preserve"> </w:t>
      </w:r>
      <w:r w:rsidR="002F59E0">
        <w:rPr>
          <w:rFonts w:cs="Arial"/>
          <w:b/>
          <w:spacing w:val="-3"/>
          <w:lang w:val="es-ES_tradnl"/>
        </w:rPr>
        <w:t>1</w:t>
      </w:r>
      <w:r w:rsidR="002F59E0" w:rsidRPr="005B4DF0">
        <w:rPr>
          <w:rFonts w:cs="Arial"/>
          <w:b/>
          <w:spacing w:val="-3"/>
          <w:lang w:val="es-ES_tradnl"/>
        </w:rPr>
        <w:t>)</w:t>
      </w:r>
      <w:r w:rsidR="00435509">
        <w:rPr>
          <w:rFonts w:cs="Arial"/>
          <w:spacing w:val="-3"/>
          <w:lang w:val="es-ES_tradnl"/>
        </w:rPr>
        <w:t xml:space="preserve"> que</w:t>
      </w:r>
      <w:r w:rsidR="002F59E0">
        <w:rPr>
          <w:rFonts w:cs="Arial"/>
          <w:spacing w:val="-3"/>
          <w:lang w:val="es-ES_tradnl"/>
        </w:rPr>
        <w:t xml:space="preserve"> a los efectos del control que debe efectuar este Tribunal de los gastos contenidos en las rendiciones de cuentas, la  remisión por vía electrónica debe realizarse a través de un sistema confiable, que </w:t>
      </w:r>
      <w:r w:rsidR="00460B75">
        <w:rPr>
          <w:rFonts w:cs="Arial"/>
          <w:spacing w:val="-3"/>
          <w:lang w:val="es-ES_tradnl"/>
        </w:rPr>
        <w:t>incluya</w:t>
      </w:r>
      <w:r w:rsidR="002F59E0">
        <w:rPr>
          <w:rFonts w:cs="Arial"/>
          <w:spacing w:val="-3"/>
          <w:lang w:val="es-ES_tradnl"/>
        </w:rPr>
        <w:t xml:space="preserve"> el documento original y de seguridad de que la documentación sea auténtica</w:t>
      </w:r>
      <w:r w:rsidR="00A8364A">
        <w:rPr>
          <w:rFonts w:cs="Arial"/>
          <w:spacing w:val="-3"/>
          <w:lang w:val="es-ES_tradnl"/>
        </w:rPr>
        <w:t xml:space="preserve">; </w:t>
      </w:r>
    </w:p>
    <w:p w:rsidR="00C2701F" w:rsidRDefault="00435509" w:rsidP="00C2701F">
      <w:pPr>
        <w:tabs>
          <w:tab w:val="left" w:pos="-720"/>
        </w:tabs>
        <w:suppressAutoHyphens/>
        <w:spacing w:after="0" w:line="360" w:lineRule="auto"/>
        <w:ind w:firstLine="2835"/>
        <w:rPr>
          <w:rFonts w:cs="Arial"/>
          <w:spacing w:val="-3"/>
          <w:lang w:val="es-ES_tradnl"/>
        </w:rPr>
      </w:pPr>
      <w:r>
        <w:rPr>
          <w:rFonts w:cs="Arial"/>
          <w:b/>
          <w:spacing w:val="-3"/>
          <w:lang w:val="es-ES_tradnl"/>
        </w:rPr>
        <w:t>2</w:t>
      </w:r>
      <w:r w:rsidR="0065558B" w:rsidRPr="00267137">
        <w:rPr>
          <w:rFonts w:cs="Arial"/>
          <w:b/>
          <w:spacing w:val="-3"/>
          <w:lang w:val="es-ES_tradnl"/>
        </w:rPr>
        <w:t>)</w:t>
      </w:r>
      <w:r w:rsidR="0065558B">
        <w:rPr>
          <w:rFonts w:cs="Arial"/>
          <w:spacing w:val="-3"/>
          <w:lang w:val="es-ES_tradnl"/>
        </w:rPr>
        <w:t xml:space="preserve"> </w:t>
      </w:r>
      <w:r w:rsidR="002F59E0">
        <w:rPr>
          <w:rFonts w:cs="Arial"/>
          <w:spacing w:val="-3"/>
          <w:lang w:val="es-ES_tradnl"/>
        </w:rPr>
        <w:t>que en consecuencia</w:t>
      </w:r>
      <w:r w:rsidR="00460B75">
        <w:rPr>
          <w:rFonts w:cs="Arial"/>
          <w:spacing w:val="-3"/>
          <w:lang w:val="es-ES_tradnl"/>
        </w:rPr>
        <w:t>,</w:t>
      </w:r>
      <w:r w:rsidR="002F59E0">
        <w:rPr>
          <w:rFonts w:cs="Arial"/>
          <w:spacing w:val="-3"/>
          <w:lang w:val="es-ES_tradnl"/>
        </w:rPr>
        <w:t xml:space="preserve"> al someter los gastos de las rendiciones de cuentas al control de este Tribunal, se</w:t>
      </w:r>
      <w:r w:rsidR="0065558B">
        <w:rPr>
          <w:rFonts w:cs="Arial"/>
          <w:spacing w:val="-3"/>
          <w:lang w:val="es-ES_tradnl"/>
        </w:rPr>
        <w:t xml:space="preserve"> debe </w:t>
      </w:r>
      <w:r w:rsidR="002F59E0">
        <w:rPr>
          <w:rFonts w:cs="Arial"/>
          <w:spacing w:val="-3"/>
          <w:lang w:val="es-ES_tradnl"/>
        </w:rPr>
        <w:t>presentar</w:t>
      </w:r>
      <w:r w:rsidR="0065558B">
        <w:rPr>
          <w:rFonts w:cs="Arial"/>
          <w:spacing w:val="-3"/>
          <w:lang w:val="es-ES_tradnl"/>
        </w:rPr>
        <w:t xml:space="preserve"> la documentación original de </w:t>
      </w:r>
      <w:r w:rsidR="002F59E0">
        <w:rPr>
          <w:rFonts w:cs="Arial"/>
          <w:spacing w:val="-3"/>
          <w:lang w:val="es-ES_tradnl"/>
        </w:rPr>
        <w:t>los mismos</w:t>
      </w:r>
      <w:r w:rsidR="0065558B">
        <w:rPr>
          <w:rFonts w:cs="Arial"/>
          <w:spacing w:val="-3"/>
          <w:lang w:val="es-ES_tradnl"/>
        </w:rPr>
        <w:t xml:space="preserve"> o en su defecto</w:t>
      </w:r>
      <w:r w:rsidR="002F59E0">
        <w:rPr>
          <w:rFonts w:cs="Arial"/>
          <w:spacing w:val="-3"/>
          <w:lang w:val="es-ES_tradnl"/>
        </w:rPr>
        <w:t xml:space="preserve"> documentos escaneados y refrendados por funcionarios públicos</w:t>
      </w:r>
      <w:r w:rsidR="00C2701F">
        <w:rPr>
          <w:rFonts w:cs="Arial"/>
          <w:spacing w:val="-3"/>
          <w:lang w:val="es-ES_tradnl"/>
        </w:rPr>
        <w:t>,</w:t>
      </w:r>
      <w:r w:rsidR="0065558B">
        <w:rPr>
          <w:rFonts w:cs="Arial"/>
          <w:spacing w:val="-3"/>
          <w:lang w:val="es-ES_tradnl"/>
        </w:rPr>
        <w:t xml:space="preserve"> con expresa constancia de que se ha </w:t>
      </w:r>
      <w:r w:rsidR="0065558B">
        <w:rPr>
          <w:rFonts w:cs="Arial"/>
          <w:spacing w:val="-3"/>
          <w:lang w:val="es-ES_tradnl"/>
        </w:rPr>
        <w:lastRenderedPageBreak/>
        <w:t>tenido a la vista el original y que el documento informatizado se corresponde con el mismo;</w:t>
      </w:r>
    </w:p>
    <w:p w:rsidR="002F59E0" w:rsidRPr="00B909AE" w:rsidRDefault="002F59E0" w:rsidP="00C2701F">
      <w:pPr>
        <w:tabs>
          <w:tab w:val="left" w:pos="-720"/>
        </w:tabs>
        <w:suppressAutoHyphens/>
        <w:spacing w:after="0" w:line="360" w:lineRule="auto"/>
        <w:ind w:firstLine="2835"/>
        <w:rPr>
          <w:rFonts w:cs="Arial"/>
          <w:spacing w:val="-3"/>
          <w:lang w:val="es-ES_tradnl"/>
        </w:rPr>
      </w:pPr>
      <w:r>
        <w:rPr>
          <w:rFonts w:cs="Arial"/>
          <w:b/>
          <w:spacing w:val="-3"/>
          <w:lang w:val="es-ES_tradnl"/>
        </w:rPr>
        <w:t xml:space="preserve">3) </w:t>
      </w:r>
      <w:r w:rsidR="00B909AE" w:rsidRPr="00B909AE">
        <w:rPr>
          <w:rFonts w:cs="Arial"/>
          <w:spacing w:val="-3"/>
          <w:lang w:val="es-ES_tradnl"/>
        </w:rPr>
        <w:t xml:space="preserve">que al efectuar el control de los gastos incluidos en </w:t>
      </w:r>
      <w:r w:rsidR="00460B75">
        <w:rPr>
          <w:rFonts w:cs="Arial"/>
          <w:spacing w:val="-3"/>
          <w:lang w:val="es-ES_tradnl"/>
        </w:rPr>
        <w:t>dichas</w:t>
      </w:r>
      <w:r w:rsidR="00C2701F">
        <w:rPr>
          <w:rFonts w:cs="Arial"/>
          <w:spacing w:val="-3"/>
          <w:lang w:val="es-ES_tradnl"/>
        </w:rPr>
        <w:t xml:space="preserve"> rendiciones, los Contadores D</w:t>
      </w:r>
      <w:r w:rsidR="00B909AE" w:rsidRPr="00B909AE">
        <w:rPr>
          <w:rFonts w:cs="Arial"/>
          <w:spacing w:val="-3"/>
          <w:lang w:val="es-ES_tradnl"/>
        </w:rPr>
        <w:t xml:space="preserve">elegados deben contar con toda la documentación, ya sea original o escaneada, no resultando admisible que sea el </w:t>
      </w:r>
      <w:r w:rsidR="00663927">
        <w:rPr>
          <w:rFonts w:cs="Arial"/>
          <w:spacing w:val="-3"/>
          <w:lang w:val="es-ES_tradnl"/>
        </w:rPr>
        <w:t>O</w:t>
      </w:r>
      <w:r w:rsidR="00B909AE" w:rsidRPr="00B909AE">
        <w:rPr>
          <w:rFonts w:cs="Arial"/>
          <w:spacing w:val="-3"/>
          <w:lang w:val="es-ES_tradnl"/>
        </w:rPr>
        <w:t>rgan</w:t>
      </w:r>
      <w:r w:rsidR="00663927">
        <w:rPr>
          <w:rFonts w:cs="Arial"/>
          <w:spacing w:val="-3"/>
          <w:lang w:val="es-ES_tradnl"/>
        </w:rPr>
        <w:t>i</w:t>
      </w:r>
      <w:r w:rsidR="00B909AE" w:rsidRPr="00B909AE">
        <w:rPr>
          <w:rFonts w:cs="Arial"/>
          <w:spacing w:val="-3"/>
          <w:lang w:val="es-ES_tradnl"/>
        </w:rPr>
        <w:t>smo el que seleccione la documentación a revisar por dichos delegados:</w:t>
      </w:r>
    </w:p>
    <w:p w:rsidR="00B5100B" w:rsidRDefault="00B5100B" w:rsidP="00C2701F">
      <w:pPr>
        <w:pStyle w:val="Textoindependiente2"/>
        <w:ind w:firstLine="709"/>
        <w:rPr>
          <w:rFonts w:ascii="Arial" w:hAnsi="Arial" w:cs="Arial"/>
          <w:b w:val="0"/>
          <w:bCs/>
        </w:rPr>
      </w:pPr>
      <w:r w:rsidRPr="000E6074">
        <w:rPr>
          <w:rFonts w:ascii="Arial" w:hAnsi="Arial" w:cs="Arial"/>
        </w:rPr>
        <w:t xml:space="preserve">ATENTO: </w:t>
      </w:r>
      <w:r w:rsidRPr="000E6074">
        <w:rPr>
          <w:rFonts w:ascii="Arial" w:hAnsi="Arial" w:cs="Arial"/>
          <w:b w:val="0"/>
          <w:bCs/>
        </w:rPr>
        <w:t xml:space="preserve">a lo </w:t>
      </w:r>
      <w:r w:rsidR="00182E1F">
        <w:rPr>
          <w:rFonts w:ascii="Arial" w:hAnsi="Arial" w:cs="Arial"/>
          <w:b w:val="0"/>
          <w:bCs/>
        </w:rPr>
        <w:t>precedentemente expuesto</w:t>
      </w:r>
      <w:r w:rsidR="001A194C">
        <w:rPr>
          <w:rFonts w:ascii="Arial" w:hAnsi="Arial" w:cs="Arial"/>
          <w:b w:val="0"/>
          <w:bCs/>
        </w:rPr>
        <w:t xml:space="preserve"> y a lo establecido </w:t>
      </w:r>
      <w:r w:rsidR="00460B75">
        <w:rPr>
          <w:rFonts w:ascii="Arial" w:hAnsi="Arial" w:cs="Arial"/>
          <w:b w:val="0"/>
          <w:bCs/>
        </w:rPr>
        <w:t>por el Articulo 211 Literal E de la Constitución de la República;</w:t>
      </w:r>
    </w:p>
    <w:p w:rsidR="00B5100B" w:rsidRDefault="00B5100B" w:rsidP="00B5100B">
      <w:pPr>
        <w:pStyle w:val="Textoindependiente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TRIBUNAL ACUERDA</w:t>
      </w:r>
    </w:p>
    <w:p w:rsidR="00312A9F" w:rsidRPr="00663927" w:rsidRDefault="00C2701F" w:rsidP="00C2701F">
      <w:pPr>
        <w:pStyle w:val="Textoindependiente2"/>
        <w:ind w:left="284" w:hanging="284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1) </w:t>
      </w:r>
      <w:r w:rsidR="00312A9F" w:rsidRPr="003245BE">
        <w:rPr>
          <w:rFonts w:ascii="Arial" w:hAnsi="Arial" w:cs="Arial"/>
          <w:b w:val="0"/>
          <w:bCs/>
        </w:rPr>
        <w:t xml:space="preserve">No aprobar </w:t>
      </w:r>
      <w:r w:rsidR="00312A9F" w:rsidRPr="003245BE">
        <w:rPr>
          <w:rFonts w:ascii="Arial" w:hAnsi="Arial" w:cs="Arial"/>
          <w:b w:val="0"/>
        </w:rPr>
        <w:t xml:space="preserve">las medidas transitorias </w:t>
      </w:r>
      <w:r w:rsidR="00944AF2" w:rsidRPr="003245BE">
        <w:rPr>
          <w:rFonts w:ascii="Arial" w:hAnsi="Arial" w:cs="Arial"/>
          <w:b w:val="0"/>
        </w:rPr>
        <w:t xml:space="preserve">propuestas </w:t>
      </w:r>
      <w:r w:rsidR="00312A9F" w:rsidRPr="003245BE">
        <w:rPr>
          <w:rFonts w:ascii="Arial" w:hAnsi="Arial" w:cs="Arial"/>
          <w:b w:val="0"/>
        </w:rPr>
        <w:t>respecto a los gastos con rendición de cuentas</w:t>
      </w:r>
      <w:r>
        <w:rPr>
          <w:rFonts w:ascii="Arial" w:hAnsi="Arial" w:cs="Arial"/>
          <w:b w:val="0"/>
        </w:rPr>
        <w:t xml:space="preserve"> por lo expresado en el C</w:t>
      </w:r>
      <w:r w:rsidR="00663927">
        <w:rPr>
          <w:rFonts w:ascii="Arial" w:hAnsi="Arial" w:cs="Arial"/>
          <w:b w:val="0"/>
        </w:rPr>
        <w:t>onsiderando 3);</w:t>
      </w:r>
    </w:p>
    <w:p w:rsidR="00663927" w:rsidRPr="003245BE" w:rsidRDefault="00C2701F" w:rsidP="00C2701F">
      <w:pPr>
        <w:pStyle w:val="Textoindependiente2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2) </w:t>
      </w:r>
      <w:r w:rsidR="00663927">
        <w:rPr>
          <w:rFonts w:ascii="Arial" w:hAnsi="Arial" w:cs="Arial"/>
          <w:b w:val="0"/>
        </w:rPr>
        <w:t xml:space="preserve">Téngase </w:t>
      </w:r>
      <w:r>
        <w:rPr>
          <w:rFonts w:ascii="Arial" w:hAnsi="Arial" w:cs="Arial"/>
          <w:b w:val="0"/>
        </w:rPr>
        <w:t>presente lo manifestado en los C</w:t>
      </w:r>
      <w:r w:rsidR="00663927">
        <w:rPr>
          <w:rFonts w:ascii="Arial" w:hAnsi="Arial" w:cs="Arial"/>
          <w:b w:val="0"/>
        </w:rPr>
        <w:t>onsiderandos 1) y 2)</w:t>
      </w:r>
      <w:r>
        <w:rPr>
          <w:rFonts w:ascii="Arial" w:hAnsi="Arial" w:cs="Arial"/>
          <w:b w:val="0"/>
        </w:rPr>
        <w:t>;</w:t>
      </w:r>
    </w:p>
    <w:p w:rsidR="00312A9F" w:rsidRDefault="00C2701F" w:rsidP="00C2701F">
      <w:pPr>
        <w:pStyle w:val="Textoindependiente2"/>
        <w:ind w:left="284" w:hanging="284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3) </w:t>
      </w:r>
      <w:r w:rsidR="00AE4872" w:rsidRPr="003245BE">
        <w:rPr>
          <w:rFonts w:ascii="Arial" w:hAnsi="Arial" w:cs="Arial"/>
          <w:b w:val="0"/>
          <w:bCs/>
        </w:rPr>
        <w:t>Comunicar al Banco de la República Oriental del Uruguay</w:t>
      </w:r>
      <w:r w:rsidR="00312A9F" w:rsidRPr="003245BE">
        <w:rPr>
          <w:rFonts w:ascii="Arial" w:hAnsi="Arial" w:cs="Arial"/>
          <w:b w:val="0"/>
          <w:bCs/>
        </w:rPr>
        <w:t xml:space="preserve"> y a los </w:t>
      </w:r>
      <w:r>
        <w:rPr>
          <w:rFonts w:ascii="Arial" w:hAnsi="Arial" w:cs="Arial"/>
          <w:b w:val="0"/>
          <w:bCs/>
        </w:rPr>
        <w:t>Contadores D</w:t>
      </w:r>
      <w:r w:rsidR="00312A9F" w:rsidRPr="003245BE">
        <w:rPr>
          <w:rFonts w:ascii="Arial" w:hAnsi="Arial" w:cs="Arial"/>
          <w:b w:val="0"/>
          <w:bCs/>
        </w:rPr>
        <w:t xml:space="preserve">elegados y </w:t>
      </w:r>
      <w:r>
        <w:rPr>
          <w:rFonts w:ascii="Arial" w:hAnsi="Arial" w:cs="Arial"/>
          <w:b w:val="0"/>
          <w:bCs/>
        </w:rPr>
        <w:t>A</w:t>
      </w:r>
      <w:r w:rsidR="00297385" w:rsidRPr="003245BE">
        <w:rPr>
          <w:rFonts w:ascii="Arial" w:hAnsi="Arial" w:cs="Arial"/>
          <w:b w:val="0"/>
          <w:bCs/>
        </w:rPr>
        <w:t>uditores destacados</w:t>
      </w:r>
      <w:r w:rsidR="00312A9F" w:rsidRPr="003245BE">
        <w:rPr>
          <w:rFonts w:ascii="Arial" w:hAnsi="Arial" w:cs="Arial"/>
          <w:b w:val="0"/>
          <w:bCs/>
        </w:rPr>
        <w:t>.</w:t>
      </w:r>
    </w:p>
    <w:p w:rsidR="00C2701F" w:rsidRDefault="00C2701F" w:rsidP="00C2701F">
      <w:pPr>
        <w:pStyle w:val="Textoindependiente2"/>
        <w:rPr>
          <w:rFonts w:ascii="Arial" w:hAnsi="Arial" w:cs="Arial"/>
          <w:b w:val="0"/>
          <w:bCs/>
        </w:rPr>
      </w:pPr>
    </w:p>
    <w:p w:rsidR="00C2701F" w:rsidRPr="003245BE" w:rsidRDefault="00C2701F" w:rsidP="00C2701F">
      <w:pPr>
        <w:pStyle w:val="Textoindependiente2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lc</w:t>
      </w:r>
      <w:proofErr w:type="spellEnd"/>
      <w:proofErr w:type="gramEnd"/>
    </w:p>
    <w:sectPr w:rsidR="00C2701F" w:rsidRPr="003245BE" w:rsidSect="003D2707">
      <w:pgSz w:w="11906" w:h="16838"/>
      <w:pgMar w:top="3062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AAA"/>
    <w:multiLevelType w:val="hybridMultilevel"/>
    <w:tmpl w:val="3E76B5D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D7B"/>
    <w:multiLevelType w:val="hybridMultilevel"/>
    <w:tmpl w:val="13A64522"/>
    <w:lvl w:ilvl="0" w:tplc="3C5C22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6E3"/>
    <w:multiLevelType w:val="multilevel"/>
    <w:tmpl w:val="D0EA37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C95278"/>
    <w:multiLevelType w:val="hybridMultilevel"/>
    <w:tmpl w:val="EB2C99D4"/>
    <w:lvl w:ilvl="0" w:tplc="347614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0B"/>
    <w:rsid w:val="00033569"/>
    <w:rsid w:val="00080585"/>
    <w:rsid w:val="00083FDB"/>
    <w:rsid w:val="00097004"/>
    <w:rsid w:val="000C45FB"/>
    <w:rsid w:val="00143EFA"/>
    <w:rsid w:val="00182E1F"/>
    <w:rsid w:val="001A194C"/>
    <w:rsid w:val="00267137"/>
    <w:rsid w:val="00297385"/>
    <w:rsid w:val="002D138F"/>
    <w:rsid w:val="002F59E0"/>
    <w:rsid w:val="00312A29"/>
    <w:rsid w:val="00312A9F"/>
    <w:rsid w:val="003245BE"/>
    <w:rsid w:val="003327D5"/>
    <w:rsid w:val="003D2707"/>
    <w:rsid w:val="00435509"/>
    <w:rsid w:val="00460B75"/>
    <w:rsid w:val="005B4DF0"/>
    <w:rsid w:val="0064137E"/>
    <w:rsid w:val="0065558B"/>
    <w:rsid w:val="00663927"/>
    <w:rsid w:val="006D56DD"/>
    <w:rsid w:val="006D677B"/>
    <w:rsid w:val="00734E55"/>
    <w:rsid w:val="00762C4A"/>
    <w:rsid w:val="007B6348"/>
    <w:rsid w:val="007B7424"/>
    <w:rsid w:val="007F3673"/>
    <w:rsid w:val="0086030E"/>
    <w:rsid w:val="00870CC8"/>
    <w:rsid w:val="008B307C"/>
    <w:rsid w:val="00912704"/>
    <w:rsid w:val="00916AAB"/>
    <w:rsid w:val="00930084"/>
    <w:rsid w:val="00944AF2"/>
    <w:rsid w:val="009760EA"/>
    <w:rsid w:val="00997EC4"/>
    <w:rsid w:val="00A22D05"/>
    <w:rsid w:val="00A65FF5"/>
    <w:rsid w:val="00A8364A"/>
    <w:rsid w:val="00AA0874"/>
    <w:rsid w:val="00AE4872"/>
    <w:rsid w:val="00B5100B"/>
    <w:rsid w:val="00B66E04"/>
    <w:rsid w:val="00B909AE"/>
    <w:rsid w:val="00C17BF2"/>
    <w:rsid w:val="00C2701F"/>
    <w:rsid w:val="00CA140A"/>
    <w:rsid w:val="00CB2CAB"/>
    <w:rsid w:val="00CC4605"/>
    <w:rsid w:val="00DF0961"/>
    <w:rsid w:val="00E108C6"/>
    <w:rsid w:val="00E92F37"/>
    <w:rsid w:val="00E95DFE"/>
    <w:rsid w:val="00EE5581"/>
    <w:rsid w:val="00F1659D"/>
    <w:rsid w:val="00F33CD3"/>
    <w:rsid w:val="00F91C2E"/>
    <w:rsid w:val="00FB53E7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0B"/>
    <w:pPr>
      <w:spacing w:after="200" w:line="276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B5100B"/>
    <w:pPr>
      <w:keepNext/>
      <w:tabs>
        <w:tab w:val="center" w:pos="4253"/>
      </w:tabs>
      <w:suppressAutoHyphens/>
      <w:spacing w:after="0" w:line="360" w:lineRule="auto"/>
      <w:outlineLvl w:val="0"/>
    </w:pPr>
    <w:rPr>
      <w:rFonts w:ascii="Helvetica" w:eastAsia="Times New Roman" w:hAnsi="Helvetica"/>
      <w:b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00B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5100B"/>
    <w:pPr>
      <w:widowControl w:val="0"/>
      <w:tabs>
        <w:tab w:val="left" w:pos="-720"/>
      </w:tabs>
      <w:suppressAutoHyphens/>
      <w:spacing w:after="0" w:line="360" w:lineRule="auto"/>
    </w:pPr>
    <w:rPr>
      <w:rFonts w:ascii="Bookman Old Style" w:eastAsia="Times New Roman" w:hAnsi="Bookman Old Style"/>
      <w:b/>
      <w:snapToGrid w:val="0"/>
      <w:spacing w:val="-3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5100B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5100B"/>
    <w:pPr>
      <w:widowControl w:val="0"/>
      <w:spacing w:after="0" w:line="240" w:lineRule="auto"/>
      <w:ind w:left="720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0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0B"/>
    <w:pPr>
      <w:spacing w:after="200" w:line="276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B5100B"/>
    <w:pPr>
      <w:keepNext/>
      <w:tabs>
        <w:tab w:val="center" w:pos="4253"/>
      </w:tabs>
      <w:suppressAutoHyphens/>
      <w:spacing w:after="0" w:line="360" w:lineRule="auto"/>
      <w:outlineLvl w:val="0"/>
    </w:pPr>
    <w:rPr>
      <w:rFonts w:ascii="Helvetica" w:eastAsia="Times New Roman" w:hAnsi="Helvetica"/>
      <w:b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00B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5100B"/>
    <w:pPr>
      <w:widowControl w:val="0"/>
      <w:tabs>
        <w:tab w:val="left" w:pos="-720"/>
      </w:tabs>
      <w:suppressAutoHyphens/>
      <w:spacing w:after="0" w:line="360" w:lineRule="auto"/>
    </w:pPr>
    <w:rPr>
      <w:rFonts w:ascii="Bookman Old Style" w:eastAsia="Times New Roman" w:hAnsi="Bookman Old Style"/>
      <w:b/>
      <w:snapToGrid w:val="0"/>
      <w:spacing w:val="-3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5100B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5100B"/>
    <w:pPr>
      <w:widowControl w:val="0"/>
      <w:spacing w:after="0" w:line="240" w:lineRule="auto"/>
      <w:ind w:left="720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6B21-534A-4310-959D-FAC25444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Gabriela (Tribunal de Cuentas)</dc:creator>
  <cp:lastModifiedBy>Tribunal1</cp:lastModifiedBy>
  <cp:revision>6</cp:revision>
  <cp:lastPrinted>2017-12-22T16:10:00Z</cp:lastPrinted>
  <dcterms:created xsi:type="dcterms:W3CDTF">2018-02-02T15:55:00Z</dcterms:created>
  <dcterms:modified xsi:type="dcterms:W3CDTF">2018-02-02T16:17:00Z</dcterms:modified>
</cp:coreProperties>
</file>