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1A" w:rsidRPr="00786EEB" w:rsidRDefault="00ED5B1A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</w:t>
      </w: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ES. 460/18</w:t>
      </w:r>
    </w:p>
    <w:p w:rsidR="00ED5B1A" w:rsidRDefault="00ED5B1A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D5B1A" w:rsidRPr="00762B34" w:rsidRDefault="00ED5B1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D5B1A" w:rsidRPr="00762B34" w:rsidRDefault="00ED5B1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D5B1A" w:rsidRPr="00762B34" w:rsidRDefault="00ED5B1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D5B1A" w:rsidRPr="00762B34" w:rsidRDefault="00ED5B1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D5B1A" w:rsidRPr="00762B34" w:rsidRDefault="00ED5B1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31 DE ENERO </w:t>
      </w:r>
      <w:r>
        <w:rPr>
          <w:rFonts w:ascii="Helvetica" w:hAnsi="Helvetica"/>
          <w:b/>
          <w:lang w:val="es-ES_tradnl"/>
        </w:rPr>
        <w:t>DE 2018</w:t>
      </w:r>
    </w:p>
    <w:p w:rsidR="00ED5B1A" w:rsidRPr="00762B34" w:rsidRDefault="00ED5B1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D5B1A" w:rsidRPr="00762B34" w:rsidRDefault="00ED5B1A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2017-17-1-0006062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452/18</w:t>
      </w:r>
      <w:r w:rsidRPr="00762B34">
        <w:rPr>
          <w:rFonts w:cs="Arial"/>
          <w:b/>
          <w:lang w:val="en-US"/>
        </w:rPr>
        <w:t>)</w:t>
      </w:r>
    </w:p>
    <w:p w:rsidR="00ED5B1A" w:rsidRDefault="00ED5B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ED5B1A" w:rsidRDefault="0093713E" w:rsidP="00ED5B1A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</w:t>
      </w:r>
      <w:r w:rsidR="008D2E86">
        <w:rPr>
          <w:spacing w:val="-3"/>
          <w:lang w:val="es-ES_tradnl"/>
        </w:rPr>
        <w:t xml:space="preserve">nuevos </w:t>
      </w:r>
      <w:r>
        <w:rPr>
          <w:spacing w:val="-3"/>
          <w:lang w:val="es-ES_tradnl"/>
        </w:rPr>
        <w:t xml:space="preserve">antecedentes remitidos por la </w:t>
      </w:r>
      <w:r w:rsidRPr="00F41302">
        <w:t>Administración Nacional de Combustibles</w:t>
      </w:r>
      <w:r w:rsidR="00ED5B1A">
        <w:t>,</w:t>
      </w:r>
      <w:r w:rsidRPr="00F41302">
        <w:t xml:space="preserve"> Alcohol y Portland</w:t>
      </w:r>
      <w:r>
        <w:t xml:space="preserve"> (ANCAP)</w:t>
      </w:r>
      <w:r w:rsidRPr="00F41302">
        <w:t xml:space="preserve">, relacionados con el acuerdo transaccional celebrado </w:t>
      </w:r>
      <w:r>
        <w:t xml:space="preserve">con </w:t>
      </w:r>
      <w:r w:rsidR="002B4C72">
        <w:t xml:space="preserve">el Sindicato </w:t>
      </w:r>
      <w:r w:rsidR="007D5BF1">
        <w:t>Único</w:t>
      </w:r>
      <w:r w:rsidR="00ED5B1A">
        <w:t xml:space="preserve"> de la Construcción (SUNCA)</w:t>
      </w:r>
      <w:r w:rsidR="007D5BF1">
        <w:t>,</w:t>
      </w:r>
      <w:r w:rsidR="00ED5B1A">
        <w:t xml:space="preserve"> </w:t>
      </w:r>
      <w:r w:rsidR="007D5BF1">
        <w:t>la e</w:t>
      </w:r>
      <w:r w:rsidR="002B4C72">
        <w:t>mpresa BRENALCOR S.A.</w:t>
      </w:r>
      <w:r w:rsidR="007D5BF1">
        <w:t xml:space="preserve"> y sus trabajadores</w:t>
      </w:r>
      <w:r>
        <w:t>;</w:t>
      </w:r>
    </w:p>
    <w:p w:rsidR="00ED5B1A" w:rsidRDefault="0093713E" w:rsidP="00ED5B1A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</w:t>
      </w:r>
      <w:r w:rsidR="007D5BF1" w:rsidRPr="00610CD5">
        <w:rPr>
          <w:b/>
        </w:rPr>
        <w:t xml:space="preserve"> </w:t>
      </w:r>
      <w:r w:rsidR="007D5BF1">
        <w:rPr>
          <w:b/>
        </w:rPr>
        <w:t>1</w:t>
      </w:r>
      <w:r w:rsidR="007D5BF1" w:rsidRPr="00610CD5">
        <w:rPr>
          <w:b/>
        </w:rPr>
        <w:t>)</w:t>
      </w:r>
      <w:r w:rsidR="007D5BF1">
        <w:t xml:space="preserve"> que por Resolución del Directorio Nº 989/9/2017 de fecha 14 de setiembre de 2017, se autorizó el pago a la firma BRENALCOR S.A., de la suma de $ 626.347, de los cuales $ 494.004 corresponden al incentivo propuesto por ANCAP que deberá ser abonado a la trabajadora María Valeria Pérez, y $ 132.343, que la empres</w:t>
      </w:r>
      <w:r w:rsidR="00ED5B1A">
        <w:t>a deberá volcar a la Dirección G</w:t>
      </w:r>
      <w:r w:rsidR="007D5BF1">
        <w:t>eneral Impositiva (DGI) por concepto de IRPF;</w:t>
      </w:r>
    </w:p>
    <w:p w:rsidR="00ED5B1A" w:rsidRDefault="007D5BF1" w:rsidP="00ED5B1A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>2</w:t>
      </w:r>
      <w:r w:rsidR="0093713E">
        <w:rPr>
          <w:b/>
          <w:bCs/>
        </w:rPr>
        <w:t xml:space="preserve">) </w:t>
      </w:r>
      <w:r w:rsidR="007D67B9">
        <w:rPr>
          <w:bCs/>
        </w:rPr>
        <w:t>que este Tribunal</w:t>
      </w:r>
      <w:r>
        <w:rPr>
          <w:bCs/>
        </w:rPr>
        <w:t>,</w:t>
      </w:r>
      <w:r w:rsidR="007D67B9">
        <w:rPr>
          <w:bCs/>
        </w:rPr>
        <w:t xml:space="preserve"> por Resolución N° 3146/17 de fecha 27 de setiembre de 2017</w:t>
      </w:r>
      <w:r>
        <w:rPr>
          <w:bCs/>
        </w:rPr>
        <w:t>,</w:t>
      </w:r>
      <w:r w:rsidR="007D67B9">
        <w:rPr>
          <w:bCs/>
        </w:rPr>
        <w:t xml:space="preserve"> acordó cometer al Contador Delegado la intervención</w:t>
      </w:r>
      <w:r w:rsidR="00ED5B1A">
        <w:rPr>
          <w:bCs/>
        </w:rPr>
        <w:t xml:space="preserve"> </w:t>
      </w:r>
      <w:r w:rsidR="007D67B9">
        <w:t>de la suma de $ 626.347 conjuntament</w:t>
      </w:r>
      <w:r w:rsidR="000C02F1">
        <w:t>e</w:t>
      </w:r>
      <w:r w:rsidR="007D67B9">
        <w:t xml:space="preserve"> con el pago a la empresa BRENALCOR S.A., previo control de su imp</w:t>
      </w:r>
      <w:r w:rsidR="000C02F1">
        <w:t>u</w:t>
      </w:r>
      <w:r w:rsidR="00ED5B1A">
        <w:t>tación con cargo a G</w:t>
      </w:r>
      <w:r w:rsidR="007D67B9">
        <w:t>rupo adecuado con disponibilidad suficiente</w:t>
      </w:r>
      <w:r w:rsidR="000C02F1">
        <w:t>, derivado del acuerdo transaccional con la referida empresa;</w:t>
      </w:r>
    </w:p>
    <w:p w:rsidR="00ED5B1A" w:rsidRDefault="00ED5B1A" w:rsidP="00ED5B1A">
      <w:pPr>
        <w:tabs>
          <w:tab w:val="left" w:pos="-720"/>
        </w:tabs>
        <w:suppressAutoHyphens/>
        <w:spacing w:line="360" w:lineRule="auto"/>
        <w:ind w:firstLine="2835"/>
        <w:jc w:val="both"/>
      </w:pPr>
      <w:r w:rsidRPr="00ED5B1A">
        <w:rPr>
          <w:b/>
        </w:rPr>
        <w:t>3</w:t>
      </w:r>
      <w:r w:rsidR="000C02F1" w:rsidRPr="00ED5B1A">
        <w:rPr>
          <w:b/>
        </w:rPr>
        <w:t>)</w:t>
      </w:r>
      <w:r w:rsidR="000C02F1">
        <w:t xml:space="preserve"> </w:t>
      </w:r>
      <w:r w:rsidR="0093713E">
        <w:t>que</w:t>
      </w:r>
      <w:r>
        <w:t xml:space="preserve"> a</w:t>
      </w:r>
      <w:r w:rsidR="007D67B9">
        <w:t xml:space="preserve"> </w:t>
      </w:r>
      <w:r w:rsidR="000C02F1">
        <w:t xml:space="preserve">la referida transacción se arribó en las </w:t>
      </w:r>
      <w:r w:rsidR="0093713E">
        <w:t xml:space="preserve"> negociaciones con el SUNCA </w:t>
      </w:r>
      <w:r w:rsidR="007D67B9">
        <w:t>y se llegó a un pre acuerdo</w:t>
      </w:r>
      <w:r w:rsidR="0093713E">
        <w:t xml:space="preserve"> suscrito el 12 de julio de 2017, </w:t>
      </w:r>
      <w:r w:rsidR="00DD5C76">
        <w:t>referido</w:t>
      </w:r>
      <w:r w:rsidR="0093713E">
        <w:t xml:space="preserve"> </w:t>
      </w:r>
      <w:r>
        <w:t xml:space="preserve">a </w:t>
      </w:r>
      <w:r w:rsidR="0093713E">
        <w:t xml:space="preserve">la situación de los trabajadores que resulten excedentes de acuerdo con el </w:t>
      </w:r>
      <w:r w:rsidR="00DD5C76">
        <w:t>escenario</w:t>
      </w:r>
      <w:r w:rsidR="0093713E">
        <w:t xml:space="preserve"> de reestructura que defin</w:t>
      </w:r>
      <w:r w:rsidR="00DD5C76">
        <w:t>iera</w:t>
      </w:r>
      <w:r w:rsidR="0093713E">
        <w:t xml:space="preserve"> ANCAP  en el marco del Plan de Sustentabilidad del Negocio del Portland;</w:t>
      </w:r>
    </w:p>
    <w:p w:rsidR="00ED5B1A" w:rsidRDefault="00ED5B1A" w:rsidP="00ED5B1A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lastRenderedPageBreak/>
        <w:t>4</w:t>
      </w:r>
      <w:r w:rsidR="0093713E">
        <w:rPr>
          <w:b/>
        </w:rPr>
        <w:t>)</w:t>
      </w:r>
      <w:r w:rsidR="0093713E">
        <w:t xml:space="preserve"> </w:t>
      </w:r>
      <w:r w:rsidR="009A6DCE">
        <w:t xml:space="preserve">que en esta oportunidad, </w:t>
      </w:r>
      <w:r w:rsidR="008D2E86">
        <w:t xml:space="preserve">por Resolución de Directorio N° 31/12/2018 de fecha 18 de enero de 2018 </w:t>
      </w:r>
      <w:r w:rsidR="007D5BF1">
        <w:t xml:space="preserve">se dispuso </w:t>
      </w:r>
      <w:r w:rsidR="008D2E86">
        <w:t xml:space="preserve"> autorizar el pago a la empresa BRENALCOR S.A. por par</w:t>
      </w:r>
      <w:r>
        <w:t>te de ANCAP, por un  monto de $</w:t>
      </w:r>
      <w:r w:rsidR="008D2E86">
        <w:t>96.379, derivado de la diferencia del pago del IRPF por parte de la empresa de $</w:t>
      </w:r>
      <w:r>
        <w:t xml:space="preserve"> </w:t>
      </w:r>
      <w:r w:rsidR="008D2E86">
        <w:t>228.722 y el estimado por ANCAP de $</w:t>
      </w:r>
      <w:r>
        <w:t xml:space="preserve"> </w:t>
      </w:r>
      <w:r w:rsidR="008D2E86">
        <w:t>132.343</w:t>
      </w:r>
      <w:r w:rsidR="00B05A69">
        <w:t>;</w:t>
      </w:r>
    </w:p>
    <w:p w:rsidR="009A6DCE" w:rsidRPr="008D2E86" w:rsidRDefault="00ED5B1A" w:rsidP="00ED5B1A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>5</w:t>
      </w:r>
      <w:r w:rsidR="008D2E86">
        <w:rPr>
          <w:b/>
        </w:rPr>
        <w:t xml:space="preserve">) </w:t>
      </w:r>
      <w:r w:rsidR="008D2E86">
        <w:t>que no co</w:t>
      </w:r>
      <w:r>
        <w:t>nsta la imputación del gasto a G</w:t>
      </w:r>
      <w:r w:rsidR="008D2E86">
        <w:t>rupo adecuado con disponibilidad suficiente;</w:t>
      </w:r>
    </w:p>
    <w:p w:rsidR="00ED5B1A" w:rsidRDefault="0093713E" w:rsidP="00ED5B1A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 1)</w:t>
      </w:r>
      <w:r>
        <w:rPr>
          <w:bCs/>
          <w:spacing w:val="-3"/>
          <w:lang w:val="es-ES_tradnl"/>
        </w:rPr>
        <w:t xml:space="preserve"> que por resolución del Tribunal de Cuentas,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</w:t>
      </w:r>
      <w:r w:rsidR="00ED5B1A">
        <w:rPr>
          <w:bCs/>
          <w:spacing w:val="-3"/>
          <w:lang w:val="es-ES_tradnl"/>
        </w:rPr>
        <w:t>08 en la redacción dada por el A</w:t>
      </w:r>
      <w:r>
        <w:rPr>
          <w:bCs/>
          <w:spacing w:val="-3"/>
          <w:lang w:val="es-ES_tradnl"/>
        </w:rPr>
        <w:t>rtículo 2 de la Resolución de este Tribunal de 23.12.2009, se dispuso que se deben remitir al mismo, para su intervención, todos los gastos emergentes de transacciones  extrajudiciales y laudos  arbitrales, cualquiera sea su monto;</w:t>
      </w:r>
    </w:p>
    <w:p w:rsidR="00AE750C" w:rsidRDefault="00AC743F" w:rsidP="00ED5B1A">
      <w:pPr>
        <w:tabs>
          <w:tab w:val="left" w:pos="-720"/>
        </w:tabs>
        <w:suppressAutoHyphens/>
        <w:spacing w:line="360" w:lineRule="auto"/>
        <w:ind w:firstLine="3119"/>
        <w:jc w:val="both"/>
        <w:rPr>
          <w:bCs/>
          <w:spacing w:val="-3"/>
        </w:rPr>
      </w:pPr>
      <w:r>
        <w:rPr>
          <w:b/>
          <w:spacing w:val="-3"/>
          <w:lang w:val="es-ES_tradnl"/>
        </w:rPr>
        <w:t>2)</w:t>
      </w:r>
      <w:r w:rsidR="0093713E">
        <w:rPr>
          <w:bCs/>
          <w:spacing w:val="-3"/>
          <w:lang w:val="es-ES_tradnl"/>
        </w:rPr>
        <w:t xml:space="preserve"> </w:t>
      </w:r>
      <w:r w:rsidR="0027049C" w:rsidRPr="0027049C">
        <w:rPr>
          <w:bCs/>
          <w:spacing w:val="-3"/>
        </w:rPr>
        <w:t>que la</w:t>
      </w:r>
      <w:r w:rsidR="008D2E86">
        <w:rPr>
          <w:bCs/>
          <w:spacing w:val="-3"/>
        </w:rPr>
        <w:t>s presente</w:t>
      </w:r>
      <w:r w:rsidR="00B05A69">
        <w:rPr>
          <w:bCs/>
          <w:spacing w:val="-3"/>
        </w:rPr>
        <w:t xml:space="preserve">s </w:t>
      </w:r>
      <w:r w:rsidR="008D2E86">
        <w:rPr>
          <w:bCs/>
          <w:spacing w:val="-3"/>
        </w:rPr>
        <w:t xml:space="preserve"> actuaciones derivan de una</w:t>
      </w:r>
      <w:r w:rsidR="0027049C" w:rsidRPr="0027049C">
        <w:rPr>
          <w:bCs/>
          <w:spacing w:val="-3"/>
        </w:rPr>
        <w:t xml:space="preserve"> transacción remitida</w:t>
      </w:r>
      <w:r w:rsidR="008D2E86">
        <w:rPr>
          <w:bCs/>
          <w:spacing w:val="-3"/>
        </w:rPr>
        <w:t xml:space="preserve"> con anterioridad</w:t>
      </w:r>
      <w:r w:rsidR="00C2691D">
        <w:rPr>
          <w:bCs/>
          <w:spacing w:val="-3"/>
        </w:rPr>
        <w:t>, que</w:t>
      </w:r>
      <w:r w:rsidR="0027049C" w:rsidRPr="0027049C">
        <w:rPr>
          <w:bCs/>
          <w:spacing w:val="-3"/>
        </w:rPr>
        <w:t xml:space="preserve"> no merec</w:t>
      </w:r>
      <w:r w:rsidR="00C2691D">
        <w:rPr>
          <w:bCs/>
          <w:spacing w:val="-3"/>
        </w:rPr>
        <w:t>ió</w:t>
      </w:r>
      <w:r w:rsidR="0027049C" w:rsidRPr="0027049C">
        <w:rPr>
          <w:bCs/>
          <w:spacing w:val="-3"/>
        </w:rPr>
        <w:t xml:space="preserve"> objeciones de legal</w:t>
      </w:r>
      <w:r w:rsidR="00C2691D">
        <w:rPr>
          <w:bCs/>
          <w:spacing w:val="-3"/>
        </w:rPr>
        <w:t>idad, para el pago de diferencia en el monto previsto para el pago del IRPF;</w:t>
      </w:r>
    </w:p>
    <w:p w:rsidR="0093713E" w:rsidRDefault="00AC743F" w:rsidP="00ED5B1A">
      <w:pPr>
        <w:tabs>
          <w:tab w:val="left" w:pos="-720"/>
        </w:tabs>
        <w:suppressAutoHyphens/>
        <w:spacing w:line="360" w:lineRule="auto"/>
        <w:ind w:firstLine="3119"/>
        <w:jc w:val="both"/>
        <w:rPr>
          <w:b/>
          <w:spacing w:val="-3"/>
          <w:lang w:val="es-ES_tradnl"/>
        </w:rPr>
      </w:pPr>
      <w:r w:rsidRPr="00C95BDF">
        <w:rPr>
          <w:b/>
          <w:bCs/>
          <w:spacing w:val="-3"/>
          <w:lang w:val="es-ES_tradnl"/>
        </w:rPr>
        <w:t>3</w:t>
      </w:r>
      <w:r w:rsidR="0093713E" w:rsidRPr="00C95BDF">
        <w:rPr>
          <w:b/>
          <w:spacing w:val="-3"/>
          <w:lang w:val="es-ES_tradnl"/>
        </w:rPr>
        <w:t>)</w:t>
      </w:r>
      <w:r w:rsidR="0093713E">
        <w:rPr>
          <w:bCs/>
          <w:spacing w:val="-3"/>
          <w:lang w:val="es-ES_tradnl"/>
        </w:rPr>
        <w:t xml:space="preserve"> que de</w:t>
      </w:r>
      <w:r w:rsidR="00AE750C">
        <w:rPr>
          <w:bCs/>
          <w:spacing w:val="-3"/>
          <w:lang w:val="es-ES_tradnl"/>
        </w:rPr>
        <w:t xml:space="preserve"> acuerdo con lo previsto en el N</w:t>
      </w:r>
      <w:r w:rsidR="0093713E">
        <w:rPr>
          <w:bCs/>
          <w:spacing w:val="-3"/>
          <w:lang w:val="es-ES_tradnl"/>
        </w:rPr>
        <w:t xml:space="preserve">umeral 4º de la Ordenanza Nº 72, de 23.5.1996, se intervendrán conjuntamente con el pago los gastos cuyo monto no exceda el máximo fijado para la contratación directa ampliada;  </w:t>
      </w:r>
      <w:r w:rsidR="0093713E">
        <w:rPr>
          <w:b/>
          <w:spacing w:val="-3"/>
          <w:lang w:val="es-ES_tradnl"/>
        </w:rPr>
        <w:t xml:space="preserve">                      </w:t>
      </w:r>
    </w:p>
    <w:p w:rsidR="0093713E" w:rsidRDefault="0093713E" w:rsidP="00AE750C">
      <w:pPr>
        <w:autoSpaceDE w:val="0"/>
        <w:autoSpaceDN w:val="0"/>
        <w:adjustRightInd w:val="0"/>
        <w:spacing w:line="360" w:lineRule="auto"/>
        <w:ind w:firstLine="851"/>
        <w:rPr>
          <w:rFonts w:ascii="LiberationSans-Regular" w:hAnsi="LiberationSans-Regular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</w:t>
      </w:r>
      <w:r>
        <w:rPr>
          <w:rFonts w:ascii="LiberationSans-Regular" w:hAnsi="LiberationSans-Regular"/>
        </w:rPr>
        <w:t>a lo precedentemente e</w:t>
      </w:r>
      <w:r w:rsidR="00AE750C">
        <w:rPr>
          <w:rFonts w:ascii="LiberationSans-Regular" w:hAnsi="LiberationSans-Regular"/>
        </w:rPr>
        <w:t>xpuesto, a lo dispuesto por el A</w:t>
      </w:r>
      <w:r>
        <w:rPr>
          <w:rFonts w:ascii="LiberationSans-Regular" w:hAnsi="LiberationSans-Regular"/>
        </w:rPr>
        <w:t>rt</w:t>
      </w:r>
      <w:r w:rsidR="00AE750C">
        <w:rPr>
          <w:rFonts w:ascii="LiberationSans-Regular" w:hAnsi="LiberationSans-Regular"/>
        </w:rPr>
        <w:t>ículo</w:t>
      </w:r>
      <w:r>
        <w:rPr>
          <w:rFonts w:ascii="LiberationSans-Regular" w:hAnsi="LiberationSans-Regular"/>
        </w:rPr>
        <w:t xml:space="preserve"> 211 </w:t>
      </w:r>
      <w:r w:rsidR="00AE750C">
        <w:rPr>
          <w:rFonts w:ascii="LiberationSans-Regular" w:hAnsi="LiberationSans-Regular"/>
        </w:rPr>
        <w:t>L</w:t>
      </w:r>
      <w:r>
        <w:rPr>
          <w:rFonts w:ascii="LiberationSans-Regular" w:hAnsi="LiberationSans-Regular"/>
        </w:rPr>
        <w:t>it</w:t>
      </w:r>
      <w:r w:rsidR="00AE750C">
        <w:rPr>
          <w:rFonts w:ascii="LiberationSans-Regular" w:hAnsi="LiberationSans-Regular"/>
        </w:rPr>
        <w:t>eral</w:t>
      </w:r>
      <w:r>
        <w:rPr>
          <w:rFonts w:ascii="LiberationSans-Regular" w:hAnsi="LiberationSans-Regular"/>
        </w:rPr>
        <w:t xml:space="preserve"> B) de la Constitución de la República;</w:t>
      </w:r>
    </w:p>
    <w:p w:rsidR="0093713E" w:rsidRDefault="0093713E" w:rsidP="0093713E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spacing w:line="240" w:lineRule="auto"/>
        <w:rPr>
          <w:rFonts w:ascii="Arial" w:hAnsi="Arial"/>
          <w:bCs/>
          <w:snapToGrid/>
          <w:spacing w:val="0"/>
          <w:szCs w:val="24"/>
          <w:lang w:val="es-ES"/>
        </w:rPr>
      </w:pPr>
      <w:r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93713E" w:rsidRDefault="0093713E" w:rsidP="0093713E"/>
    <w:p w:rsidR="0093713E" w:rsidRDefault="0093713E" w:rsidP="00AE750C">
      <w:p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>
        <w:rPr>
          <w:b/>
          <w:bCs/>
          <w:lang w:val="es-ES_tradnl"/>
        </w:rPr>
        <w:t>1)</w:t>
      </w:r>
      <w:r>
        <w:rPr>
          <w:spacing w:val="-3"/>
          <w:lang w:val="es-ES_tradnl"/>
        </w:rPr>
        <w:t xml:space="preserve"> Cometer al Conta</w:t>
      </w:r>
      <w:r w:rsidR="0027049C">
        <w:rPr>
          <w:spacing w:val="-3"/>
          <w:lang w:val="es-ES_tradnl"/>
        </w:rPr>
        <w:t>dor Delegado la intervención</w:t>
      </w:r>
      <w:r w:rsidR="0027049C" w:rsidRPr="0027049C">
        <w:rPr>
          <w:spacing w:val="-3"/>
          <w:lang w:val="es-ES_tradnl"/>
        </w:rPr>
        <w:t xml:space="preserve"> de</w:t>
      </w:r>
      <w:r w:rsidR="007D5BF1">
        <w:rPr>
          <w:spacing w:val="-3"/>
          <w:lang w:val="es-ES_tradnl"/>
        </w:rPr>
        <w:t xml:space="preserve">l gasto </w:t>
      </w:r>
      <w:r w:rsidR="0027049C" w:rsidRPr="0027049C">
        <w:rPr>
          <w:spacing w:val="-3"/>
          <w:lang w:val="es-ES_tradnl"/>
        </w:rPr>
        <w:t xml:space="preserve">de $ </w:t>
      </w:r>
      <w:r w:rsidR="00C2691D">
        <w:rPr>
          <w:spacing w:val="-3"/>
          <w:lang w:val="es-ES_tradnl"/>
        </w:rPr>
        <w:t>96.379</w:t>
      </w:r>
      <w:r w:rsidR="0027049C">
        <w:rPr>
          <w:spacing w:val="-3"/>
          <w:lang w:val="es-ES_tradnl"/>
        </w:rPr>
        <w:t xml:space="preserve"> conjuntamente con</w:t>
      </w:r>
      <w:r>
        <w:rPr>
          <w:spacing w:val="-3"/>
          <w:lang w:val="es-ES_tradnl"/>
        </w:rPr>
        <w:t xml:space="preserve"> pago a la empresa </w:t>
      </w:r>
      <w:r w:rsidR="0027049C">
        <w:rPr>
          <w:spacing w:val="-3"/>
          <w:lang w:val="es-ES_tradnl"/>
        </w:rPr>
        <w:t>BRENALCOR S.A</w:t>
      </w:r>
      <w:r>
        <w:t>,</w:t>
      </w:r>
      <w:r>
        <w:rPr>
          <w:spacing w:val="-3"/>
          <w:lang w:val="es-ES_tradnl"/>
        </w:rPr>
        <w:t xml:space="preserve"> previo contro</w:t>
      </w:r>
      <w:r w:rsidR="00AE750C">
        <w:rPr>
          <w:spacing w:val="-3"/>
          <w:lang w:val="es-ES_tradnl"/>
        </w:rPr>
        <w:t>l de su imputación con cargo a G</w:t>
      </w:r>
      <w:r>
        <w:rPr>
          <w:spacing w:val="-3"/>
          <w:lang w:val="es-ES_tradnl"/>
        </w:rPr>
        <w:t>rupo adecuado con disponibilidad suficiente;</w:t>
      </w:r>
    </w:p>
    <w:p w:rsidR="0093713E" w:rsidRDefault="0093713E" w:rsidP="0093713E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2)</w:t>
      </w:r>
      <w:r>
        <w:rPr>
          <w:spacing w:val="-3"/>
          <w:lang w:val="es-ES_tradnl"/>
        </w:rPr>
        <w:t xml:space="preserve">  Comunicar al Contador Delegado; y</w:t>
      </w:r>
    </w:p>
    <w:p w:rsidR="00AE750C" w:rsidRDefault="0093713E" w:rsidP="00AE750C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 w:rsidR="00AE750C">
        <w:rPr>
          <w:spacing w:val="-3"/>
          <w:lang w:val="es-ES_tradnl"/>
        </w:rPr>
        <w:t xml:space="preserve">  Devolver las actuaciones.</w:t>
      </w:r>
    </w:p>
    <w:p w:rsidR="00AE750C" w:rsidRDefault="00AE750C" w:rsidP="00AE750C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</w:p>
    <w:p w:rsidR="00581BC9" w:rsidRDefault="00AE750C" w:rsidP="00AE750C">
      <w:pPr>
        <w:tabs>
          <w:tab w:val="left" w:pos="-720"/>
        </w:tabs>
        <w:suppressAutoHyphens/>
        <w:spacing w:line="360" w:lineRule="auto"/>
        <w:ind w:hanging="284"/>
        <w:jc w:val="both"/>
      </w:pPr>
      <w:proofErr w:type="gramStart"/>
      <w:r>
        <w:rPr>
          <w:spacing w:val="-3"/>
          <w:lang w:val="es-ES_tradnl"/>
        </w:rPr>
        <w:t>dc</w:t>
      </w:r>
      <w:proofErr w:type="gramEnd"/>
    </w:p>
    <w:sectPr w:rsidR="00581BC9" w:rsidSect="00ED5B1A"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1A" w:rsidRDefault="00ED5B1A" w:rsidP="00ED5B1A">
      <w:r>
        <w:separator/>
      </w:r>
    </w:p>
  </w:endnote>
  <w:endnote w:type="continuationSeparator" w:id="0">
    <w:p w:rsidR="00ED5B1A" w:rsidRDefault="00ED5B1A" w:rsidP="00ED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755906"/>
      <w:docPartObj>
        <w:docPartGallery w:val="Page Numbers (Bottom of Page)"/>
        <w:docPartUnique/>
      </w:docPartObj>
    </w:sdtPr>
    <w:sdtContent>
      <w:p w:rsidR="00ED5B1A" w:rsidRDefault="00ED5B1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50C">
          <w:rPr>
            <w:noProof/>
          </w:rPr>
          <w:t>1</w:t>
        </w:r>
        <w:r>
          <w:fldChar w:fldCharType="end"/>
        </w:r>
      </w:p>
    </w:sdtContent>
  </w:sdt>
  <w:p w:rsidR="00ED5B1A" w:rsidRDefault="00ED5B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1A" w:rsidRDefault="00ED5B1A" w:rsidP="00ED5B1A">
      <w:r>
        <w:separator/>
      </w:r>
    </w:p>
  </w:footnote>
  <w:footnote w:type="continuationSeparator" w:id="0">
    <w:p w:rsidR="00ED5B1A" w:rsidRDefault="00ED5B1A" w:rsidP="00ED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3E"/>
    <w:rsid w:val="0002587E"/>
    <w:rsid w:val="000C02F1"/>
    <w:rsid w:val="000E27F5"/>
    <w:rsid w:val="00113A43"/>
    <w:rsid w:val="00146BC6"/>
    <w:rsid w:val="001613E2"/>
    <w:rsid w:val="001F28CA"/>
    <w:rsid w:val="0027049C"/>
    <w:rsid w:val="002A6C2D"/>
    <w:rsid w:val="002B4C72"/>
    <w:rsid w:val="003D6F95"/>
    <w:rsid w:val="00581BC9"/>
    <w:rsid w:val="00621734"/>
    <w:rsid w:val="00626CBA"/>
    <w:rsid w:val="006C21D9"/>
    <w:rsid w:val="007D5BF1"/>
    <w:rsid w:val="007D67B9"/>
    <w:rsid w:val="008D2E86"/>
    <w:rsid w:val="0093713E"/>
    <w:rsid w:val="009A6DCE"/>
    <w:rsid w:val="009C18CF"/>
    <w:rsid w:val="00AC743F"/>
    <w:rsid w:val="00AE750C"/>
    <w:rsid w:val="00B05A69"/>
    <w:rsid w:val="00C2691D"/>
    <w:rsid w:val="00C41713"/>
    <w:rsid w:val="00C95BDF"/>
    <w:rsid w:val="00DA35C1"/>
    <w:rsid w:val="00DD5C76"/>
    <w:rsid w:val="00E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D5B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B1A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D5B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B1A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D5B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B1A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D5B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B1A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2018-02-05T16:08:00Z</cp:lastPrinted>
  <dcterms:created xsi:type="dcterms:W3CDTF">2018-02-05T16:08:00Z</dcterms:created>
  <dcterms:modified xsi:type="dcterms:W3CDTF">2018-02-05T16:08:00Z</dcterms:modified>
</cp:coreProperties>
</file>