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r w:rsidRPr="00A22E41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491</w:t>
      </w:r>
      <w:r w:rsidRPr="00A22E41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/18</w:t>
      </w: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A22E41" w:rsidRPr="00A22E41" w:rsidRDefault="00A22E41" w:rsidP="00A22E4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A22E41" w:rsidRPr="00A22E41" w:rsidRDefault="00A22E41" w:rsidP="00A22E4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31</w:t>
      </w:r>
      <w:r w:rsidRPr="00A22E41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 DE ENERO </w:t>
      </w: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DE 2018</w:t>
      </w: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A22E41" w:rsidRPr="00A22E41" w:rsidRDefault="00A22E41" w:rsidP="00A22E4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</w:pP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(E. E. Nº 201</w:t>
      </w:r>
      <w:r w:rsidRPr="00BD203B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7</w:t>
      </w: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-17-1-000</w:t>
      </w:r>
      <w:r w:rsidR="00BD203B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6692</w:t>
      </w: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 xml:space="preserve">, </w:t>
      </w:r>
      <w:proofErr w:type="spellStart"/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Ent</w:t>
      </w:r>
      <w:proofErr w:type="spellEnd"/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 xml:space="preserve">. N° </w:t>
      </w:r>
      <w:r w:rsidR="00BD203B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350</w:t>
      </w:r>
      <w:r w:rsidRPr="00A22E41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/18)</w:t>
      </w:r>
    </w:p>
    <w:p w:rsidR="00A22E41" w:rsidRDefault="00A22E41">
      <w:pPr>
        <w:rPr>
          <w:rFonts w:ascii="Arial" w:hAnsi="Arial" w:cs="Arial"/>
          <w:b/>
          <w:sz w:val="24"/>
          <w:szCs w:val="24"/>
        </w:rPr>
      </w:pPr>
    </w:p>
    <w:p w:rsidR="004138E1" w:rsidRDefault="00F64163" w:rsidP="00BD203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874BF3" w:rsidRPr="00874BF3">
        <w:rPr>
          <w:rFonts w:ascii="Arial" w:hAnsi="Arial" w:cs="Arial"/>
          <w:sz w:val="24"/>
          <w:szCs w:val="24"/>
        </w:rPr>
        <w:t>las</w:t>
      </w:r>
      <w:r w:rsidR="00874B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</w:t>
      </w:r>
      <w:r w:rsidR="00A8493A">
        <w:rPr>
          <w:rFonts w:ascii="Arial" w:hAnsi="Arial" w:cs="Arial"/>
          <w:sz w:val="24"/>
          <w:szCs w:val="24"/>
        </w:rPr>
        <w:t xml:space="preserve">Contadora Delegada </w:t>
      </w:r>
      <w:r w:rsidR="00BD203B">
        <w:rPr>
          <w:rFonts w:ascii="Arial" w:hAnsi="Arial" w:cs="Arial"/>
          <w:sz w:val="24"/>
          <w:szCs w:val="24"/>
        </w:rPr>
        <w:t>en</w:t>
      </w:r>
      <w:r w:rsidR="00A8493A">
        <w:rPr>
          <w:rFonts w:ascii="Arial" w:hAnsi="Arial" w:cs="Arial"/>
          <w:sz w:val="24"/>
          <w:szCs w:val="24"/>
        </w:rPr>
        <w:t xml:space="preserve"> la </w:t>
      </w:r>
      <w:r w:rsidR="000B0C1E">
        <w:rPr>
          <w:rFonts w:ascii="Arial" w:hAnsi="Arial" w:cs="Arial"/>
          <w:sz w:val="24"/>
          <w:szCs w:val="24"/>
        </w:rPr>
        <w:t>Intendencia de Montevideo</w:t>
      </w:r>
      <w:r w:rsidR="00A8493A">
        <w:rPr>
          <w:rFonts w:ascii="Arial" w:hAnsi="Arial" w:cs="Arial"/>
          <w:sz w:val="24"/>
          <w:szCs w:val="24"/>
        </w:rPr>
        <w:t>,</w:t>
      </w:r>
      <w:r w:rsidR="004138E1">
        <w:rPr>
          <w:rFonts w:ascii="Arial" w:hAnsi="Arial" w:cs="Arial"/>
          <w:sz w:val="24"/>
          <w:szCs w:val="24"/>
        </w:rPr>
        <w:t xml:space="preserve"> relacionadas con la </w:t>
      </w:r>
      <w:r w:rsidR="005B04EB">
        <w:rPr>
          <w:rFonts w:ascii="Arial" w:hAnsi="Arial" w:cs="Arial"/>
          <w:sz w:val="24"/>
          <w:szCs w:val="24"/>
        </w:rPr>
        <w:t>renovación</w:t>
      </w:r>
      <w:r w:rsidR="00375735">
        <w:rPr>
          <w:rFonts w:ascii="Arial" w:hAnsi="Arial" w:cs="Arial"/>
          <w:sz w:val="24"/>
          <w:szCs w:val="24"/>
        </w:rPr>
        <w:t xml:space="preserve"> del</w:t>
      </w:r>
      <w:r w:rsidR="005B04EB">
        <w:rPr>
          <w:rFonts w:ascii="Arial" w:hAnsi="Arial" w:cs="Arial"/>
          <w:sz w:val="24"/>
          <w:szCs w:val="24"/>
        </w:rPr>
        <w:t xml:space="preserve"> </w:t>
      </w:r>
      <w:r w:rsidR="004138E1">
        <w:rPr>
          <w:rFonts w:ascii="Arial" w:hAnsi="Arial" w:cs="Arial"/>
          <w:sz w:val="24"/>
          <w:szCs w:val="24"/>
        </w:rPr>
        <w:t xml:space="preserve"> convenio de donación modal </w:t>
      </w:r>
      <w:r w:rsidR="005809C9">
        <w:rPr>
          <w:rFonts w:ascii="Arial" w:hAnsi="Arial" w:cs="Arial"/>
          <w:sz w:val="24"/>
          <w:szCs w:val="24"/>
        </w:rPr>
        <w:t xml:space="preserve">con </w:t>
      </w:r>
      <w:r w:rsidR="004138E1">
        <w:rPr>
          <w:rFonts w:ascii="Arial" w:hAnsi="Arial" w:cs="Arial"/>
          <w:sz w:val="24"/>
          <w:szCs w:val="24"/>
        </w:rPr>
        <w:t>la Organización San Francisco de Sales</w:t>
      </w:r>
      <w:r w:rsidR="005B04EB">
        <w:rPr>
          <w:rFonts w:ascii="Arial" w:hAnsi="Arial" w:cs="Arial"/>
          <w:sz w:val="24"/>
          <w:szCs w:val="24"/>
        </w:rPr>
        <w:t xml:space="preserve"> (Padres Salesianos)</w:t>
      </w:r>
      <w:r w:rsidR="004138E1">
        <w:rPr>
          <w:rFonts w:ascii="Arial" w:hAnsi="Arial" w:cs="Arial"/>
          <w:sz w:val="24"/>
          <w:szCs w:val="24"/>
        </w:rPr>
        <w:t xml:space="preserve"> – Movimiento Tacurú, para el programa Zona Limpia</w:t>
      </w:r>
      <w:r w:rsidR="005809C9">
        <w:rPr>
          <w:rFonts w:ascii="Arial" w:hAnsi="Arial" w:cs="Arial"/>
          <w:sz w:val="24"/>
          <w:szCs w:val="24"/>
        </w:rPr>
        <w:t>;</w:t>
      </w:r>
    </w:p>
    <w:p w:rsidR="00427058" w:rsidRDefault="00F64163" w:rsidP="00BD203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Pr="004138E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 </w:t>
      </w:r>
      <w:r w:rsidR="005B04EB">
        <w:rPr>
          <w:rFonts w:ascii="Arial" w:hAnsi="Arial" w:cs="Arial"/>
          <w:sz w:val="24"/>
          <w:szCs w:val="24"/>
        </w:rPr>
        <w:t xml:space="preserve">que en fecha </w:t>
      </w:r>
      <w:r w:rsidR="00AE6DC7">
        <w:rPr>
          <w:rFonts w:ascii="Arial" w:hAnsi="Arial" w:cs="Arial"/>
          <w:sz w:val="24"/>
          <w:szCs w:val="24"/>
        </w:rPr>
        <w:t>3</w:t>
      </w:r>
      <w:r w:rsidR="005B04EB">
        <w:rPr>
          <w:rFonts w:ascii="Arial" w:hAnsi="Arial" w:cs="Arial"/>
          <w:sz w:val="24"/>
          <w:szCs w:val="24"/>
        </w:rPr>
        <w:t>1.05.17</w:t>
      </w:r>
      <w:r w:rsidR="00AE6DC7">
        <w:rPr>
          <w:rFonts w:ascii="Arial" w:hAnsi="Arial" w:cs="Arial"/>
          <w:sz w:val="24"/>
          <w:szCs w:val="24"/>
        </w:rPr>
        <w:t xml:space="preserve">, la Unidad de Control de Contratos y convenios eleva a la División de Limpieza, un proyecto de donación modal con </w:t>
      </w:r>
      <w:proofErr w:type="gramStart"/>
      <w:r w:rsidR="00AE6DC7">
        <w:rPr>
          <w:rFonts w:ascii="Arial" w:hAnsi="Arial" w:cs="Arial"/>
          <w:sz w:val="24"/>
          <w:szCs w:val="24"/>
        </w:rPr>
        <w:t>la</w:t>
      </w:r>
      <w:proofErr w:type="gramEnd"/>
      <w:r w:rsidR="00AE6DC7">
        <w:rPr>
          <w:rFonts w:ascii="Arial" w:hAnsi="Arial" w:cs="Arial"/>
          <w:sz w:val="24"/>
          <w:szCs w:val="24"/>
        </w:rPr>
        <w:t xml:space="preserve"> Organización referida, para la realización de ta</w:t>
      </w:r>
      <w:r w:rsidR="00AE6E7D">
        <w:rPr>
          <w:rFonts w:ascii="Arial" w:hAnsi="Arial" w:cs="Arial"/>
          <w:sz w:val="24"/>
          <w:szCs w:val="24"/>
        </w:rPr>
        <w:t xml:space="preserve">reas de limpieza y levante de ferias domiciliarias, </w:t>
      </w:r>
      <w:r w:rsidR="00AE6DC7">
        <w:rPr>
          <w:rFonts w:ascii="Arial" w:hAnsi="Arial" w:cs="Arial"/>
          <w:sz w:val="24"/>
          <w:szCs w:val="24"/>
        </w:rPr>
        <w:t>como experiencia educativo laboral para jóvenes mayores de 18 años de edad</w:t>
      </w:r>
      <w:r w:rsidR="00AE6E7D">
        <w:rPr>
          <w:rFonts w:ascii="Arial" w:hAnsi="Arial" w:cs="Arial"/>
          <w:sz w:val="24"/>
          <w:szCs w:val="24"/>
        </w:rPr>
        <w:t>, en condiciones de riesgo social</w:t>
      </w:r>
      <w:r w:rsidR="00AE6DC7">
        <w:rPr>
          <w:rFonts w:ascii="Arial" w:hAnsi="Arial" w:cs="Arial"/>
          <w:sz w:val="24"/>
          <w:szCs w:val="24"/>
        </w:rPr>
        <w:t>;</w:t>
      </w:r>
    </w:p>
    <w:p w:rsidR="00AE6DC7" w:rsidRDefault="00AE6DC7" w:rsidP="00BD203B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E6DC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Intendente, mediante Resolución </w:t>
      </w:r>
      <w:r w:rsidR="00BD203B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Nº </w:t>
      </w:r>
      <w:r w:rsidR="00AE6E7D">
        <w:rPr>
          <w:rFonts w:ascii="Arial" w:hAnsi="Arial" w:cs="Arial"/>
          <w:sz w:val="24"/>
          <w:szCs w:val="24"/>
        </w:rPr>
        <w:t>3089/2017 de fecha 17.07</w:t>
      </w:r>
      <w:r>
        <w:rPr>
          <w:rFonts w:ascii="Arial" w:hAnsi="Arial" w:cs="Arial"/>
          <w:sz w:val="24"/>
          <w:szCs w:val="24"/>
        </w:rPr>
        <w:t xml:space="preserve">.17, aprobó </w:t>
      </w:r>
      <w:r w:rsidR="003E4228">
        <w:rPr>
          <w:rFonts w:ascii="Arial" w:hAnsi="Arial" w:cs="Arial"/>
          <w:sz w:val="24"/>
          <w:szCs w:val="24"/>
        </w:rPr>
        <w:t>el proyecto de contrato de donación modal a suscribirse, que establece en síntesis:</w:t>
      </w:r>
    </w:p>
    <w:p w:rsidR="003E4228" w:rsidRDefault="007E298C" w:rsidP="00BD203B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E4228" w:rsidRPr="007E298C">
        <w:rPr>
          <w:rFonts w:ascii="Arial" w:hAnsi="Arial" w:cs="Arial"/>
          <w:b/>
          <w:sz w:val="24"/>
          <w:szCs w:val="24"/>
        </w:rPr>
        <w:t>.1)</w:t>
      </w:r>
      <w:r w:rsidR="003E4228">
        <w:rPr>
          <w:rFonts w:ascii="Arial" w:hAnsi="Arial" w:cs="Arial"/>
          <w:sz w:val="24"/>
          <w:szCs w:val="24"/>
        </w:rPr>
        <w:t xml:space="preserve"> </w:t>
      </w:r>
      <w:r w:rsidR="00F5445B">
        <w:rPr>
          <w:rFonts w:ascii="Arial" w:hAnsi="Arial" w:cs="Arial"/>
          <w:sz w:val="24"/>
          <w:szCs w:val="24"/>
        </w:rPr>
        <w:t>Objeto. L</w:t>
      </w:r>
      <w:r w:rsidR="003E4228">
        <w:rPr>
          <w:rFonts w:ascii="Arial" w:hAnsi="Arial" w:cs="Arial"/>
          <w:sz w:val="24"/>
          <w:szCs w:val="24"/>
        </w:rPr>
        <w:t>a Intendencia dona a la Inst</w:t>
      </w:r>
      <w:r w:rsidR="00A168A5">
        <w:rPr>
          <w:rFonts w:ascii="Arial" w:hAnsi="Arial" w:cs="Arial"/>
          <w:sz w:val="24"/>
          <w:szCs w:val="24"/>
        </w:rPr>
        <w:t xml:space="preserve">itución la suma de </w:t>
      </w:r>
      <w:r w:rsidR="00522FB5">
        <w:rPr>
          <w:rFonts w:ascii="Arial" w:hAnsi="Arial" w:cs="Arial"/>
          <w:sz w:val="24"/>
          <w:szCs w:val="24"/>
        </w:rPr>
        <w:t xml:space="preserve">$ 6:924.771, que se integrará: </w:t>
      </w:r>
      <w:r w:rsidR="00A168A5">
        <w:rPr>
          <w:rFonts w:ascii="Arial" w:hAnsi="Arial" w:cs="Arial"/>
          <w:sz w:val="24"/>
          <w:szCs w:val="24"/>
        </w:rPr>
        <w:t xml:space="preserve">$ 6:295.246,80, que se abonará en 6 cuotas iguales, mensuales y consecutivas de $ 1:049.207,80, cada una, abonándose la primera cuota luego de la firma del convenio y las restantes al vencimiento de cada mes, una vez aprobada por la Intendencia la rendición de cuentas correspondiente. </w:t>
      </w:r>
      <w:r w:rsidR="003E4228">
        <w:rPr>
          <w:rFonts w:ascii="Arial" w:hAnsi="Arial" w:cs="Arial"/>
          <w:sz w:val="24"/>
          <w:szCs w:val="24"/>
        </w:rPr>
        <w:t xml:space="preserve"> La suma de</w:t>
      </w:r>
      <w:r w:rsidR="00A168A5">
        <w:rPr>
          <w:rFonts w:ascii="Arial" w:hAnsi="Arial" w:cs="Arial"/>
          <w:sz w:val="24"/>
          <w:szCs w:val="24"/>
        </w:rPr>
        <w:t xml:space="preserve"> $ 629.524,68 por concepto de imprevistos, equivalente al</w:t>
      </w:r>
      <w:r w:rsidR="003E4228">
        <w:rPr>
          <w:rFonts w:ascii="Arial" w:hAnsi="Arial" w:cs="Arial"/>
          <w:sz w:val="24"/>
          <w:szCs w:val="24"/>
        </w:rPr>
        <w:t xml:space="preserve"> 10% de la suma referenciada en primer lugar se abonará en concepto de imprevistos, que solo </w:t>
      </w:r>
      <w:r w:rsidR="00A168A5">
        <w:rPr>
          <w:rFonts w:ascii="Arial" w:hAnsi="Arial" w:cs="Arial"/>
          <w:sz w:val="24"/>
          <w:szCs w:val="24"/>
        </w:rPr>
        <w:t>podrá ser afectada a pedido expreso de la Intendencia.</w:t>
      </w:r>
      <w:r w:rsidR="00F5445B">
        <w:rPr>
          <w:rFonts w:ascii="Arial" w:hAnsi="Arial" w:cs="Arial"/>
          <w:sz w:val="24"/>
          <w:szCs w:val="24"/>
        </w:rPr>
        <w:t xml:space="preserve"> El ajuste de los ítems del objeto se realizará semestralmente por IPC y los coordinadores y educandos ajustarán por Consejo de Salarios correspondiente al Grupo 16, Sub Grupo 07</w:t>
      </w:r>
      <w:r>
        <w:rPr>
          <w:rFonts w:ascii="Arial" w:hAnsi="Arial" w:cs="Arial"/>
          <w:sz w:val="24"/>
          <w:szCs w:val="24"/>
        </w:rPr>
        <w:t xml:space="preserve"> (Clausula Segunda)</w:t>
      </w:r>
      <w:r w:rsidR="00F5445B">
        <w:rPr>
          <w:rFonts w:ascii="Arial" w:hAnsi="Arial" w:cs="Arial"/>
          <w:sz w:val="24"/>
          <w:szCs w:val="24"/>
        </w:rPr>
        <w:t>;</w:t>
      </w:r>
    </w:p>
    <w:p w:rsidR="003E4228" w:rsidRDefault="007E298C" w:rsidP="00BD203B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40F5">
        <w:rPr>
          <w:rFonts w:ascii="Arial" w:hAnsi="Arial" w:cs="Arial"/>
          <w:b/>
          <w:sz w:val="24"/>
          <w:szCs w:val="24"/>
        </w:rPr>
        <w:lastRenderedPageBreak/>
        <w:t>2</w:t>
      </w:r>
      <w:r w:rsidR="003E4228" w:rsidRPr="001B40F5">
        <w:rPr>
          <w:rFonts w:ascii="Arial" w:hAnsi="Arial" w:cs="Arial"/>
          <w:b/>
          <w:sz w:val="24"/>
          <w:szCs w:val="24"/>
        </w:rPr>
        <w:t>.2)</w:t>
      </w:r>
      <w:r w:rsidR="003E4228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prevé que </w:t>
      </w:r>
      <w:r w:rsidR="003E4228">
        <w:rPr>
          <w:rFonts w:ascii="Arial" w:hAnsi="Arial" w:cs="Arial"/>
          <w:sz w:val="24"/>
          <w:szCs w:val="24"/>
        </w:rPr>
        <w:t xml:space="preserve">la Institución </w:t>
      </w:r>
      <w:r>
        <w:rPr>
          <w:rFonts w:ascii="Arial" w:hAnsi="Arial" w:cs="Arial"/>
          <w:sz w:val="24"/>
          <w:szCs w:val="24"/>
        </w:rPr>
        <w:t>deberá cumplir con un</w:t>
      </w:r>
      <w:r w:rsidR="003E4228">
        <w:rPr>
          <w:rFonts w:ascii="Arial" w:hAnsi="Arial" w:cs="Arial"/>
          <w:sz w:val="24"/>
          <w:szCs w:val="24"/>
        </w:rPr>
        <w:t xml:space="preserve"> modo consistente en seleccionar e incorporar a las tarea</w:t>
      </w:r>
      <w:r w:rsidR="002D0542">
        <w:rPr>
          <w:rFonts w:ascii="Arial" w:hAnsi="Arial" w:cs="Arial"/>
          <w:sz w:val="24"/>
          <w:szCs w:val="24"/>
        </w:rPr>
        <w:t>s socio-educativo-laborales a 20 peones y 2 coordinadores para las tareas de limpieza y levante de ferias domiciliarias (hasta 27 semanales con frecuencia semanal dos), en horario de finalización de las mismas.</w:t>
      </w:r>
      <w:r w:rsidR="003E4228">
        <w:rPr>
          <w:rFonts w:ascii="Arial" w:hAnsi="Arial" w:cs="Arial"/>
          <w:sz w:val="24"/>
          <w:szCs w:val="24"/>
        </w:rPr>
        <w:t xml:space="preserve"> </w:t>
      </w:r>
      <w:r w:rsidR="002D0542">
        <w:rPr>
          <w:rFonts w:ascii="Arial" w:hAnsi="Arial" w:cs="Arial"/>
          <w:sz w:val="24"/>
          <w:szCs w:val="24"/>
        </w:rPr>
        <w:t xml:space="preserve">Los educandos realizarán las tareas </w:t>
      </w:r>
      <w:r w:rsidR="003E4228">
        <w:rPr>
          <w:rFonts w:ascii="Arial" w:hAnsi="Arial" w:cs="Arial"/>
          <w:sz w:val="24"/>
          <w:szCs w:val="24"/>
        </w:rPr>
        <w:t xml:space="preserve">con una carga horaria de 6 horas de labor, de </w:t>
      </w:r>
      <w:r w:rsidR="002D0542">
        <w:rPr>
          <w:rFonts w:ascii="Arial" w:hAnsi="Arial" w:cs="Arial"/>
          <w:sz w:val="24"/>
          <w:szCs w:val="24"/>
        </w:rPr>
        <w:t>martes a domingo con un total de</w:t>
      </w:r>
      <w:r w:rsidR="003E4228">
        <w:rPr>
          <w:rFonts w:ascii="Arial" w:hAnsi="Arial" w:cs="Arial"/>
          <w:sz w:val="24"/>
          <w:szCs w:val="24"/>
        </w:rPr>
        <w:t xml:space="preserve"> 36 horas semanales. La organización y supervisión de las tareas estarán a cargo de un </w:t>
      </w:r>
      <w:r>
        <w:rPr>
          <w:rFonts w:ascii="Arial" w:hAnsi="Arial" w:cs="Arial"/>
          <w:sz w:val="24"/>
          <w:szCs w:val="24"/>
        </w:rPr>
        <w:t>C</w:t>
      </w:r>
      <w:r w:rsidR="003E4228">
        <w:rPr>
          <w:rFonts w:ascii="Arial" w:hAnsi="Arial" w:cs="Arial"/>
          <w:sz w:val="24"/>
          <w:szCs w:val="24"/>
        </w:rPr>
        <w:t xml:space="preserve">oordinador </w:t>
      </w:r>
      <w:r w:rsidR="002D0542">
        <w:rPr>
          <w:rFonts w:ascii="Arial" w:hAnsi="Arial" w:cs="Arial"/>
          <w:sz w:val="24"/>
          <w:szCs w:val="24"/>
        </w:rPr>
        <w:t>de Servicios</w:t>
      </w:r>
      <w:r w:rsidR="003E4228">
        <w:rPr>
          <w:rFonts w:ascii="Arial" w:hAnsi="Arial" w:cs="Arial"/>
          <w:sz w:val="24"/>
          <w:szCs w:val="24"/>
        </w:rPr>
        <w:t xml:space="preserve"> y dos </w:t>
      </w:r>
      <w:r>
        <w:rPr>
          <w:rFonts w:ascii="Arial" w:hAnsi="Arial" w:cs="Arial"/>
          <w:sz w:val="24"/>
          <w:szCs w:val="24"/>
        </w:rPr>
        <w:t>E</w:t>
      </w:r>
      <w:r w:rsidR="003E4228">
        <w:rPr>
          <w:rFonts w:ascii="Arial" w:hAnsi="Arial" w:cs="Arial"/>
          <w:sz w:val="24"/>
          <w:szCs w:val="24"/>
        </w:rPr>
        <w:t>ducadores de la Institución</w:t>
      </w:r>
      <w:r>
        <w:rPr>
          <w:rFonts w:ascii="Arial" w:hAnsi="Arial" w:cs="Arial"/>
          <w:sz w:val="24"/>
          <w:szCs w:val="24"/>
        </w:rPr>
        <w:t>. Estos tendrán a su cargo la compra de los insumos (Numeral III) (Clausula Tercera)</w:t>
      </w:r>
      <w:r w:rsidR="003E4228">
        <w:rPr>
          <w:rFonts w:ascii="Arial" w:hAnsi="Arial" w:cs="Arial"/>
          <w:sz w:val="24"/>
          <w:szCs w:val="24"/>
        </w:rPr>
        <w:t>;</w:t>
      </w:r>
    </w:p>
    <w:p w:rsidR="006B3F9E" w:rsidRDefault="007E298C" w:rsidP="00BD203B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542">
        <w:rPr>
          <w:rFonts w:ascii="Arial" w:hAnsi="Arial" w:cs="Arial"/>
          <w:b/>
          <w:sz w:val="24"/>
          <w:szCs w:val="24"/>
        </w:rPr>
        <w:t>2</w:t>
      </w:r>
      <w:r w:rsidR="003E4228" w:rsidRPr="002D0542">
        <w:rPr>
          <w:rFonts w:ascii="Arial" w:hAnsi="Arial" w:cs="Arial"/>
          <w:b/>
          <w:sz w:val="24"/>
          <w:szCs w:val="24"/>
        </w:rPr>
        <w:t xml:space="preserve">.3) </w:t>
      </w:r>
      <w:r w:rsidR="003E4228">
        <w:rPr>
          <w:rFonts w:ascii="Arial" w:hAnsi="Arial" w:cs="Arial"/>
          <w:sz w:val="24"/>
          <w:szCs w:val="24"/>
        </w:rPr>
        <w:t>la Institución deberá además –entre otras obligaciones- llevar registros contables y presentar rendición de cuentas con los requerimientos estipulados, respecto de la partida transferida, con anterioridad al recibo de cada partida subsiguiente</w:t>
      </w:r>
      <w:r>
        <w:rPr>
          <w:rFonts w:ascii="Arial" w:hAnsi="Arial" w:cs="Arial"/>
          <w:sz w:val="24"/>
          <w:szCs w:val="24"/>
        </w:rPr>
        <w:t>. Exhibir asimismo certificado de regularidad de pago ante BPS, BSE</w:t>
      </w:r>
      <w:r w:rsidR="006B3F9E">
        <w:rPr>
          <w:rFonts w:ascii="Arial" w:hAnsi="Arial" w:cs="Arial"/>
          <w:sz w:val="24"/>
          <w:szCs w:val="24"/>
        </w:rPr>
        <w:t xml:space="preserve">, planilla de control de trabajo entre otros (Numeral VI); </w:t>
      </w:r>
    </w:p>
    <w:p w:rsidR="003E4228" w:rsidRDefault="007E298C" w:rsidP="00BD203B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277">
        <w:rPr>
          <w:rFonts w:ascii="Arial" w:hAnsi="Arial" w:cs="Arial"/>
          <w:b/>
          <w:sz w:val="24"/>
          <w:szCs w:val="24"/>
        </w:rPr>
        <w:t>2</w:t>
      </w:r>
      <w:r w:rsidR="003E4228" w:rsidRPr="00AE1277">
        <w:rPr>
          <w:rFonts w:ascii="Arial" w:hAnsi="Arial" w:cs="Arial"/>
          <w:b/>
          <w:sz w:val="24"/>
          <w:szCs w:val="24"/>
        </w:rPr>
        <w:t>.4)</w:t>
      </w:r>
      <w:r w:rsidR="003E4228">
        <w:rPr>
          <w:rFonts w:ascii="Arial" w:hAnsi="Arial" w:cs="Arial"/>
          <w:sz w:val="24"/>
          <w:szCs w:val="24"/>
        </w:rPr>
        <w:t xml:space="preserve"> la Institución acepta la donación y se obliga a cumplir puntual</w:t>
      </w:r>
      <w:r w:rsidR="00AE1277">
        <w:rPr>
          <w:rFonts w:ascii="Arial" w:hAnsi="Arial" w:cs="Arial"/>
          <w:sz w:val="24"/>
          <w:szCs w:val="24"/>
        </w:rPr>
        <w:t xml:space="preserve">mente con el modo a partir del </w:t>
      </w:r>
      <w:r w:rsidR="003E4228">
        <w:rPr>
          <w:rFonts w:ascii="Arial" w:hAnsi="Arial" w:cs="Arial"/>
          <w:sz w:val="24"/>
          <w:szCs w:val="24"/>
        </w:rPr>
        <w:t>1</w:t>
      </w:r>
      <w:r w:rsidR="00AE1277">
        <w:rPr>
          <w:rFonts w:ascii="Arial" w:hAnsi="Arial" w:cs="Arial"/>
          <w:sz w:val="24"/>
          <w:szCs w:val="24"/>
        </w:rPr>
        <w:t>.07.17</w:t>
      </w:r>
      <w:r w:rsidR="003E4228">
        <w:rPr>
          <w:rFonts w:ascii="Arial" w:hAnsi="Arial" w:cs="Arial"/>
          <w:sz w:val="24"/>
          <w:szCs w:val="24"/>
        </w:rPr>
        <w:t xml:space="preserve"> y por el término de 6 meses, pudiendo ser renovado hasta por un plazo equivalente, si mediare evaluación previa favorable de la División Limpieza</w:t>
      </w:r>
      <w:r w:rsidR="006B3F9E">
        <w:rPr>
          <w:rFonts w:ascii="Arial" w:hAnsi="Arial" w:cs="Arial"/>
          <w:sz w:val="24"/>
          <w:szCs w:val="24"/>
        </w:rPr>
        <w:t xml:space="preserve"> (Clausula Cuarta)</w:t>
      </w:r>
      <w:r w:rsidR="003E4228">
        <w:rPr>
          <w:rFonts w:ascii="Arial" w:hAnsi="Arial" w:cs="Arial"/>
          <w:sz w:val="24"/>
          <w:szCs w:val="24"/>
        </w:rPr>
        <w:t>;</w:t>
      </w:r>
      <w:r w:rsidR="00C8789C">
        <w:rPr>
          <w:rFonts w:ascii="Arial" w:hAnsi="Arial" w:cs="Arial"/>
          <w:sz w:val="24"/>
          <w:szCs w:val="24"/>
        </w:rPr>
        <w:tab/>
      </w:r>
    </w:p>
    <w:p w:rsidR="000800BD" w:rsidRDefault="006B3F9E" w:rsidP="00127355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5445B" w:rsidRPr="00F5445B">
        <w:rPr>
          <w:rFonts w:ascii="Arial" w:hAnsi="Arial" w:cs="Arial"/>
          <w:b/>
          <w:sz w:val="24"/>
          <w:szCs w:val="24"/>
        </w:rPr>
        <w:t>)</w:t>
      </w:r>
      <w:r w:rsidR="00F5445B">
        <w:rPr>
          <w:rFonts w:ascii="Arial" w:hAnsi="Arial" w:cs="Arial"/>
          <w:b/>
          <w:sz w:val="24"/>
          <w:szCs w:val="24"/>
        </w:rPr>
        <w:t xml:space="preserve"> </w:t>
      </w:r>
      <w:r w:rsidR="00F5445B">
        <w:rPr>
          <w:rFonts w:ascii="Arial" w:hAnsi="Arial" w:cs="Arial"/>
          <w:sz w:val="24"/>
          <w:szCs w:val="24"/>
        </w:rPr>
        <w:t xml:space="preserve">que </w:t>
      </w:r>
      <w:r w:rsidR="000800BD">
        <w:rPr>
          <w:rFonts w:ascii="Arial" w:hAnsi="Arial" w:cs="Arial"/>
          <w:sz w:val="24"/>
          <w:szCs w:val="24"/>
        </w:rPr>
        <w:t>con fecha 1.08.17 la Contadora Delegada observó el gasto por contravención a lo dispuesto por el Art</w:t>
      </w:r>
      <w:r w:rsidR="00127355">
        <w:rPr>
          <w:rFonts w:ascii="Arial" w:hAnsi="Arial" w:cs="Arial"/>
          <w:sz w:val="24"/>
          <w:szCs w:val="24"/>
        </w:rPr>
        <w:t>ículo 33 del TOCAF, y Artículo</w:t>
      </w:r>
      <w:r w:rsidR="000800BD">
        <w:rPr>
          <w:rFonts w:ascii="Arial" w:hAnsi="Arial" w:cs="Arial"/>
          <w:sz w:val="24"/>
          <w:szCs w:val="24"/>
        </w:rPr>
        <w:t xml:space="preserve"> 211 </w:t>
      </w:r>
      <w:r w:rsidR="00127355">
        <w:rPr>
          <w:rFonts w:ascii="Arial" w:hAnsi="Arial" w:cs="Arial"/>
          <w:sz w:val="24"/>
          <w:szCs w:val="24"/>
        </w:rPr>
        <w:t>L</w:t>
      </w:r>
      <w:r w:rsidR="000800BD">
        <w:rPr>
          <w:rFonts w:ascii="Arial" w:hAnsi="Arial" w:cs="Arial"/>
          <w:sz w:val="24"/>
          <w:szCs w:val="24"/>
        </w:rPr>
        <w:t>it</w:t>
      </w:r>
      <w:r w:rsidR="00127355">
        <w:rPr>
          <w:rFonts w:ascii="Arial" w:hAnsi="Arial" w:cs="Arial"/>
          <w:sz w:val="24"/>
          <w:szCs w:val="24"/>
        </w:rPr>
        <w:t>eral</w:t>
      </w:r>
      <w:r w:rsidR="000800BD">
        <w:rPr>
          <w:rFonts w:ascii="Arial" w:hAnsi="Arial" w:cs="Arial"/>
          <w:sz w:val="24"/>
          <w:szCs w:val="24"/>
        </w:rPr>
        <w:t xml:space="preserve"> B</w:t>
      </w:r>
      <w:r w:rsidR="00127355">
        <w:rPr>
          <w:rFonts w:ascii="Arial" w:hAnsi="Arial" w:cs="Arial"/>
          <w:sz w:val="24"/>
          <w:szCs w:val="24"/>
        </w:rPr>
        <w:t>)</w:t>
      </w:r>
      <w:r w:rsidR="000800BD"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0800BD" w:rsidRDefault="000800BD" w:rsidP="00127355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800B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Nº 3453/17 de fecha 7.08.17, el Intendente de Montevideo reiteró el g</w:t>
      </w:r>
      <w:r w:rsidR="00986F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sto</w:t>
      </w:r>
      <w:r w:rsidR="00986FD2">
        <w:rPr>
          <w:rFonts w:ascii="Arial" w:hAnsi="Arial" w:cs="Arial"/>
          <w:sz w:val="24"/>
          <w:szCs w:val="24"/>
        </w:rPr>
        <w:t xml:space="preserve"> por razones de servicio;</w:t>
      </w:r>
    </w:p>
    <w:p w:rsidR="00986FD2" w:rsidRDefault="00986FD2" w:rsidP="00127355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86FD2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370F1F">
        <w:rPr>
          <w:rFonts w:ascii="Arial" w:hAnsi="Arial" w:cs="Arial"/>
          <w:sz w:val="24"/>
          <w:szCs w:val="24"/>
        </w:rPr>
        <w:t xml:space="preserve"> con fecha 1.09.17 se suscribió el presente convenio;</w:t>
      </w:r>
    </w:p>
    <w:p w:rsidR="00370F1F" w:rsidRPr="00370F1F" w:rsidRDefault="00370F1F" w:rsidP="00127355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70F1F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3D0BAF">
        <w:rPr>
          <w:rFonts w:ascii="Arial" w:hAnsi="Arial" w:cs="Arial"/>
          <w:sz w:val="24"/>
          <w:szCs w:val="24"/>
        </w:rPr>
        <w:t xml:space="preserve"> contando con la aceptación por la Sociedad San Francisco de Sales, respecto la prórroga de la Donación Modal del “Servicio de Ferias” en iguales condiciones y por un mismo período de 6 meses más, por </w:t>
      </w:r>
      <w:r w:rsidR="003D0BAF">
        <w:rPr>
          <w:rFonts w:ascii="Arial" w:hAnsi="Arial" w:cs="Arial"/>
          <w:sz w:val="24"/>
          <w:szCs w:val="24"/>
        </w:rPr>
        <w:lastRenderedPageBreak/>
        <w:t>Resolución Nº 5795/17 de fecha 22.12.17, el Intendente de Montevideo, resolvió prorrogar por el plazo de 6 meses, a partir del 1º de enero de 2018, el contrato de referencia, aprobado por Resolución Nº 3089/17 de fecha 17.07.17, y disponer que una vez iniciado el ejercicio 2018, vuelvan las actuaciones a la Oficina de Gestión Presupuestal, para la imputación del gasto;</w:t>
      </w:r>
    </w:p>
    <w:p w:rsidR="003E4228" w:rsidRPr="00AE6DC7" w:rsidRDefault="00522FB5" w:rsidP="002108E8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22FB5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fecha 11.01.18 se imputó la suma de $ 6: 924.772. </w:t>
      </w: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cargo </w:t>
      </w:r>
      <w:r w:rsidR="00F5445B">
        <w:rPr>
          <w:rFonts w:ascii="Arial" w:hAnsi="Arial" w:cs="Arial"/>
          <w:sz w:val="24"/>
          <w:szCs w:val="24"/>
        </w:rPr>
        <w:t>a la Act</w:t>
      </w:r>
      <w:r>
        <w:rPr>
          <w:rFonts w:ascii="Arial" w:hAnsi="Arial" w:cs="Arial"/>
          <w:sz w:val="24"/>
          <w:szCs w:val="24"/>
        </w:rPr>
        <w:t>ividad 308000411, Derivado 552000</w:t>
      </w:r>
      <w:r w:rsidR="006B3F9E">
        <w:rPr>
          <w:rFonts w:ascii="Arial" w:hAnsi="Arial" w:cs="Arial"/>
          <w:sz w:val="24"/>
          <w:szCs w:val="24"/>
        </w:rPr>
        <w:t>, Ejercicio 20</w:t>
      </w:r>
      <w:r w:rsidR="00F5445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8, con disponibilidad</w:t>
      </w:r>
      <w:r w:rsidR="00F5445B">
        <w:rPr>
          <w:rFonts w:ascii="Arial" w:hAnsi="Arial" w:cs="Arial"/>
          <w:sz w:val="24"/>
          <w:szCs w:val="24"/>
        </w:rPr>
        <w:t>;</w:t>
      </w:r>
    </w:p>
    <w:p w:rsidR="00AA12F8" w:rsidRDefault="00E22D01" w:rsidP="002108E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AA12F8">
        <w:rPr>
          <w:rFonts w:ascii="Arial" w:hAnsi="Arial" w:cs="Arial"/>
          <w:sz w:val="24"/>
          <w:szCs w:val="24"/>
        </w:rPr>
        <w:t>que en la contratación proyectada no se configuran los elementos que la legislación aplicable (</w:t>
      </w:r>
      <w:r w:rsidR="00607C89">
        <w:rPr>
          <w:rFonts w:ascii="Arial" w:hAnsi="Arial" w:cs="Arial"/>
          <w:sz w:val="24"/>
          <w:szCs w:val="24"/>
        </w:rPr>
        <w:t>A</w:t>
      </w:r>
      <w:r w:rsidR="006C028F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proofErr w:type="spellStart"/>
      <w:r w:rsidR="00AA12F8">
        <w:rPr>
          <w:rFonts w:ascii="Arial" w:hAnsi="Arial" w:cs="Arial"/>
          <w:sz w:val="24"/>
          <w:szCs w:val="24"/>
        </w:rPr>
        <w:t>rtículos</w:t>
      </w:r>
      <w:proofErr w:type="spellEnd"/>
      <w:r w:rsidR="00AA12F8">
        <w:rPr>
          <w:rFonts w:ascii="Arial" w:hAnsi="Arial" w:cs="Arial"/>
          <w:sz w:val="24"/>
          <w:szCs w:val="24"/>
        </w:rPr>
        <w:t xml:space="preserve"> 1613 y 1615 del Código Civil), establece para su calificación como donación modal, no teniendo por causa una mera liberalidad sino contratar servicios personales, para el cumplimiento de un cometido municipal;</w:t>
      </w:r>
    </w:p>
    <w:p w:rsidR="00AA12F8" w:rsidRDefault="00AA12F8" w:rsidP="002108E8">
      <w:pPr>
        <w:tabs>
          <w:tab w:val="left" w:pos="2127"/>
        </w:tabs>
        <w:spacing w:after="0" w:line="360" w:lineRule="auto"/>
        <w:ind w:firstLine="3119"/>
        <w:jc w:val="both"/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</w:pPr>
      <w:r w:rsidRPr="00AA12F8">
        <w:rPr>
          <w:rFonts w:ascii="Arial" w:hAnsi="Arial" w:cs="Arial"/>
          <w:b/>
          <w:sz w:val="24"/>
          <w:szCs w:val="24"/>
        </w:rPr>
        <w:t>2</w:t>
      </w:r>
      <w:r w:rsidR="00F80215" w:rsidRPr="00AA12F8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r w:rsidR="00F80215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F80215" w:rsidRPr="00F80215">
        <w:rPr>
          <w:rFonts w:ascii="Arial" w:eastAsia="Times New Roman" w:hAnsi="Arial" w:cs="Times New Roman"/>
          <w:sz w:val="24"/>
          <w:szCs w:val="24"/>
          <w:lang w:eastAsia="es-ES"/>
        </w:rPr>
        <w:t>que por lo tanto, el contrato en cuestión tiene la naturaleza jurídica de un arrendamiento de servicios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F80215" w:rsidRPr="00F80215">
        <w:rPr>
          <w:rFonts w:ascii="Arial" w:eastAsia="Times New Roman" w:hAnsi="Arial" w:cs="Times New Roman"/>
          <w:sz w:val="24"/>
          <w:szCs w:val="24"/>
          <w:lang w:eastAsia="es-ES"/>
        </w:rPr>
        <w:t xml:space="preserve"> y como tal el procedimiento de selección de la firma contratada</w:t>
      </w:r>
      <w:r w:rsidR="00F80215" w:rsidRPr="00F80215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 se rige por lo dispuesto por el </w:t>
      </w:r>
      <w:r w:rsidR="002108E8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A</w:t>
      </w:r>
      <w:r w:rsidR="00F80215" w:rsidRPr="00F80215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rtículo 33 del T.O.C.A.F.; </w:t>
      </w:r>
    </w:p>
    <w:p w:rsidR="00F80215" w:rsidRPr="00F80215" w:rsidRDefault="00AA12F8" w:rsidP="002108E8">
      <w:pPr>
        <w:tabs>
          <w:tab w:val="left" w:pos="2127"/>
        </w:tabs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A12F8">
        <w:rPr>
          <w:rFonts w:ascii="Arial" w:eastAsia="Times New Roman" w:hAnsi="Arial" w:cs="Arial"/>
          <w:b/>
          <w:spacing w:val="-3"/>
          <w:sz w:val="24"/>
          <w:szCs w:val="24"/>
          <w:lang w:val="es-ES_tradnl" w:eastAsia="es-ES"/>
        </w:rPr>
        <w:t>3</w:t>
      </w:r>
      <w:r w:rsidR="00F80215" w:rsidRPr="00AA12F8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F80215" w:rsidRPr="00F802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80215" w:rsidRPr="00F8021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E4A82">
        <w:rPr>
          <w:rFonts w:ascii="Arial" w:eastAsia="Times New Roman" w:hAnsi="Arial" w:cs="Arial"/>
          <w:sz w:val="24"/>
          <w:szCs w:val="24"/>
          <w:lang w:eastAsia="es-ES"/>
        </w:rPr>
        <w:t>que el convenio comenz</w:t>
      </w:r>
      <w:r w:rsidR="00522FB5">
        <w:rPr>
          <w:rFonts w:ascii="Arial" w:eastAsia="Times New Roman" w:hAnsi="Arial" w:cs="Arial"/>
          <w:sz w:val="24"/>
          <w:szCs w:val="24"/>
          <w:lang w:eastAsia="es-ES"/>
        </w:rPr>
        <w:t>ará a regir desde el 01 de enero</w:t>
      </w:r>
      <w:r w:rsidR="000E4A82">
        <w:rPr>
          <w:rFonts w:ascii="Arial" w:eastAsia="Times New Roman" w:hAnsi="Arial" w:cs="Arial"/>
          <w:sz w:val="24"/>
          <w:szCs w:val="24"/>
          <w:lang w:eastAsia="es-ES"/>
        </w:rPr>
        <w:t xml:space="preserve"> del presente</w:t>
      </w:r>
      <w:r w:rsidR="00522FB5">
        <w:rPr>
          <w:rFonts w:ascii="Arial" w:eastAsia="Times New Roman" w:hAnsi="Arial" w:cs="Arial"/>
          <w:sz w:val="24"/>
          <w:szCs w:val="24"/>
          <w:lang w:eastAsia="es-ES"/>
        </w:rPr>
        <w:t xml:space="preserve"> (Resultando 6</w:t>
      </w:r>
      <w:r w:rsidR="000E4A82">
        <w:rPr>
          <w:rFonts w:ascii="Arial" w:eastAsia="Times New Roman" w:hAnsi="Arial" w:cs="Arial"/>
          <w:sz w:val="24"/>
          <w:szCs w:val="24"/>
          <w:lang w:eastAsia="es-ES"/>
        </w:rPr>
        <w:t xml:space="preserve">), por lo cual </w:t>
      </w:r>
      <w:r w:rsidR="00752BD5">
        <w:rPr>
          <w:rFonts w:ascii="Arial" w:eastAsia="Times New Roman" w:hAnsi="Arial" w:cs="Arial"/>
          <w:sz w:val="24"/>
          <w:szCs w:val="24"/>
          <w:lang w:eastAsia="es-ES"/>
        </w:rPr>
        <w:t>cuenta con principio de ejecución</w:t>
      </w:r>
      <w:r w:rsidR="000E4A82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752BD5">
        <w:rPr>
          <w:rFonts w:ascii="Arial" w:eastAsia="Times New Roman" w:hAnsi="Arial" w:cs="Arial"/>
          <w:sz w:val="24"/>
          <w:szCs w:val="24"/>
          <w:lang w:eastAsia="es-ES"/>
        </w:rPr>
        <w:t xml:space="preserve"> en contravención de lo dispuesto por el </w:t>
      </w:r>
      <w:r w:rsidR="002108E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752BD5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2108E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752BD5">
        <w:rPr>
          <w:rFonts w:ascii="Arial" w:eastAsia="Times New Roman" w:hAnsi="Arial" w:cs="Arial"/>
          <w:sz w:val="24"/>
          <w:szCs w:val="24"/>
          <w:lang w:eastAsia="es-ES"/>
        </w:rPr>
        <w:t>iteral B de la Constitución de la República</w:t>
      </w:r>
      <w:r w:rsidR="000E4A82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2108E8" w:rsidRDefault="00E22D01" w:rsidP="002108E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</w:t>
      </w:r>
      <w:r w:rsidR="00752BD5">
        <w:rPr>
          <w:rFonts w:ascii="Arial" w:hAnsi="Arial" w:cs="Arial"/>
          <w:sz w:val="24"/>
          <w:szCs w:val="24"/>
        </w:rPr>
        <w:t xml:space="preserve"> y a lo dispuesto por el </w:t>
      </w:r>
      <w:r w:rsidR="002108E8">
        <w:rPr>
          <w:rFonts w:ascii="Arial" w:hAnsi="Arial" w:cs="Arial"/>
          <w:sz w:val="24"/>
          <w:szCs w:val="24"/>
        </w:rPr>
        <w:t>A</w:t>
      </w:r>
      <w:r w:rsidR="00752BD5">
        <w:rPr>
          <w:rFonts w:ascii="Arial" w:hAnsi="Arial" w:cs="Arial"/>
          <w:sz w:val="24"/>
          <w:szCs w:val="24"/>
        </w:rPr>
        <w:t xml:space="preserve">rtículo 211 </w:t>
      </w:r>
      <w:r w:rsidR="002108E8">
        <w:rPr>
          <w:rFonts w:ascii="Arial" w:hAnsi="Arial" w:cs="Arial"/>
          <w:sz w:val="24"/>
          <w:szCs w:val="24"/>
        </w:rPr>
        <w:t>L</w:t>
      </w:r>
      <w:r w:rsidR="00752BD5">
        <w:rPr>
          <w:rFonts w:ascii="Arial" w:hAnsi="Arial" w:cs="Arial"/>
          <w:sz w:val="24"/>
          <w:szCs w:val="24"/>
        </w:rPr>
        <w:t>iteral B</w:t>
      </w:r>
      <w:r w:rsidR="001018BC">
        <w:rPr>
          <w:rFonts w:ascii="Arial" w:hAnsi="Arial" w:cs="Arial"/>
          <w:sz w:val="24"/>
          <w:szCs w:val="24"/>
        </w:rPr>
        <w:t>)</w:t>
      </w:r>
      <w:r w:rsidR="00752BD5">
        <w:rPr>
          <w:rFonts w:ascii="Arial" w:hAnsi="Arial" w:cs="Arial"/>
          <w:sz w:val="24"/>
          <w:szCs w:val="24"/>
        </w:rPr>
        <w:t xml:space="preserve"> de la Constitución de la República</w:t>
      </w:r>
      <w:r w:rsidR="002108E8">
        <w:rPr>
          <w:rFonts w:ascii="Arial" w:hAnsi="Arial" w:cs="Arial"/>
          <w:sz w:val="24"/>
          <w:szCs w:val="24"/>
        </w:rPr>
        <w:t>;</w:t>
      </w:r>
    </w:p>
    <w:p w:rsidR="00E22D01" w:rsidRPr="003769A1" w:rsidRDefault="00E22D01" w:rsidP="002108E8">
      <w:pPr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769A1">
        <w:rPr>
          <w:rFonts w:ascii="Arial" w:hAnsi="Arial" w:cs="Arial"/>
          <w:b/>
          <w:sz w:val="24"/>
          <w:szCs w:val="24"/>
        </w:rPr>
        <w:t>EL TRIBUNAL ACUERDA</w:t>
      </w:r>
    </w:p>
    <w:p w:rsidR="00E22D01" w:rsidRPr="00F01F35" w:rsidRDefault="00BD203B" w:rsidP="00BD203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D203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AA12F8">
        <w:rPr>
          <w:rFonts w:ascii="Arial" w:hAnsi="Arial" w:cs="Arial"/>
          <w:sz w:val="24"/>
          <w:szCs w:val="24"/>
        </w:rPr>
        <w:t>Observar el gasto;</w:t>
      </w:r>
    </w:p>
    <w:p w:rsidR="00E22D01" w:rsidRDefault="00BD203B" w:rsidP="00BD203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D203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AA12F8">
        <w:rPr>
          <w:rFonts w:ascii="Arial" w:hAnsi="Arial" w:cs="Arial"/>
          <w:sz w:val="24"/>
          <w:szCs w:val="24"/>
        </w:rPr>
        <w:t>Devolver las actuaciones.</w:t>
      </w:r>
    </w:p>
    <w:p w:rsidR="002108E8" w:rsidRDefault="002108E8" w:rsidP="00BD203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108E8" w:rsidRDefault="002108E8" w:rsidP="00BD203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2108E8" w:rsidSect="00607C89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1F" w:rsidRDefault="00936F1F" w:rsidP="00936F1F">
      <w:pPr>
        <w:spacing w:after="0" w:line="240" w:lineRule="auto"/>
      </w:pPr>
      <w:r>
        <w:separator/>
      </w:r>
    </w:p>
  </w:endnote>
  <w:endnote w:type="continuationSeparator" w:id="0">
    <w:p w:rsidR="00936F1F" w:rsidRDefault="00936F1F" w:rsidP="0093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630127"/>
      <w:docPartObj>
        <w:docPartGallery w:val="Page Numbers (Bottom of Page)"/>
        <w:docPartUnique/>
      </w:docPartObj>
    </w:sdtPr>
    <w:sdtContent>
      <w:p w:rsidR="00936F1F" w:rsidRDefault="00936F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28F">
          <w:rPr>
            <w:noProof/>
          </w:rPr>
          <w:t>3</w:t>
        </w:r>
        <w:r>
          <w:fldChar w:fldCharType="end"/>
        </w:r>
      </w:p>
    </w:sdtContent>
  </w:sdt>
  <w:p w:rsidR="00936F1F" w:rsidRDefault="00936F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1F" w:rsidRDefault="00936F1F" w:rsidP="00936F1F">
      <w:pPr>
        <w:spacing w:after="0" w:line="240" w:lineRule="auto"/>
      </w:pPr>
      <w:r>
        <w:separator/>
      </w:r>
    </w:p>
  </w:footnote>
  <w:footnote w:type="continuationSeparator" w:id="0">
    <w:p w:rsidR="00936F1F" w:rsidRDefault="00936F1F" w:rsidP="00936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5235"/>
    <w:multiLevelType w:val="hybridMultilevel"/>
    <w:tmpl w:val="F0F23D2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3D5DC4"/>
    <w:multiLevelType w:val="hybridMultilevel"/>
    <w:tmpl w:val="E94A83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14CAA"/>
    <w:multiLevelType w:val="hybridMultilevel"/>
    <w:tmpl w:val="B45249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F7A68"/>
    <w:multiLevelType w:val="hybridMultilevel"/>
    <w:tmpl w:val="DCE030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C3948"/>
    <w:multiLevelType w:val="hybridMultilevel"/>
    <w:tmpl w:val="7EC619DA"/>
    <w:lvl w:ilvl="0" w:tplc="205CC71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D3BDF"/>
    <w:multiLevelType w:val="hybridMultilevel"/>
    <w:tmpl w:val="5AF84C20"/>
    <w:lvl w:ilvl="0" w:tplc="0C0A000B">
      <w:start w:val="1"/>
      <w:numFmt w:val="bullet"/>
      <w:lvlText w:val=""/>
      <w:lvlJc w:val="left"/>
      <w:pPr>
        <w:ind w:left="61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1E"/>
    <w:rsid w:val="00015242"/>
    <w:rsid w:val="000800BD"/>
    <w:rsid w:val="000B0C1E"/>
    <w:rsid w:val="000C73EC"/>
    <w:rsid w:val="000E4A82"/>
    <w:rsid w:val="000E6821"/>
    <w:rsid w:val="001018BC"/>
    <w:rsid w:val="00112359"/>
    <w:rsid w:val="00127355"/>
    <w:rsid w:val="00136956"/>
    <w:rsid w:val="001370D5"/>
    <w:rsid w:val="00140E4B"/>
    <w:rsid w:val="0014303D"/>
    <w:rsid w:val="001B40F5"/>
    <w:rsid w:val="001F1651"/>
    <w:rsid w:val="002108E8"/>
    <w:rsid w:val="00214349"/>
    <w:rsid w:val="002446E7"/>
    <w:rsid w:val="00253752"/>
    <w:rsid w:val="002D0542"/>
    <w:rsid w:val="002F63F6"/>
    <w:rsid w:val="0032569A"/>
    <w:rsid w:val="00350835"/>
    <w:rsid w:val="00370F1F"/>
    <w:rsid w:val="00375735"/>
    <w:rsid w:val="003769A1"/>
    <w:rsid w:val="003D0BAF"/>
    <w:rsid w:val="003E4228"/>
    <w:rsid w:val="00404AA5"/>
    <w:rsid w:val="004138E1"/>
    <w:rsid w:val="00424F46"/>
    <w:rsid w:val="00427058"/>
    <w:rsid w:val="00475D0D"/>
    <w:rsid w:val="00493A90"/>
    <w:rsid w:val="004A1C94"/>
    <w:rsid w:val="004E381E"/>
    <w:rsid w:val="00522FB5"/>
    <w:rsid w:val="00562D8A"/>
    <w:rsid w:val="005809C9"/>
    <w:rsid w:val="005B04EB"/>
    <w:rsid w:val="00607C89"/>
    <w:rsid w:val="006172B8"/>
    <w:rsid w:val="0061791A"/>
    <w:rsid w:val="00663DBF"/>
    <w:rsid w:val="006B3F9E"/>
    <w:rsid w:val="006C028F"/>
    <w:rsid w:val="006C491D"/>
    <w:rsid w:val="007068A3"/>
    <w:rsid w:val="00752BD5"/>
    <w:rsid w:val="007A66B9"/>
    <w:rsid w:val="007E298C"/>
    <w:rsid w:val="0080374D"/>
    <w:rsid w:val="008464B5"/>
    <w:rsid w:val="008610B3"/>
    <w:rsid w:val="00874BF3"/>
    <w:rsid w:val="008E43BB"/>
    <w:rsid w:val="00936F1F"/>
    <w:rsid w:val="009408EC"/>
    <w:rsid w:val="00986FD2"/>
    <w:rsid w:val="00A168A5"/>
    <w:rsid w:val="00A22E41"/>
    <w:rsid w:val="00A80581"/>
    <w:rsid w:val="00A8493A"/>
    <w:rsid w:val="00AA12F8"/>
    <w:rsid w:val="00AC2045"/>
    <w:rsid w:val="00AE1277"/>
    <w:rsid w:val="00AE6DC7"/>
    <w:rsid w:val="00AE6E7D"/>
    <w:rsid w:val="00B131F8"/>
    <w:rsid w:val="00B3425C"/>
    <w:rsid w:val="00B3609F"/>
    <w:rsid w:val="00BD203B"/>
    <w:rsid w:val="00BE0D17"/>
    <w:rsid w:val="00BE7BE9"/>
    <w:rsid w:val="00C15E71"/>
    <w:rsid w:val="00C30C90"/>
    <w:rsid w:val="00C4289D"/>
    <w:rsid w:val="00C557C8"/>
    <w:rsid w:val="00C8789C"/>
    <w:rsid w:val="00D81D30"/>
    <w:rsid w:val="00DC45E3"/>
    <w:rsid w:val="00DE4AAF"/>
    <w:rsid w:val="00E22D01"/>
    <w:rsid w:val="00E47F30"/>
    <w:rsid w:val="00F01F35"/>
    <w:rsid w:val="00F07CEB"/>
    <w:rsid w:val="00F20726"/>
    <w:rsid w:val="00F5445B"/>
    <w:rsid w:val="00F64163"/>
    <w:rsid w:val="00F764C2"/>
    <w:rsid w:val="00F77876"/>
    <w:rsid w:val="00F80215"/>
    <w:rsid w:val="00F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609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F1F"/>
  </w:style>
  <w:style w:type="paragraph" w:styleId="Piedepgina">
    <w:name w:val="footer"/>
    <w:basedOn w:val="Normal"/>
    <w:link w:val="PiedepginaCar"/>
    <w:uiPriority w:val="99"/>
    <w:unhideWhenUsed/>
    <w:rsid w:val="0093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609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F1F"/>
  </w:style>
  <w:style w:type="paragraph" w:styleId="Piedepgina">
    <w:name w:val="footer"/>
    <w:basedOn w:val="Normal"/>
    <w:link w:val="PiedepginaCar"/>
    <w:uiPriority w:val="99"/>
    <w:unhideWhenUsed/>
    <w:rsid w:val="0093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B0B8-E341-4918-B8B7-19B7A81D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11</cp:revision>
  <cp:lastPrinted>2018-02-06T18:17:00Z</cp:lastPrinted>
  <dcterms:created xsi:type="dcterms:W3CDTF">2018-02-05T18:04:00Z</dcterms:created>
  <dcterms:modified xsi:type="dcterms:W3CDTF">2018-02-06T18:24:00Z</dcterms:modified>
</cp:coreProperties>
</file>