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2F" w:rsidRPr="00786EEB" w:rsidRDefault="0094642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275/18</w:t>
      </w:r>
    </w:p>
    <w:p w:rsidR="0094642F" w:rsidRDefault="0094642F" w:rsidP="0094642F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lang w:val="es-ES_tradnl"/>
        </w:rPr>
      </w:pPr>
    </w:p>
    <w:p w:rsidR="0094642F" w:rsidRPr="00762B34" w:rsidRDefault="0094642F" w:rsidP="0094642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4642F" w:rsidRPr="00762B34" w:rsidRDefault="0094642F" w:rsidP="0094642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4642F" w:rsidRPr="00762B34" w:rsidRDefault="0094642F" w:rsidP="0094642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4642F" w:rsidRPr="00762B34" w:rsidRDefault="0094642F" w:rsidP="0094642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4642F" w:rsidRPr="00762B34" w:rsidRDefault="0094642F" w:rsidP="0094642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24 DE ENERO </w:t>
      </w:r>
      <w:r>
        <w:rPr>
          <w:rFonts w:ascii="Helvetica" w:hAnsi="Helvetica"/>
          <w:b/>
          <w:lang w:val="es-ES_tradnl"/>
        </w:rPr>
        <w:t>DE 2018</w:t>
      </w:r>
    </w:p>
    <w:p w:rsidR="0094642F" w:rsidRPr="00762B34" w:rsidRDefault="0094642F" w:rsidP="0094642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4642F" w:rsidRPr="00762B34" w:rsidRDefault="0094642F" w:rsidP="0094642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2017-17-1-0008165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6730/17</w:t>
      </w:r>
      <w:r w:rsidRPr="00762B34">
        <w:rPr>
          <w:rFonts w:ascii="Arial" w:hAnsi="Arial" w:cs="Arial"/>
          <w:b/>
          <w:lang w:val="en-US"/>
        </w:rPr>
        <w:t>)</w:t>
      </w:r>
    </w:p>
    <w:p w:rsidR="0094642F" w:rsidRDefault="0094642F">
      <w:pPr>
        <w:spacing w:before="120" w:after="120"/>
        <w:rPr>
          <w:rFonts w:ascii="Arial" w:hAnsi="Arial"/>
          <w:b/>
        </w:rPr>
      </w:pPr>
    </w:p>
    <w:p w:rsidR="000609EC" w:rsidRDefault="000609EC" w:rsidP="0094642F">
      <w:pPr>
        <w:spacing w:before="120"/>
        <w:ind w:firstLine="708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</w:t>
      </w:r>
      <w:r w:rsidR="003F361F">
        <w:rPr>
          <w:rFonts w:ascii="Arial" w:hAnsi="Arial"/>
        </w:rPr>
        <w:t xml:space="preserve"> </w:t>
      </w:r>
      <w:r w:rsidR="00EE6A1E">
        <w:rPr>
          <w:rFonts w:ascii="Arial" w:hAnsi="Arial"/>
        </w:rPr>
        <w:t>1</w:t>
      </w:r>
      <w:r w:rsidR="00474DAF">
        <w:rPr>
          <w:rFonts w:ascii="Arial" w:hAnsi="Arial"/>
        </w:rPr>
        <w:t>8</w:t>
      </w:r>
      <w:r w:rsidR="003F361F">
        <w:rPr>
          <w:rFonts w:ascii="Arial" w:hAnsi="Arial"/>
        </w:rPr>
        <w:t xml:space="preserve"> de </w:t>
      </w:r>
      <w:r w:rsidR="00474DAF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F361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C640A4">
        <w:rPr>
          <w:rFonts w:ascii="Arial" w:hAnsi="Arial"/>
        </w:rPr>
        <w:t>B</w:t>
      </w:r>
      <w:r w:rsidR="00EE6A1E">
        <w:rPr>
          <w:rFonts w:ascii="Arial" w:hAnsi="Arial"/>
        </w:rPr>
        <w:t>ella Unión d</w:t>
      </w:r>
      <w:r w:rsidR="007C78DC">
        <w:rPr>
          <w:rFonts w:ascii="Arial" w:hAnsi="Arial"/>
        </w:rPr>
        <w:t>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 xml:space="preserve"> en</w:t>
      </w:r>
      <w:r w:rsidR="003F361F">
        <w:rPr>
          <w:rFonts w:ascii="Arial" w:hAnsi="Arial"/>
        </w:rPr>
        <w:t xml:space="preserve"> 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474DAF">
        <w:rPr>
          <w:rFonts w:ascii="Arial" w:hAnsi="Arial"/>
        </w:rPr>
        <w:t>julio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94642F">
      <w:pPr>
        <w:ind w:firstLine="709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</w:t>
      </w:r>
      <w:r w:rsidR="0094642F">
        <w:rPr>
          <w:rFonts w:ascii="Arial" w:hAnsi="Arial"/>
          <w:lang w:val="es-MX"/>
        </w:rPr>
        <w:t xml:space="preserve">  </w:t>
      </w:r>
      <w:r>
        <w:rPr>
          <w:rFonts w:ascii="Arial" w:hAnsi="Arial"/>
          <w:lang w:val="es-MX"/>
        </w:rPr>
        <w:t xml:space="preserve">el </w:t>
      </w:r>
      <w:r w:rsidR="0094642F">
        <w:rPr>
          <w:rFonts w:ascii="Arial" w:hAnsi="Arial"/>
          <w:lang w:val="es-MX"/>
        </w:rPr>
        <w:t xml:space="preserve">  </w:t>
      </w:r>
      <w:r>
        <w:rPr>
          <w:rFonts w:ascii="Arial" w:hAnsi="Arial"/>
          <w:lang w:val="es-MX"/>
        </w:rPr>
        <w:t xml:space="preserve">Contador </w:t>
      </w:r>
      <w:r w:rsidR="0094642F">
        <w:rPr>
          <w:rFonts w:ascii="Arial" w:hAnsi="Arial"/>
          <w:lang w:val="es-MX"/>
        </w:rPr>
        <w:t xml:space="preserve">   </w:t>
      </w:r>
      <w:r>
        <w:rPr>
          <w:rFonts w:ascii="Arial" w:hAnsi="Arial"/>
          <w:lang w:val="es-MX"/>
        </w:rPr>
        <w:t xml:space="preserve">Delegado </w:t>
      </w:r>
      <w:r w:rsidR="0094642F">
        <w:rPr>
          <w:rFonts w:ascii="Arial" w:hAnsi="Arial"/>
          <w:lang w:val="es-MX"/>
        </w:rPr>
        <w:t xml:space="preserve">  </w:t>
      </w:r>
      <w:r>
        <w:rPr>
          <w:rFonts w:ascii="Arial" w:hAnsi="Arial"/>
          <w:lang w:val="es-MX"/>
        </w:rPr>
        <w:t>observó</w:t>
      </w:r>
      <w:r w:rsidR="005160BE">
        <w:rPr>
          <w:rFonts w:ascii="Arial" w:hAnsi="Arial"/>
          <w:lang w:val="es-MX"/>
        </w:rPr>
        <w:t xml:space="preserve"> </w:t>
      </w:r>
      <w:r w:rsidR="00474DAF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474DAF">
        <w:rPr>
          <w:rFonts w:ascii="Arial" w:hAnsi="Arial"/>
          <w:lang w:val="es-MX"/>
        </w:rPr>
        <w:t>222.427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 de</w:t>
      </w:r>
      <w:r w:rsidR="00C640A4">
        <w:rPr>
          <w:rFonts w:ascii="Arial" w:hAnsi="Arial"/>
          <w:lang w:val="es-MX"/>
        </w:rPr>
        <w:t xml:space="preserve"> </w:t>
      </w:r>
      <w:r w:rsidR="00474DAF">
        <w:rPr>
          <w:rFonts w:ascii="Arial" w:hAnsi="Arial"/>
          <w:lang w:val="es-MX"/>
        </w:rPr>
        <w:t>julio</w:t>
      </w:r>
      <w:r w:rsidR="00C640A4">
        <w:rPr>
          <w:rFonts w:ascii="Arial" w:hAnsi="Arial"/>
          <w:lang w:val="es-MX"/>
        </w:rPr>
        <w:t xml:space="preserve"> de</w:t>
      </w:r>
      <w:r w:rsidR="00F06029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94642F">
        <w:rPr>
          <w:rFonts w:ascii="Arial" w:hAnsi="Arial"/>
          <w:lang w:val="es-MX"/>
        </w:rPr>
        <w:t>;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8"/>
        <w:gridCol w:w="1497"/>
        <w:gridCol w:w="1306"/>
      </w:tblGrid>
      <w:tr w:rsidR="00C640A4" w:rsidTr="00C640A4">
        <w:tc>
          <w:tcPr>
            <w:tcW w:w="3393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8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49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C640A4" w:rsidTr="00C640A4">
        <w:tc>
          <w:tcPr>
            <w:tcW w:w="3393" w:type="pct"/>
          </w:tcPr>
          <w:p w:rsidR="00C640A4" w:rsidRDefault="00C640A4" w:rsidP="0094642F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94642F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858" w:type="pct"/>
          </w:tcPr>
          <w:p w:rsidR="00C640A4" w:rsidRDefault="00474DAF" w:rsidP="00C640A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49" w:type="pct"/>
          </w:tcPr>
          <w:p w:rsidR="00C640A4" w:rsidRDefault="00474DAF" w:rsidP="00C640A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219.110</w:t>
            </w:r>
          </w:p>
        </w:tc>
      </w:tr>
      <w:tr w:rsidR="00C640A4" w:rsidTr="00C640A4">
        <w:tc>
          <w:tcPr>
            <w:tcW w:w="3393" w:type="pct"/>
          </w:tcPr>
          <w:p w:rsidR="00C640A4" w:rsidRDefault="00C640A4" w:rsidP="0094642F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94642F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 xml:space="preserve">rt. </w:t>
            </w:r>
            <w:r w:rsidR="00544ED0">
              <w:rPr>
                <w:rFonts w:ascii="Arial" w:hAnsi="Arial"/>
                <w:lang w:val="es-MX"/>
              </w:rPr>
              <w:t>14</w:t>
            </w:r>
            <w:r>
              <w:rPr>
                <w:rFonts w:ascii="Arial" w:hAnsi="Arial"/>
                <w:lang w:val="es-MX"/>
              </w:rPr>
              <w:t xml:space="preserve"> del TOCAF </w:t>
            </w:r>
          </w:p>
        </w:tc>
        <w:tc>
          <w:tcPr>
            <w:tcW w:w="858" w:type="pct"/>
          </w:tcPr>
          <w:p w:rsidR="00C640A4" w:rsidRDefault="00807B1A" w:rsidP="00C640A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49" w:type="pct"/>
          </w:tcPr>
          <w:p w:rsidR="00C640A4" w:rsidRDefault="00474DAF" w:rsidP="00C640A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3.317</w:t>
            </w:r>
          </w:p>
        </w:tc>
      </w:tr>
      <w:tr w:rsidR="00C640A4" w:rsidTr="00C640A4">
        <w:tc>
          <w:tcPr>
            <w:tcW w:w="3393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8" w:type="pct"/>
          </w:tcPr>
          <w:p w:rsidR="00C640A4" w:rsidRDefault="00474DAF" w:rsidP="00C640A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749" w:type="pct"/>
          </w:tcPr>
          <w:p w:rsidR="00C640A4" w:rsidRDefault="00474DAF" w:rsidP="00C640A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222,427</w:t>
            </w:r>
          </w:p>
        </w:tc>
      </w:tr>
    </w:tbl>
    <w:p w:rsidR="00855913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</w:p>
    <w:p w:rsidR="00F02EA7" w:rsidRDefault="005317AB" w:rsidP="0094642F">
      <w:pPr>
        <w:ind w:firstLine="2552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474DAF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94642F">
      <w:pPr>
        <w:tabs>
          <w:tab w:val="left" w:pos="-720"/>
        </w:tabs>
        <w:suppressAutoHyphens/>
        <w:ind w:firstLine="70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94642F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94642F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94642F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94642F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94642F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94642F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 xml:space="preserve">2) </w:t>
      </w:r>
      <w:r>
        <w:rPr>
          <w:rFonts w:ascii="Arial" w:hAnsi="Arial"/>
          <w:spacing w:val="-3"/>
          <w:lang w:val="es-ES_tradnl"/>
        </w:rPr>
        <w:t>que</w:t>
      </w:r>
      <w:r w:rsidR="00474DAF">
        <w:rPr>
          <w:rFonts w:ascii="Arial" w:hAnsi="Arial"/>
          <w:spacing w:val="-3"/>
          <w:lang w:val="es-ES_tradnl"/>
        </w:rPr>
        <w:t xml:space="preserve"> no se aportan nuevos elementos que ameriten el levantamiento </w:t>
      </w:r>
      <w:r>
        <w:rPr>
          <w:rFonts w:ascii="Arial" w:hAnsi="Arial"/>
          <w:spacing w:val="-3"/>
          <w:lang w:val="es-ES_tradnl"/>
        </w:rPr>
        <w:t>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94642F">
      <w:pPr>
        <w:tabs>
          <w:tab w:val="left" w:pos="-720"/>
        </w:tabs>
        <w:suppressAutoHyphens/>
        <w:ind w:firstLine="709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94642F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94642F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94642F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2D317D">
        <w:rPr>
          <w:rFonts w:ascii="Arial" w:hAnsi="Arial"/>
          <w:lang w:val="es-MX"/>
        </w:rPr>
        <w:t xml:space="preserve"> </w:t>
      </w:r>
      <w:r w:rsidR="00C640A4">
        <w:rPr>
          <w:rFonts w:ascii="Arial" w:hAnsi="Arial"/>
          <w:lang w:val="es-MX"/>
        </w:rPr>
        <w:t>B</w:t>
      </w:r>
      <w:r w:rsidR="00EE6A1E">
        <w:rPr>
          <w:rFonts w:ascii="Arial" w:hAnsi="Arial"/>
          <w:lang w:val="es-MX"/>
        </w:rPr>
        <w:t>ella Unión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94642F">
        <w:rPr>
          <w:rFonts w:ascii="Arial" w:hAnsi="Arial"/>
        </w:rPr>
        <w:t xml:space="preserve"> y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Pr="00EC48E3">
        <w:rPr>
          <w:rFonts w:ascii="Arial" w:hAnsi="Arial"/>
          <w:lang w:val="es-MX"/>
        </w:rPr>
        <w:t xml:space="preserve"> </w:t>
      </w:r>
      <w:r w:rsidR="00C640A4">
        <w:rPr>
          <w:rFonts w:ascii="Arial" w:hAnsi="Arial"/>
          <w:lang w:val="es-MX"/>
        </w:rPr>
        <w:t>B</w:t>
      </w:r>
      <w:r w:rsidR="00EE6A1E">
        <w:rPr>
          <w:rFonts w:ascii="Arial" w:hAnsi="Arial"/>
          <w:lang w:val="es-MX"/>
        </w:rPr>
        <w:t>ella Unión</w:t>
      </w:r>
      <w:r w:rsidR="002D317D">
        <w:rPr>
          <w:rFonts w:ascii="Arial" w:hAnsi="Arial"/>
          <w:lang w:val="es-MX"/>
        </w:rPr>
        <w:t xml:space="preserve"> y</w:t>
      </w:r>
      <w:r w:rsidR="00750884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94642F" w:rsidRDefault="0094642F">
      <w:pPr>
        <w:rPr>
          <w:sz w:val="20"/>
        </w:rPr>
      </w:pPr>
    </w:p>
    <w:p w:rsidR="0094642F" w:rsidRDefault="0094642F">
      <w:pPr>
        <w:rPr>
          <w:sz w:val="20"/>
        </w:rPr>
      </w:pPr>
    </w:p>
    <w:p w:rsidR="0094642F" w:rsidRDefault="0094642F">
      <w:pPr>
        <w:rPr>
          <w:sz w:val="20"/>
        </w:rPr>
      </w:pPr>
    </w:p>
    <w:p w:rsidR="007C78DC" w:rsidRPr="0094642F" w:rsidRDefault="0094642F">
      <w:pPr>
        <w:rPr>
          <w:rFonts w:ascii="Arial" w:hAnsi="Arial" w:cs="Arial"/>
          <w:szCs w:val="24"/>
        </w:rPr>
      </w:pPr>
      <w:proofErr w:type="spellStart"/>
      <w:proofErr w:type="gramStart"/>
      <w:r w:rsidRPr="0094642F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7C78DC" w:rsidRPr="0094642F" w:rsidSect="0094642F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33" w:rsidRDefault="00100E33">
      <w:r>
        <w:separator/>
      </w:r>
    </w:p>
  </w:endnote>
  <w:endnote w:type="continuationSeparator" w:id="0">
    <w:p w:rsidR="00100E33" w:rsidRDefault="0010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33" w:rsidRDefault="00100E33">
      <w:r>
        <w:separator/>
      </w:r>
    </w:p>
  </w:footnote>
  <w:footnote w:type="continuationSeparator" w:id="0">
    <w:p w:rsidR="00100E33" w:rsidRDefault="0010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D702B"/>
    <w:rsid w:val="000E1834"/>
    <w:rsid w:val="00100E33"/>
    <w:rsid w:val="0011475E"/>
    <w:rsid w:val="001228A3"/>
    <w:rsid w:val="00127D1E"/>
    <w:rsid w:val="00141C32"/>
    <w:rsid w:val="0016227D"/>
    <w:rsid w:val="00184233"/>
    <w:rsid w:val="001C2710"/>
    <w:rsid w:val="00200B53"/>
    <w:rsid w:val="00216AA0"/>
    <w:rsid w:val="00237492"/>
    <w:rsid w:val="00251B9F"/>
    <w:rsid w:val="00251E66"/>
    <w:rsid w:val="00290E83"/>
    <w:rsid w:val="002D2A83"/>
    <w:rsid w:val="002D317D"/>
    <w:rsid w:val="002D6D90"/>
    <w:rsid w:val="002E5685"/>
    <w:rsid w:val="00380253"/>
    <w:rsid w:val="003A17D5"/>
    <w:rsid w:val="003F361F"/>
    <w:rsid w:val="003F5964"/>
    <w:rsid w:val="00400FDB"/>
    <w:rsid w:val="00415C02"/>
    <w:rsid w:val="00460612"/>
    <w:rsid w:val="00474DAF"/>
    <w:rsid w:val="004C7769"/>
    <w:rsid w:val="005001AA"/>
    <w:rsid w:val="005160BE"/>
    <w:rsid w:val="00520723"/>
    <w:rsid w:val="005317AB"/>
    <w:rsid w:val="00544ED0"/>
    <w:rsid w:val="005522E3"/>
    <w:rsid w:val="00562B66"/>
    <w:rsid w:val="00565106"/>
    <w:rsid w:val="005830F8"/>
    <w:rsid w:val="005933DC"/>
    <w:rsid w:val="005A4212"/>
    <w:rsid w:val="005D43D0"/>
    <w:rsid w:val="00630484"/>
    <w:rsid w:val="006550C1"/>
    <w:rsid w:val="00655855"/>
    <w:rsid w:val="006E4B28"/>
    <w:rsid w:val="006F33B2"/>
    <w:rsid w:val="00702E1D"/>
    <w:rsid w:val="00710A0A"/>
    <w:rsid w:val="00717F71"/>
    <w:rsid w:val="00730354"/>
    <w:rsid w:val="00750884"/>
    <w:rsid w:val="00750E22"/>
    <w:rsid w:val="007A2A3D"/>
    <w:rsid w:val="007C78DC"/>
    <w:rsid w:val="007F5097"/>
    <w:rsid w:val="00807B1A"/>
    <w:rsid w:val="00822E85"/>
    <w:rsid w:val="00834660"/>
    <w:rsid w:val="00855913"/>
    <w:rsid w:val="008813C7"/>
    <w:rsid w:val="008B451E"/>
    <w:rsid w:val="009042F3"/>
    <w:rsid w:val="00920030"/>
    <w:rsid w:val="00932524"/>
    <w:rsid w:val="0094642F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640A4"/>
    <w:rsid w:val="00C96B86"/>
    <w:rsid w:val="00CD216B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EE6A1E"/>
    <w:rsid w:val="00F02EA7"/>
    <w:rsid w:val="00F06029"/>
    <w:rsid w:val="00F1229E"/>
    <w:rsid w:val="00F341AA"/>
    <w:rsid w:val="00F51334"/>
    <w:rsid w:val="00FA4018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5F81-3D6E-4F2C-A7CE-51CACECF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Miriam Cristina Rivero</cp:lastModifiedBy>
  <cp:revision>2</cp:revision>
  <cp:lastPrinted>2018-01-24T17:56:00Z</cp:lastPrinted>
  <dcterms:created xsi:type="dcterms:W3CDTF">2018-01-24T17:57:00Z</dcterms:created>
  <dcterms:modified xsi:type="dcterms:W3CDTF">2018-01-24T17:57:00Z</dcterms:modified>
</cp:coreProperties>
</file>