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069" w:rsidRPr="00786EEB" w:rsidRDefault="006F7069" w:rsidP="006F7069">
      <w:pPr>
        <w:tabs>
          <w:tab w:val="center" w:pos="4253"/>
        </w:tabs>
        <w:suppressAutoHyphens/>
        <w:jc w:val="right"/>
        <w:rPr>
          <w:rFonts w:cs="Arial"/>
          <w:b/>
          <w:sz w:val="28"/>
          <w:szCs w:val="28"/>
          <w:lang w:val="es-ES_tradnl"/>
        </w:rPr>
      </w:pPr>
      <w:r>
        <w:rPr>
          <w:rFonts w:cs="Arial"/>
          <w:b/>
          <w:sz w:val="28"/>
          <w:szCs w:val="28"/>
          <w:lang w:val="es-ES_tradnl"/>
        </w:rPr>
        <w:t xml:space="preserve">RES. </w:t>
      </w:r>
      <w:r>
        <w:rPr>
          <w:rFonts w:cs="Arial"/>
          <w:b/>
          <w:sz w:val="28"/>
          <w:szCs w:val="28"/>
          <w:lang w:val="es-ES_tradnl"/>
        </w:rPr>
        <w:t>325</w:t>
      </w:r>
      <w:r>
        <w:rPr>
          <w:rFonts w:cs="Arial"/>
          <w:b/>
          <w:sz w:val="28"/>
          <w:szCs w:val="28"/>
          <w:lang w:val="es-ES_tradnl"/>
        </w:rPr>
        <w:t>/18</w:t>
      </w:r>
    </w:p>
    <w:p w:rsidR="006F7069" w:rsidRDefault="006F7069" w:rsidP="006F7069">
      <w:pPr>
        <w:tabs>
          <w:tab w:val="center" w:pos="4253"/>
        </w:tabs>
        <w:suppressAutoHyphens/>
        <w:jc w:val="right"/>
        <w:rPr>
          <w:rFonts w:cs="Arial"/>
          <w:b/>
          <w:lang w:val="es-ES_tradnl"/>
        </w:rPr>
      </w:pPr>
    </w:p>
    <w:p w:rsidR="006F7069" w:rsidRPr="00FF0B41" w:rsidRDefault="006F7069" w:rsidP="006F7069">
      <w:pPr>
        <w:tabs>
          <w:tab w:val="center" w:pos="4253"/>
        </w:tabs>
        <w:suppressAutoHyphens/>
        <w:jc w:val="center"/>
        <w:rPr>
          <w:rFonts w:cs="Arial"/>
          <w:b/>
          <w:lang w:val="es-ES_tradnl"/>
        </w:rPr>
      </w:pPr>
      <w:r w:rsidRPr="00FF0B41">
        <w:rPr>
          <w:rFonts w:cs="Arial"/>
          <w:b/>
          <w:lang w:val="es-ES_tradnl"/>
        </w:rPr>
        <w:t>RESOLUCION ADOPTADA POR EL</w:t>
      </w:r>
    </w:p>
    <w:p w:rsidR="006F7069" w:rsidRPr="00FF0B41" w:rsidRDefault="006F7069" w:rsidP="006F7069">
      <w:pPr>
        <w:tabs>
          <w:tab w:val="left" w:pos="-720"/>
        </w:tabs>
        <w:suppressAutoHyphens/>
        <w:jc w:val="center"/>
        <w:rPr>
          <w:rFonts w:cs="Arial"/>
          <w:b/>
          <w:lang w:val="es-ES_tradnl"/>
        </w:rPr>
      </w:pPr>
    </w:p>
    <w:p w:rsidR="006F7069" w:rsidRPr="00FF0B41" w:rsidRDefault="006F7069" w:rsidP="006F7069">
      <w:pPr>
        <w:tabs>
          <w:tab w:val="center" w:pos="4253"/>
        </w:tabs>
        <w:suppressAutoHyphens/>
        <w:jc w:val="center"/>
        <w:rPr>
          <w:rFonts w:cs="Arial"/>
          <w:b/>
          <w:lang w:val="es-ES_tradnl"/>
        </w:rPr>
      </w:pPr>
      <w:r w:rsidRPr="00FF0B41">
        <w:rPr>
          <w:rFonts w:cs="Arial"/>
          <w:b/>
          <w:lang w:val="es-ES_tradnl"/>
        </w:rPr>
        <w:t>TRIBUNAL DE CUENTAS</w:t>
      </w:r>
    </w:p>
    <w:p w:rsidR="006F7069" w:rsidRPr="00FF0B41" w:rsidRDefault="006F7069" w:rsidP="006F7069">
      <w:pPr>
        <w:tabs>
          <w:tab w:val="left" w:pos="-720"/>
        </w:tabs>
        <w:suppressAutoHyphens/>
        <w:jc w:val="center"/>
        <w:rPr>
          <w:rFonts w:cs="Arial"/>
          <w:b/>
          <w:lang w:val="es-ES_tradnl"/>
        </w:rPr>
      </w:pPr>
    </w:p>
    <w:p w:rsidR="006F7069" w:rsidRPr="00FF0B41" w:rsidRDefault="006F7069" w:rsidP="006F7069">
      <w:pPr>
        <w:tabs>
          <w:tab w:val="center" w:pos="4253"/>
        </w:tabs>
        <w:suppressAutoHyphens/>
        <w:jc w:val="center"/>
        <w:rPr>
          <w:rFonts w:cs="Arial"/>
          <w:b/>
          <w:lang w:val="es-ES_tradnl"/>
        </w:rPr>
      </w:pPr>
      <w:r w:rsidRPr="00FF0B41">
        <w:rPr>
          <w:rFonts w:cs="Arial"/>
          <w:b/>
          <w:lang w:val="es-ES_tradnl"/>
        </w:rPr>
        <w:t xml:space="preserve">EN SESION DE FECHA 24 DE ENERO </w:t>
      </w:r>
      <w:r w:rsidRPr="00FF0B41">
        <w:rPr>
          <w:rFonts w:ascii="Helvetica" w:hAnsi="Helvetica"/>
          <w:b/>
          <w:lang w:val="es-ES_tradnl"/>
        </w:rPr>
        <w:t>DE 2018</w:t>
      </w:r>
    </w:p>
    <w:p w:rsidR="006F7069" w:rsidRPr="00FF0B41" w:rsidRDefault="006F7069" w:rsidP="006F7069">
      <w:pPr>
        <w:tabs>
          <w:tab w:val="center" w:pos="4253"/>
        </w:tabs>
        <w:suppressAutoHyphens/>
        <w:jc w:val="center"/>
        <w:rPr>
          <w:rFonts w:cs="Arial"/>
          <w:b/>
          <w:lang w:val="es-ES_tradnl"/>
        </w:rPr>
      </w:pPr>
    </w:p>
    <w:p w:rsidR="006F7069" w:rsidRPr="00FF0B41" w:rsidRDefault="006F7069" w:rsidP="006F7069">
      <w:pPr>
        <w:tabs>
          <w:tab w:val="center" w:pos="4253"/>
        </w:tabs>
        <w:suppressAutoHyphens/>
        <w:jc w:val="center"/>
        <w:rPr>
          <w:rFonts w:cs="Arial"/>
          <w:b/>
          <w:lang w:val="en-US"/>
        </w:rPr>
      </w:pPr>
      <w:r w:rsidRPr="00FF0B41">
        <w:rPr>
          <w:rFonts w:cs="Arial"/>
          <w:b/>
          <w:lang w:val="en-US"/>
        </w:rPr>
        <w:t xml:space="preserve">(E. E. Nº </w:t>
      </w:r>
      <w:r w:rsidRPr="00F1041E">
        <w:rPr>
          <w:rFonts w:ascii="LiberationSans-Regular" w:hAnsi="LiberationSans-Regular" w:cs="LiberationSans-Regular"/>
          <w:b/>
        </w:rPr>
        <w:t>201</w:t>
      </w:r>
      <w:r>
        <w:rPr>
          <w:rFonts w:ascii="LiberationSans-Regular" w:hAnsi="LiberationSans-Regular" w:cs="LiberationSans-Regular"/>
          <w:b/>
        </w:rPr>
        <w:t>8</w:t>
      </w:r>
      <w:bookmarkStart w:id="0" w:name="_GoBack"/>
      <w:bookmarkEnd w:id="0"/>
      <w:r w:rsidRPr="00F1041E">
        <w:rPr>
          <w:rFonts w:ascii="LiberationSans-Regular" w:hAnsi="LiberationSans-Regular" w:cs="LiberationSans-Regular"/>
          <w:b/>
        </w:rPr>
        <w:t>-17-1-000</w:t>
      </w:r>
      <w:r>
        <w:rPr>
          <w:rFonts w:ascii="LiberationSans-Regular" w:hAnsi="LiberationSans-Regular" w:cs="LiberationSans-Regular"/>
          <w:b/>
        </w:rPr>
        <w:t>0119</w:t>
      </w:r>
      <w:r w:rsidRPr="00FF0B41">
        <w:rPr>
          <w:rFonts w:cs="Arial"/>
          <w:b/>
          <w:lang w:val="en-US"/>
        </w:rPr>
        <w:t>, Ent. N°</w:t>
      </w:r>
      <w:r w:rsidRPr="000F46FE">
        <w:rPr>
          <w:rFonts w:ascii="LiberationSans-Bold" w:hAnsi="LiberationSans-Bold" w:cs="LiberationSans-Bold"/>
          <w:b/>
          <w:bCs/>
        </w:rPr>
        <w:t>01</w:t>
      </w:r>
      <w:r>
        <w:rPr>
          <w:rFonts w:ascii="LiberationSans-Bold" w:hAnsi="LiberationSans-Bold" w:cs="LiberationSans-Bold"/>
          <w:b/>
          <w:bCs/>
        </w:rPr>
        <w:t>53</w:t>
      </w:r>
      <w:r w:rsidRPr="000F46FE">
        <w:rPr>
          <w:rFonts w:ascii="LiberationSans-Bold" w:hAnsi="LiberationSans-Bold" w:cs="LiberationSans-Bold"/>
          <w:b/>
          <w:bCs/>
        </w:rPr>
        <w:t>/18</w:t>
      </w:r>
      <w:r w:rsidRPr="00FF0B41">
        <w:rPr>
          <w:rFonts w:cs="Arial"/>
          <w:b/>
          <w:lang w:val="en-US"/>
        </w:rPr>
        <w:t>)</w:t>
      </w:r>
    </w:p>
    <w:p w:rsidR="006F7069" w:rsidRPr="00F001F9" w:rsidRDefault="006F7069" w:rsidP="006F7069">
      <w:pPr>
        <w:autoSpaceDE w:val="0"/>
        <w:autoSpaceDN w:val="0"/>
        <w:adjustRightInd w:val="0"/>
        <w:spacing w:line="360" w:lineRule="auto"/>
        <w:rPr>
          <w:rFonts w:ascii="LiberationSans-Bold" w:hAnsi="LiberationSans-Bold" w:cs="LiberationSans-Bold"/>
          <w:bCs/>
        </w:rPr>
      </w:pPr>
    </w:p>
    <w:p w:rsidR="009444C7" w:rsidRDefault="009444C7" w:rsidP="006F7069">
      <w:pPr>
        <w:spacing w:line="360" w:lineRule="auto"/>
        <w:ind w:left="60" w:firstLine="791"/>
        <w:jc w:val="both"/>
      </w:pPr>
      <w:r>
        <w:rPr>
          <w:b/>
          <w:bCs/>
        </w:rPr>
        <w:t xml:space="preserve">VISTO: </w:t>
      </w:r>
      <w:r>
        <w:t>los antecedentes remitidos por la Presidencia de la República, relaciona</w:t>
      </w:r>
      <w:r w:rsidR="005B27CE">
        <w:t>das con el convenio a celebrar por</w:t>
      </w:r>
      <w:r>
        <w:t xml:space="preserve"> la </w:t>
      </w:r>
      <w:r w:rsidR="005B27CE">
        <w:t>Junta Nacional de Drogas (JND) con</w:t>
      </w:r>
      <w:r>
        <w:t xml:space="preserve"> el Ministerio de Vivienda Ordenamiento Territorial y Medio Ambiente (MVOTMA); </w:t>
      </w:r>
    </w:p>
    <w:p w:rsidR="009444C7" w:rsidRDefault="009444C7" w:rsidP="006F7069">
      <w:pPr>
        <w:pStyle w:val="Sangra3detindependiente"/>
        <w:ind w:firstLine="851"/>
      </w:pPr>
      <w:r>
        <w:rPr>
          <w:b/>
          <w:bCs/>
        </w:rPr>
        <w:t>RESULTANDO</w:t>
      </w:r>
      <w:r>
        <w:t xml:space="preserve">: </w:t>
      </w:r>
      <w:r>
        <w:rPr>
          <w:b/>
        </w:rPr>
        <w:t>1)</w:t>
      </w:r>
      <w:r>
        <w:t xml:space="preserve"> que</w:t>
      </w:r>
      <w:r w:rsidR="0098774E">
        <w:t>,</w:t>
      </w:r>
      <w:r w:rsidR="00764A15">
        <w:t xml:space="preserve"> teniendo en cuenta que se ha constatado la necesidad de la existencia del componente habitacional en los procesos de salida de las personas en tratamiento por consumo de drogas, la JND y el MVOTMA han decidido abordar la problemática en forma conjunta e integral, </w:t>
      </w:r>
      <w:r w:rsidR="005B27CE">
        <w:t xml:space="preserve"> el proyecto de convenio remitido tiene por</w:t>
      </w:r>
      <w:r>
        <w:t xml:space="preserve"> objeto </w:t>
      </w:r>
      <w:r w:rsidR="00764A15">
        <w:t>procurar</w:t>
      </w:r>
      <w:r>
        <w:t xml:space="preserve"> la colaboración entre las </w:t>
      </w:r>
      <w:r w:rsidR="005B27CE">
        <w:t xml:space="preserve">partes </w:t>
      </w:r>
      <w:r>
        <w:t xml:space="preserve">a </w:t>
      </w:r>
      <w:r w:rsidR="00764A15">
        <w:t>fin</w:t>
      </w:r>
      <w:r>
        <w:t xml:space="preserve"> de promover </w:t>
      </w:r>
      <w:r w:rsidR="00A31C5F">
        <w:t>estrategias</w:t>
      </w:r>
      <w:r>
        <w:t xml:space="preserve"> de </w:t>
      </w:r>
      <w:r w:rsidR="00A31C5F">
        <w:t>integración</w:t>
      </w:r>
      <w:r>
        <w:t xml:space="preserve"> social y </w:t>
      </w:r>
      <w:r w:rsidR="00A31C5F">
        <w:t>reintegración</w:t>
      </w:r>
      <w:r>
        <w:t xml:space="preserve"> comunitaria de persona</w:t>
      </w:r>
      <w:r w:rsidR="0098774E">
        <w:t>s</w:t>
      </w:r>
      <w:r>
        <w:t xml:space="preserve"> que </w:t>
      </w:r>
      <w:r w:rsidR="00A31C5F">
        <w:t>esté</w:t>
      </w:r>
      <w:r w:rsidR="0098774E">
        <w:t>n</w:t>
      </w:r>
      <w:r>
        <w:t xml:space="preserve"> en proceso de </w:t>
      </w:r>
      <w:r w:rsidR="00A31C5F">
        <w:t>tratamiento</w:t>
      </w:r>
      <w:r>
        <w:t xml:space="preserve"> y seguimiento por uso </w:t>
      </w:r>
      <w:r w:rsidR="00A31C5F">
        <w:t>problemático</w:t>
      </w:r>
      <w:r>
        <w:t xml:space="preserve"> de drogas generando dispositivos </w:t>
      </w:r>
      <w:r w:rsidR="00A31C5F">
        <w:t>habitacionales</w:t>
      </w:r>
      <w:r>
        <w:t xml:space="preserve"> </w:t>
      </w:r>
      <w:r w:rsidR="00A31C5F">
        <w:t>específicos</w:t>
      </w:r>
      <w:r>
        <w:t xml:space="preserve"> par</w:t>
      </w:r>
      <w:r w:rsidR="00A31C5F">
        <w:t>a</w:t>
      </w:r>
      <w:r>
        <w:t xml:space="preserve"> dicha población. En tal sentido, </w:t>
      </w:r>
      <w:r w:rsidR="00764A15">
        <w:t>establece que la</w:t>
      </w:r>
      <w:r>
        <w:t xml:space="preserve"> población objetivo del convenio serán persona</w:t>
      </w:r>
      <w:r w:rsidR="00764A15">
        <w:t>s</w:t>
      </w:r>
      <w:r>
        <w:t xml:space="preserve"> con o sin hijo</w:t>
      </w:r>
      <w:r w:rsidR="00764A15">
        <w:t>s</w:t>
      </w:r>
      <w:r>
        <w:t xml:space="preserve">, que estén recibiendo un </w:t>
      </w:r>
      <w:r w:rsidR="00A31C5F">
        <w:t>tratamiento</w:t>
      </w:r>
      <w:r>
        <w:t xml:space="preserve"> de </w:t>
      </w:r>
      <w:r w:rsidR="00A31C5F">
        <w:t>rehabilitación</w:t>
      </w:r>
      <w:r>
        <w:t xml:space="preserve"> </w:t>
      </w:r>
      <w:r w:rsidR="00A31C5F">
        <w:t>por</w:t>
      </w:r>
      <w:r>
        <w:t xml:space="preserve"> el </w:t>
      </w:r>
      <w:r w:rsidR="00A31C5F">
        <w:t>consumo</w:t>
      </w:r>
      <w:r>
        <w:t xml:space="preserve"> problemático de drogas y en </w:t>
      </w:r>
      <w:r w:rsidR="00A31C5F">
        <w:t>situación</w:t>
      </w:r>
      <w:r>
        <w:t xml:space="preserve"> de </w:t>
      </w:r>
      <w:r w:rsidR="00A31C5F">
        <w:t>egreso</w:t>
      </w:r>
      <w:r>
        <w:t xml:space="preserve"> de </w:t>
      </w:r>
      <w:r w:rsidR="00A31C5F">
        <w:t>los</w:t>
      </w:r>
      <w:r>
        <w:t xml:space="preserve"> centros de </w:t>
      </w:r>
      <w:r w:rsidR="00A31C5F">
        <w:t>tratamiento</w:t>
      </w:r>
      <w:r>
        <w:t xml:space="preserve"> o </w:t>
      </w:r>
      <w:r w:rsidR="00A31C5F">
        <w:t>ambulatorios</w:t>
      </w:r>
      <w:r>
        <w:t xml:space="preserve"> que cuenten con el </w:t>
      </w:r>
      <w:r w:rsidR="00A31C5F">
        <w:t>acompañamiento</w:t>
      </w:r>
      <w:r>
        <w:t xml:space="preserve"> y seguimiento de la JND;</w:t>
      </w:r>
    </w:p>
    <w:p w:rsidR="006F7069" w:rsidRDefault="009444C7" w:rsidP="006F7069">
      <w:pPr>
        <w:pStyle w:val="Sangra3detindependiente"/>
        <w:ind w:firstLine="2835"/>
      </w:pPr>
      <w:r w:rsidRPr="006742DC">
        <w:rPr>
          <w:b/>
        </w:rPr>
        <w:t>2)</w:t>
      </w:r>
      <w:r w:rsidR="005B27CE">
        <w:t xml:space="preserve"> que </w:t>
      </w:r>
      <w:r>
        <w:t>establ</w:t>
      </w:r>
      <w:r w:rsidR="00A31C5F">
        <w:t>ece</w:t>
      </w:r>
      <w:r>
        <w:t xml:space="preserve"> que las partes </w:t>
      </w:r>
      <w:r w:rsidR="00656BA1">
        <w:t>coordinarán</w:t>
      </w:r>
      <w:r>
        <w:t xml:space="preserve"> y articular</w:t>
      </w:r>
      <w:r w:rsidR="00656BA1">
        <w:t>á</w:t>
      </w:r>
      <w:r>
        <w:t>n entre s</w:t>
      </w:r>
      <w:r w:rsidR="00656BA1">
        <w:t>í</w:t>
      </w:r>
      <w:r>
        <w:t xml:space="preserve">, y con otros organismos públicos e </w:t>
      </w:r>
      <w:r w:rsidR="00656BA1">
        <w:t>instituciones</w:t>
      </w:r>
      <w:r w:rsidR="00DE3A8B">
        <w:t xml:space="preserve"> privadas, a</w:t>
      </w:r>
      <w:r w:rsidR="00656BA1">
        <w:t xml:space="preserve"> </w:t>
      </w:r>
      <w:r w:rsidR="00DE3A8B">
        <w:t>efectos de ofrecer un acceso a soluciones habitacionales individuales o col</w:t>
      </w:r>
      <w:r w:rsidR="00656BA1">
        <w:t>e</w:t>
      </w:r>
      <w:r w:rsidR="00DE3A8B">
        <w:t>ct</w:t>
      </w:r>
      <w:r w:rsidR="00656BA1">
        <w:t>i</w:t>
      </w:r>
      <w:r w:rsidR="00DE3A8B">
        <w:t xml:space="preserve">vas de carácter transitorio a </w:t>
      </w:r>
      <w:r w:rsidR="00656BA1">
        <w:t>personales</w:t>
      </w:r>
      <w:r w:rsidR="00DE3A8B">
        <w:t xml:space="preserve"> que se encuentre</w:t>
      </w:r>
      <w:r w:rsidR="00764A15">
        <w:t>n</w:t>
      </w:r>
      <w:r w:rsidR="00DE3A8B">
        <w:t xml:space="preserve"> atendidas por el </w:t>
      </w:r>
      <w:r w:rsidR="00656BA1">
        <w:t>Departamento</w:t>
      </w:r>
      <w:r w:rsidR="00DE3A8B">
        <w:t xml:space="preserve"> de Inser</w:t>
      </w:r>
      <w:r w:rsidR="00656BA1">
        <w:t>ción</w:t>
      </w:r>
      <w:r w:rsidR="00DE3A8B">
        <w:t xml:space="preserve">  </w:t>
      </w:r>
      <w:r w:rsidR="00764A15">
        <w:t>S</w:t>
      </w:r>
      <w:r w:rsidR="00DE3A8B">
        <w:t>ocial de la JND;</w:t>
      </w:r>
    </w:p>
    <w:p w:rsidR="006F7069" w:rsidRDefault="00DE3A8B" w:rsidP="006F7069">
      <w:pPr>
        <w:pStyle w:val="Sangra3detindependiente"/>
        <w:ind w:firstLine="2835"/>
      </w:pPr>
      <w:r w:rsidRPr="00A31C5F">
        <w:rPr>
          <w:b/>
        </w:rPr>
        <w:lastRenderedPageBreak/>
        <w:t>3)</w:t>
      </w:r>
      <w:r>
        <w:t xml:space="preserve"> que</w:t>
      </w:r>
      <w:r w:rsidR="0098774E">
        <w:t>,</w:t>
      </w:r>
      <w:r>
        <w:t xml:space="preserve"> a efecto</w:t>
      </w:r>
      <w:r w:rsidR="00656BA1">
        <w:t>s</w:t>
      </w:r>
      <w:r>
        <w:t xml:space="preserve"> de cump</w:t>
      </w:r>
      <w:r w:rsidR="00656BA1">
        <w:t>l</w:t>
      </w:r>
      <w:r>
        <w:t xml:space="preserve">ir con el </w:t>
      </w:r>
      <w:r w:rsidR="00656BA1">
        <w:t>objeto</w:t>
      </w:r>
      <w:r>
        <w:t xml:space="preserve"> del convenio, el MVOTMA se compromete a disponer de 10 soluciones habitaciones de carácter transitorio, individuales o colectivas (hasta 2 pers</w:t>
      </w:r>
      <w:r w:rsidR="00656BA1">
        <w:t>o</w:t>
      </w:r>
      <w:r>
        <w:t xml:space="preserve">nas sin vinculo de </w:t>
      </w:r>
      <w:r w:rsidR="00656BA1">
        <w:t>parentesco</w:t>
      </w:r>
      <w:r>
        <w:t>) a</w:t>
      </w:r>
      <w:r w:rsidR="00656BA1">
        <w:t xml:space="preserve"> través</w:t>
      </w:r>
      <w:r>
        <w:t xml:space="preserve"> de las líneas de acción previstas en la </w:t>
      </w:r>
      <w:r w:rsidR="00656BA1">
        <w:t>Política</w:t>
      </w:r>
      <w:r>
        <w:t xml:space="preserve"> Nacional de </w:t>
      </w:r>
      <w:r w:rsidR="00656BA1">
        <w:t>Alquileres</w:t>
      </w:r>
      <w:r>
        <w:t>;</w:t>
      </w:r>
    </w:p>
    <w:p w:rsidR="006F7069" w:rsidRDefault="00DE3A8B" w:rsidP="006F7069">
      <w:pPr>
        <w:pStyle w:val="Sangra3detindependiente"/>
        <w:ind w:firstLine="2835"/>
      </w:pPr>
      <w:r w:rsidRPr="00A31C5F">
        <w:rPr>
          <w:b/>
        </w:rPr>
        <w:t>4)</w:t>
      </w:r>
      <w:r>
        <w:t xml:space="preserve"> que por su parte, la JND, por intermedio del </w:t>
      </w:r>
      <w:r w:rsidR="00656BA1">
        <w:t>Área</w:t>
      </w:r>
      <w:r>
        <w:t xml:space="preserve"> de </w:t>
      </w:r>
      <w:r w:rsidR="00656BA1">
        <w:t>Inserción</w:t>
      </w:r>
      <w:r>
        <w:t xml:space="preserve"> </w:t>
      </w:r>
      <w:r w:rsidR="00656BA1">
        <w:t>Social</w:t>
      </w:r>
      <w:r w:rsidR="00444CC7">
        <w:t>, se encargará</w:t>
      </w:r>
      <w:r>
        <w:t xml:space="preserve">  de proponer a las </w:t>
      </w:r>
      <w:r w:rsidR="00656BA1">
        <w:t>personas</w:t>
      </w:r>
      <w:r w:rsidR="005B27CE">
        <w:t xml:space="preserve"> </w:t>
      </w:r>
      <w:r w:rsidR="002250D4">
        <w:t>beneficiarias</w:t>
      </w:r>
      <w:r>
        <w:t xml:space="preserve"> del </w:t>
      </w:r>
      <w:r w:rsidR="005B27CE">
        <w:t>presente convenio, de acuerdo con el</w:t>
      </w:r>
      <w:r>
        <w:t xml:space="preserve"> siguiente perfil: personas mayores de 18 años, con o sin hijos a cargo, que estén en trata</w:t>
      </w:r>
      <w:r w:rsidR="00656BA1">
        <w:t>miento</w:t>
      </w:r>
      <w:r>
        <w:t xml:space="preserve"> </w:t>
      </w:r>
      <w:r w:rsidR="00656BA1">
        <w:t>específico</w:t>
      </w:r>
      <w:r>
        <w:t xml:space="preserve"> por uso problemático de droga, en algún centro de salud </w:t>
      </w:r>
      <w:r w:rsidR="00656BA1">
        <w:t>público</w:t>
      </w:r>
      <w:r>
        <w:t xml:space="preserve"> o pr</w:t>
      </w:r>
      <w:r w:rsidR="00656BA1">
        <w:t>i</w:t>
      </w:r>
      <w:r>
        <w:t>v</w:t>
      </w:r>
      <w:r w:rsidR="00656BA1">
        <w:t>a</w:t>
      </w:r>
      <w:r>
        <w:t xml:space="preserve">do. Deberán: </w:t>
      </w:r>
      <w:r w:rsidR="006F7069">
        <w:t xml:space="preserve">  </w:t>
      </w:r>
      <w:r w:rsidRPr="00444CC7">
        <w:rPr>
          <w:b/>
        </w:rPr>
        <w:t>a)</w:t>
      </w:r>
      <w:r>
        <w:t xml:space="preserve"> contar con el </w:t>
      </w:r>
      <w:r w:rsidR="00656BA1">
        <w:t>seguimiento</w:t>
      </w:r>
      <w:r>
        <w:t xml:space="preserve"> de la JND o dependencia que esta designe y tene</w:t>
      </w:r>
      <w:r w:rsidR="00656BA1">
        <w:t>r</w:t>
      </w:r>
      <w:r>
        <w:t xml:space="preserve"> potencialidades y capacid</w:t>
      </w:r>
      <w:r w:rsidR="00656BA1">
        <w:t>ade</w:t>
      </w:r>
      <w:r>
        <w:t xml:space="preserve">s que </w:t>
      </w:r>
      <w:r w:rsidR="0098774E">
        <w:t>l</w:t>
      </w:r>
      <w:r>
        <w:t>es permitan a corto y m</w:t>
      </w:r>
      <w:r w:rsidR="00656BA1">
        <w:t>e</w:t>
      </w:r>
      <w:r>
        <w:t xml:space="preserve">diano plazo generar procesos de </w:t>
      </w:r>
      <w:r w:rsidR="00656BA1">
        <w:t>autonomía</w:t>
      </w:r>
      <w:r>
        <w:t xml:space="preserve"> para la integración social y comunitaria y </w:t>
      </w:r>
      <w:r w:rsidR="006F7069">
        <w:t xml:space="preserve">       </w:t>
      </w:r>
      <w:r w:rsidRPr="00444CC7">
        <w:rPr>
          <w:b/>
        </w:rPr>
        <w:t>b)</w:t>
      </w:r>
      <w:r>
        <w:t xml:space="preserve"> contar con ingresos </w:t>
      </w:r>
      <w:r w:rsidR="00656BA1">
        <w:t>estables</w:t>
      </w:r>
      <w:r>
        <w:t xml:space="preserve">, </w:t>
      </w:r>
      <w:r w:rsidR="001F7B15">
        <w:t>que le permitan cubrir lo</w:t>
      </w:r>
      <w:r w:rsidR="00656BA1">
        <w:t>s</w:t>
      </w:r>
      <w:r w:rsidR="001F7B15">
        <w:t xml:space="preserve"> gast</w:t>
      </w:r>
      <w:r w:rsidR="00656BA1">
        <w:t>o</w:t>
      </w:r>
      <w:r w:rsidR="001F7B15">
        <w:t xml:space="preserve">s de </w:t>
      </w:r>
      <w:r w:rsidR="00656BA1">
        <w:t>servicios</w:t>
      </w:r>
      <w:r w:rsidR="001F7B15">
        <w:t xml:space="preserve"> básicos de la vivienda sin que dichas erogaciones afecten la </w:t>
      </w:r>
      <w:r w:rsidR="00656BA1">
        <w:t>satisfacción</w:t>
      </w:r>
      <w:r w:rsidR="001F7B15">
        <w:t xml:space="preserve"> de las necesidades bási</w:t>
      </w:r>
      <w:r w:rsidR="00656BA1">
        <w:t>c</w:t>
      </w:r>
      <w:r w:rsidR="001F7B15">
        <w:t>as. Los ingresos percibidos por las personas solas pa</w:t>
      </w:r>
      <w:r w:rsidR="00656BA1">
        <w:t>ra</w:t>
      </w:r>
      <w:r w:rsidR="001F7B15">
        <w:t xml:space="preserve"> soluciones individuales podrá</w:t>
      </w:r>
      <w:r w:rsidR="00444CC7">
        <w:t>n</w:t>
      </w:r>
      <w:r w:rsidR="001F7B15">
        <w:t xml:space="preserve"> ser de un máximo de 20 UR; por las pers</w:t>
      </w:r>
      <w:r w:rsidR="00656BA1">
        <w:t>o</w:t>
      </w:r>
      <w:r w:rsidR="001F7B15">
        <w:t>n</w:t>
      </w:r>
      <w:r w:rsidR="00656BA1">
        <w:t>a</w:t>
      </w:r>
      <w:r w:rsidR="001F7B15">
        <w:t>s co</w:t>
      </w:r>
      <w:r w:rsidR="00656BA1">
        <w:t>n</w:t>
      </w:r>
      <w:r w:rsidR="001F7B15">
        <w:t xml:space="preserve"> menores a cargo para sol</w:t>
      </w:r>
      <w:r w:rsidR="00656BA1">
        <w:t>u</w:t>
      </w:r>
      <w:r w:rsidR="001F7B15">
        <w:t>ciones individuales podrá</w:t>
      </w:r>
      <w:r w:rsidR="00444CC7">
        <w:t>n</w:t>
      </w:r>
      <w:r w:rsidR="001F7B15">
        <w:t xml:space="preserve"> ser de un máximo de 30 UR, al igual que el ingreso de las perso</w:t>
      </w:r>
      <w:r w:rsidR="00656BA1">
        <w:t>n</w:t>
      </w:r>
      <w:r w:rsidR="001F7B15">
        <w:t xml:space="preserve">as que puedan orientarse para </w:t>
      </w:r>
      <w:r w:rsidR="00656BA1">
        <w:t>una solución colectiva</w:t>
      </w:r>
      <w:r w:rsidR="001F7B15">
        <w:t>. As</w:t>
      </w:r>
      <w:r w:rsidR="00656BA1">
        <w:t>i</w:t>
      </w:r>
      <w:r w:rsidR="00444CC7">
        <w:t>mismo, la JND designará</w:t>
      </w:r>
      <w:r w:rsidR="001F7B15">
        <w:t xml:space="preserve"> la unidad que debe</w:t>
      </w:r>
      <w:r w:rsidR="00656BA1">
        <w:t>rá</w:t>
      </w:r>
      <w:r w:rsidR="001F7B15">
        <w:t xml:space="preserve"> </w:t>
      </w:r>
      <w:r w:rsidR="00656BA1">
        <w:t>realizar</w:t>
      </w:r>
      <w:r w:rsidR="001F7B15">
        <w:t xml:space="preserve"> el </w:t>
      </w:r>
      <w:r w:rsidR="00444CC7">
        <w:t>a</w:t>
      </w:r>
      <w:r w:rsidR="001F7B15">
        <w:t>comp</w:t>
      </w:r>
      <w:r w:rsidR="00444CC7">
        <w:t>a</w:t>
      </w:r>
      <w:r w:rsidR="001F7B15">
        <w:t>ñamien</w:t>
      </w:r>
      <w:r w:rsidR="00444CC7">
        <w:t>t</w:t>
      </w:r>
      <w:r w:rsidR="001F7B15">
        <w:t xml:space="preserve">o y </w:t>
      </w:r>
      <w:r w:rsidR="00656BA1">
        <w:t>seguimiento</w:t>
      </w:r>
      <w:r w:rsidR="001F7B15">
        <w:t xml:space="preserve"> de los casos designados hasta el </w:t>
      </w:r>
      <w:r w:rsidR="00656BA1">
        <w:t>cumplimiento</w:t>
      </w:r>
      <w:r w:rsidR="001F7B15">
        <w:t xml:space="preserve"> del contrato de arrendamiento;</w:t>
      </w:r>
    </w:p>
    <w:p w:rsidR="006F7069" w:rsidRDefault="001F7B15" w:rsidP="006F7069">
      <w:pPr>
        <w:pStyle w:val="Sangra3detindependiente"/>
        <w:ind w:firstLine="2835"/>
      </w:pPr>
      <w:r w:rsidRPr="00A31C5F">
        <w:rPr>
          <w:b/>
        </w:rPr>
        <w:t xml:space="preserve">5) </w:t>
      </w:r>
      <w:r>
        <w:t>que se instalar</w:t>
      </w:r>
      <w:r w:rsidR="00444CC7">
        <w:t>á</w:t>
      </w:r>
      <w:r>
        <w:t xml:space="preserve"> una </w:t>
      </w:r>
      <w:r w:rsidR="00656BA1">
        <w:t>Comisión</w:t>
      </w:r>
      <w:r>
        <w:t xml:space="preserve"> de Gestión </w:t>
      </w:r>
      <w:r w:rsidR="0098774E">
        <w:t>i</w:t>
      </w:r>
      <w:r w:rsidR="00656BA1">
        <w:t>ntegrada</w:t>
      </w:r>
      <w:r>
        <w:t xml:space="preserve"> por representantes de la JND y el</w:t>
      </w:r>
      <w:r w:rsidR="005B27CE">
        <w:t xml:space="preserve"> MVOTMA que tendrá por objetivo </w:t>
      </w:r>
      <w:r>
        <w:t xml:space="preserve"> el </w:t>
      </w:r>
      <w:r w:rsidR="00656BA1">
        <w:t>seguimiento</w:t>
      </w:r>
      <w:r>
        <w:t xml:space="preserve"> y </w:t>
      </w:r>
      <w:r w:rsidR="00656BA1">
        <w:t>evaluación</w:t>
      </w:r>
      <w:r>
        <w:t xml:space="preserve"> del convenio, </w:t>
      </w:r>
      <w:r w:rsidR="00656BA1">
        <w:t>articulando</w:t>
      </w:r>
      <w:r>
        <w:t xml:space="preserve"> y facilitando el desarrollo del mismo. La </w:t>
      </w:r>
      <w:r w:rsidR="00656BA1">
        <w:t>Comisión</w:t>
      </w:r>
      <w:r>
        <w:t xml:space="preserve"> referida será la responsable de garantizar el seguimiento de cada solución </w:t>
      </w:r>
      <w:r w:rsidR="00656BA1">
        <w:t>habitacional otorgada, así</w:t>
      </w:r>
      <w:r>
        <w:t xml:space="preserve"> como de aprobar las postulaciones;</w:t>
      </w:r>
    </w:p>
    <w:p w:rsidR="006F7069" w:rsidRDefault="001F7B15" w:rsidP="006F7069">
      <w:pPr>
        <w:pStyle w:val="Sangra3detindependiente"/>
        <w:ind w:firstLine="2835"/>
      </w:pPr>
      <w:r w:rsidRPr="00A31C5F">
        <w:rPr>
          <w:b/>
        </w:rPr>
        <w:t>6)</w:t>
      </w:r>
      <w:r>
        <w:t xml:space="preserve"> que se acuerda que el </w:t>
      </w:r>
      <w:r w:rsidR="00444CC7">
        <w:t>convenio</w:t>
      </w:r>
      <w:r>
        <w:t xml:space="preserve"> comenzará a regir a partir de su suscripción y tendrá validez por el plazo de 2 años, </w:t>
      </w:r>
      <w:r w:rsidR="00ED4900">
        <w:lastRenderedPageBreak/>
        <w:t>encontrándose</w:t>
      </w:r>
      <w:r>
        <w:t xml:space="preserve"> su renovación sujeta a la revisión anual, </w:t>
      </w:r>
      <w:r w:rsidR="00ED4900">
        <w:t>evaluación</w:t>
      </w:r>
      <w:r>
        <w:t xml:space="preserve"> y </w:t>
      </w:r>
      <w:r w:rsidR="00ED4900">
        <w:t>disposición</w:t>
      </w:r>
      <w:r>
        <w:t xml:space="preserve"> presupuestal;</w:t>
      </w:r>
    </w:p>
    <w:p w:rsidR="00DE3A8B" w:rsidRDefault="001F7B15" w:rsidP="006F7069">
      <w:pPr>
        <w:pStyle w:val="Sangra3detindependiente"/>
        <w:ind w:firstLine="2835"/>
      </w:pPr>
      <w:r w:rsidRPr="00A31C5F">
        <w:rPr>
          <w:b/>
        </w:rPr>
        <w:t>7)</w:t>
      </w:r>
      <w:r>
        <w:t xml:space="preserve"> que</w:t>
      </w:r>
      <w:r w:rsidR="00A31C5F">
        <w:t xml:space="preserve"> se </w:t>
      </w:r>
      <w:r w:rsidR="005B27CE">
        <w:t>adjunta proyecto de Resolución a dictar</w:t>
      </w:r>
      <w:r w:rsidR="00A31C5F">
        <w:t xml:space="preserve"> por el Prosecretario de la Presidencia de la República y el Presidente de la Junta Nacional de Drogas, por el cual se aprueba el acuerdo de cooperación a </w:t>
      </w:r>
      <w:r w:rsidR="005B27CE">
        <w:t>celebrar</w:t>
      </w:r>
      <w:r w:rsidR="00A31C5F">
        <w:t xml:space="preserve"> entre la J</w:t>
      </w:r>
      <w:r w:rsidR="00444CC7">
        <w:t>ND</w:t>
      </w:r>
      <w:r w:rsidR="00A31C5F">
        <w:t xml:space="preserve"> y el M</w:t>
      </w:r>
      <w:r w:rsidR="00444CC7">
        <w:t>VOTMA</w:t>
      </w:r>
      <w:r w:rsidR="005B27CE">
        <w:t xml:space="preserve"> y establece </w:t>
      </w:r>
      <w:r w:rsidR="00A31C5F">
        <w:t>que el acuerdo mencionado no implica erogación ninguna para las partes;</w:t>
      </w:r>
    </w:p>
    <w:p w:rsidR="00764A15" w:rsidRDefault="009444C7" w:rsidP="006F7069">
      <w:pPr>
        <w:spacing w:line="360" w:lineRule="auto"/>
        <w:ind w:firstLine="851"/>
        <w:jc w:val="both"/>
        <w:rPr>
          <w:i/>
          <w:iCs/>
        </w:rPr>
      </w:pPr>
      <w:r>
        <w:rPr>
          <w:b/>
          <w:bCs/>
        </w:rPr>
        <w:t>CONSIDERANDO:</w:t>
      </w:r>
      <w:r>
        <w:rPr>
          <w:rFonts w:cs="Arial"/>
          <w:lang w:val="es-MX"/>
        </w:rPr>
        <w:t xml:space="preserve"> </w:t>
      </w:r>
      <w:r w:rsidR="00561A23">
        <w:rPr>
          <w:b/>
          <w:bCs/>
        </w:rPr>
        <w:t>1</w:t>
      </w:r>
      <w:r w:rsidR="00764A15">
        <w:rPr>
          <w:b/>
          <w:bCs/>
        </w:rPr>
        <w:t xml:space="preserve">) </w:t>
      </w:r>
      <w:r w:rsidR="00764A15">
        <w:t xml:space="preserve">que de acuerdo con lo dispuesto por el numeral 1 del numeral  3 de la Ley </w:t>
      </w:r>
      <w:r w:rsidR="005B27CE">
        <w:t xml:space="preserve">Nº </w:t>
      </w:r>
      <w:r w:rsidR="00764A15">
        <w:t xml:space="preserve">16.112 </w:t>
      </w:r>
      <w:r w:rsidR="00B416AE">
        <w:t xml:space="preserve">del 30/5/90, </w:t>
      </w:r>
      <w:r w:rsidR="00764A15">
        <w:t xml:space="preserve"> al  MVOTMA le </w:t>
      </w:r>
      <w:r w:rsidR="00764A15" w:rsidRPr="0098774E">
        <w:rPr>
          <w:iCs/>
        </w:rPr>
        <w:t>corresponde</w:t>
      </w:r>
      <w:r w:rsidR="00764A15">
        <w:rPr>
          <w:i/>
          <w:iCs/>
        </w:rPr>
        <w:t xml:space="preserve"> “lo concerniente a la formulación, ejecución, supervisión y evaluación de los planes de vivienda y la instrumentación de la política nacional en la materia”;</w:t>
      </w:r>
    </w:p>
    <w:p w:rsidR="006F7069" w:rsidRDefault="00764A15" w:rsidP="006F7069">
      <w:pPr>
        <w:tabs>
          <w:tab w:val="left" w:pos="6237"/>
        </w:tabs>
        <w:spacing w:line="360" w:lineRule="auto"/>
        <w:ind w:firstLine="2835"/>
        <w:jc w:val="both"/>
      </w:pPr>
      <w:r>
        <w:rPr>
          <w:b/>
          <w:bCs/>
        </w:rPr>
        <w:t>2)</w:t>
      </w:r>
      <w:r>
        <w:t xml:space="preserve"> que</w:t>
      </w:r>
      <w:r w:rsidR="005B27CE">
        <w:t>,</w:t>
      </w:r>
      <w:r>
        <w:t xml:space="preserve"> asimismo el </w:t>
      </w:r>
      <w:r w:rsidR="005B27CE">
        <w:t>numeral 8 de dicha norma prevé</w:t>
      </w:r>
      <w:r>
        <w:t xml:space="preserve"> que al MVOTMA compete</w:t>
      </w:r>
      <w:r>
        <w:rPr>
          <w:i/>
          <w:iCs/>
        </w:rPr>
        <w:t>, “la coordinación con los demás organismos públicos, nacionales o departamentales, en la ejecución de sus cometidos”</w:t>
      </w:r>
      <w:r>
        <w:t xml:space="preserve">  y en el numeral 9º), </w:t>
      </w:r>
      <w:r>
        <w:rPr>
          <w:i/>
          <w:iCs/>
        </w:rPr>
        <w:t>“la celebración  de convenios con personas públicas y privadas, nacionales o extranjeras, para el cumplimiento de sus cometidos</w:t>
      </w:r>
      <w:r>
        <w:t>”;</w:t>
      </w:r>
    </w:p>
    <w:p w:rsidR="006F7069" w:rsidRDefault="00764A15" w:rsidP="006F7069">
      <w:pPr>
        <w:tabs>
          <w:tab w:val="left" w:pos="6237"/>
        </w:tabs>
        <w:spacing w:line="360" w:lineRule="auto"/>
        <w:ind w:firstLine="2835"/>
        <w:jc w:val="both"/>
        <w:rPr>
          <w:rFonts w:cs="Arial"/>
          <w:lang w:val="es-MX"/>
        </w:rPr>
      </w:pPr>
      <w:r>
        <w:rPr>
          <w:rFonts w:cs="Arial"/>
          <w:b/>
          <w:bCs/>
          <w:lang w:val="es-MX"/>
        </w:rPr>
        <w:t>3</w:t>
      </w:r>
      <w:r w:rsidR="009444C7">
        <w:rPr>
          <w:rFonts w:cs="Arial"/>
          <w:b/>
          <w:bCs/>
          <w:lang w:val="es-MX"/>
        </w:rPr>
        <w:t>)</w:t>
      </w:r>
      <w:r w:rsidR="009444C7">
        <w:rPr>
          <w:rFonts w:cs="Arial"/>
          <w:lang w:val="es-MX"/>
        </w:rPr>
        <w:t xml:space="preserve"> que</w:t>
      </w:r>
      <w:r>
        <w:rPr>
          <w:rFonts w:cs="Arial"/>
          <w:lang w:val="es-MX"/>
        </w:rPr>
        <w:t xml:space="preserve"> por su parte,</w:t>
      </w:r>
      <w:r w:rsidR="005B27CE">
        <w:rPr>
          <w:rFonts w:cs="Arial"/>
          <w:lang w:val="es-MX"/>
        </w:rPr>
        <w:t xml:space="preserve"> de acuerdo con lo establecido</w:t>
      </w:r>
      <w:r w:rsidR="009444C7">
        <w:rPr>
          <w:rFonts w:cs="Arial"/>
          <w:lang w:val="es-MX"/>
        </w:rPr>
        <w:t xml:space="preserve"> por el artículo 3 del  Decreto 463/9</w:t>
      </w:r>
      <w:r w:rsidR="006F7069">
        <w:rPr>
          <w:rFonts w:cs="Arial"/>
          <w:lang w:val="es-MX"/>
        </w:rPr>
        <w:t>8</w:t>
      </w:r>
      <w:r w:rsidR="009444C7">
        <w:rPr>
          <w:rFonts w:cs="Arial"/>
          <w:lang w:val="es-MX"/>
        </w:rPr>
        <w:t>8</w:t>
      </w:r>
      <w:r w:rsidR="00B416AE">
        <w:rPr>
          <w:rFonts w:cs="Arial"/>
          <w:lang w:val="es-MX"/>
        </w:rPr>
        <w:t xml:space="preserve"> del 13/7/88</w:t>
      </w:r>
      <w:r w:rsidR="009444C7">
        <w:rPr>
          <w:rFonts w:cs="Arial"/>
          <w:lang w:val="es-MX"/>
        </w:rPr>
        <w:t xml:space="preserve"> en la redacción dada por el artículo 2º del Decreto 170/000</w:t>
      </w:r>
      <w:r w:rsidR="0016087D">
        <w:rPr>
          <w:rFonts w:cs="Arial"/>
          <w:lang w:val="es-MX"/>
        </w:rPr>
        <w:t xml:space="preserve"> del 7/6/2000</w:t>
      </w:r>
      <w:r w:rsidR="009444C7">
        <w:rPr>
          <w:rFonts w:cs="Arial"/>
          <w:lang w:val="es-MX"/>
        </w:rPr>
        <w:t>, compete a la Junta Nacional de Drogas, la instrumentación de las directivas relacionadas con la fijación de la política nacional en materia de drogas, dirigida a la prevención del consumo problemático y tratamiento de la adicción a las drogas y a la represión del tráfico de drogas y precursores químicos, lavado de dinero y delitos conexos, la que será ejecutada por los organismos con atribuciones específicas en las respectivas materias, de acuerdo a las disposiciones legales y reglamentarias</w:t>
      </w:r>
      <w:r w:rsidR="006F7069">
        <w:rPr>
          <w:rFonts w:cs="Arial"/>
          <w:lang w:val="es-MX"/>
        </w:rPr>
        <w:t>;</w:t>
      </w:r>
    </w:p>
    <w:p w:rsidR="009444C7" w:rsidRDefault="00764A15" w:rsidP="006F7069">
      <w:pPr>
        <w:tabs>
          <w:tab w:val="left" w:pos="6237"/>
        </w:tabs>
        <w:spacing w:line="360" w:lineRule="auto"/>
        <w:ind w:firstLine="2835"/>
        <w:jc w:val="both"/>
      </w:pPr>
      <w:r>
        <w:rPr>
          <w:b/>
          <w:bCs/>
        </w:rPr>
        <w:t xml:space="preserve">4) </w:t>
      </w:r>
      <w:r w:rsidRPr="00764A15">
        <w:rPr>
          <w:bCs/>
        </w:rPr>
        <w:t xml:space="preserve">que en lo que refiere al aspecto </w:t>
      </w:r>
      <w:r w:rsidR="0016087D" w:rsidRPr="00764A15">
        <w:rPr>
          <w:bCs/>
        </w:rPr>
        <w:t>procedimental</w:t>
      </w:r>
      <w:r w:rsidR="005B27CE">
        <w:rPr>
          <w:bCs/>
        </w:rPr>
        <w:t xml:space="preserve">, </w:t>
      </w:r>
      <w:r w:rsidRPr="00764A15">
        <w:rPr>
          <w:bCs/>
        </w:rPr>
        <w:t xml:space="preserve"> la contratación directa en</w:t>
      </w:r>
      <w:r w:rsidR="009444C7">
        <w:rPr>
          <w:lang w:val="es-MX"/>
        </w:rPr>
        <w:t>cuadra</w:t>
      </w:r>
      <w:r w:rsidR="005B27CE">
        <w:rPr>
          <w:lang w:val="es-MX"/>
        </w:rPr>
        <w:t xml:space="preserve"> </w:t>
      </w:r>
      <w:r w:rsidR="009444C7">
        <w:rPr>
          <w:lang w:val="es-MX"/>
        </w:rPr>
        <w:t>en la causal de excepción establecida por el numeral 1) del literal c) del artículo 33 del TOCAF</w:t>
      </w:r>
      <w:r w:rsidR="005B27CE">
        <w:rPr>
          <w:lang w:val="es-MX"/>
        </w:rPr>
        <w:t xml:space="preserve">, en atención a la </w:t>
      </w:r>
      <w:r w:rsidR="005B27CE" w:rsidRPr="005B27CE">
        <w:rPr>
          <w:lang w:val="es-MX"/>
        </w:rPr>
        <w:t>naturaleza jurídica de la partes del convenio</w:t>
      </w:r>
      <w:r w:rsidR="005B27CE">
        <w:rPr>
          <w:lang w:val="es-MX"/>
        </w:rPr>
        <w:t>;</w:t>
      </w:r>
    </w:p>
    <w:p w:rsidR="009444C7" w:rsidRDefault="005B27CE" w:rsidP="006F7069">
      <w:pPr>
        <w:autoSpaceDE w:val="0"/>
        <w:autoSpaceDN w:val="0"/>
        <w:adjustRightInd w:val="0"/>
        <w:spacing w:line="360" w:lineRule="auto"/>
        <w:ind w:firstLine="851"/>
        <w:jc w:val="both"/>
        <w:rPr>
          <w:rFonts w:cs="Arial"/>
          <w:lang w:val="es-UY"/>
        </w:rPr>
      </w:pPr>
      <w:r w:rsidRPr="005B27CE">
        <w:rPr>
          <w:rFonts w:cs="Arial"/>
          <w:b/>
          <w:lang w:val="es-UY"/>
        </w:rPr>
        <w:lastRenderedPageBreak/>
        <w:t>A</w:t>
      </w:r>
      <w:r w:rsidR="006F7069">
        <w:rPr>
          <w:rFonts w:cs="Arial"/>
          <w:b/>
          <w:lang w:val="es-UY"/>
        </w:rPr>
        <w:t>TENTO</w:t>
      </w:r>
      <w:r w:rsidRPr="005B27CE">
        <w:rPr>
          <w:rFonts w:cs="Arial"/>
          <w:b/>
          <w:lang w:val="es-UY"/>
        </w:rPr>
        <w:t>:</w:t>
      </w:r>
      <w:r>
        <w:rPr>
          <w:rFonts w:cs="Arial"/>
          <w:lang w:val="es-UY"/>
        </w:rPr>
        <w:t xml:space="preserve"> a lo expresado precedentemente, y a lo dispuesto por el artículo 211 de la Constitución de la República;</w:t>
      </w:r>
    </w:p>
    <w:p w:rsidR="009444C7" w:rsidRDefault="009444C7" w:rsidP="009444C7">
      <w:pPr>
        <w:tabs>
          <w:tab w:val="left" w:pos="7920"/>
        </w:tabs>
        <w:autoSpaceDE w:val="0"/>
        <w:autoSpaceDN w:val="0"/>
        <w:adjustRightInd w:val="0"/>
        <w:spacing w:line="360" w:lineRule="auto"/>
        <w:jc w:val="both"/>
        <w:rPr>
          <w:rFonts w:cs="Arial"/>
          <w:lang w:val="es-MX"/>
        </w:rPr>
      </w:pPr>
    </w:p>
    <w:p w:rsidR="009444C7" w:rsidRDefault="009444C7" w:rsidP="009444C7">
      <w:pPr>
        <w:spacing w:line="360" w:lineRule="auto"/>
        <w:jc w:val="center"/>
        <w:rPr>
          <w:b/>
          <w:bCs/>
        </w:rPr>
      </w:pPr>
      <w:r>
        <w:rPr>
          <w:b/>
          <w:bCs/>
        </w:rPr>
        <w:t>EL TRIBUNAL ACUERDA</w:t>
      </w:r>
    </w:p>
    <w:p w:rsidR="009444C7" w:rsidRDefault="00F7177D" w:rsidP="006F7069">
      <w:pPr>
        <w:pStyle w:val="Prrafodelista"/>
        <w:spacing w:line="360" w:lineRule="auto"/>
        <w:ind w:left="0"/>
        <w:jc w:val="both"/>
      </w:pPr>
      <w:r w:rsidRPr="00F7177D">
        <w:rPr>
          <w:b/>
          <w:lang w:val="es-UY"/>
        </w:rPr>
        <w:t>1)</w:t>
      </w:r>
      <w:r>
        <w:rPr>
          <w:lang w:val="es-UY"/>
        </w:rPr>
        <w:t xml:space="preserve"> </w:t>
      </w:r>
      <w:r w:rsidR="009444C7" w:rsidRPr="00F7177D">
        <w:rPr>
          <w:lang w:val="es-UY"/>
        </w:rPr>
        <w:t>No formular observaciones al proyecto de convenio</w:t>
      </w:r>
      <w:r>
        <w:rPr>
          <w:lang w:val="es-UY"/>
        </w:rPr>
        <w:t xml:space="preserve"> remitido</w:t>
      </w:r>
      <w:r w:rsidR="009444C7">
        <w:t>;</w:t>
      </w:r>
    </w:p>
    <w:p w:rsidR="00F7177D" w:rsidRPr="00F7177D" w:rsidRDefault="00F7177D" w:rsidP="006F7069">
      <w:pPr>
        <w:pStyle w:val="Prrafodelista"/>
        <w:numPr>
          <w:ilvl w:val="0"/>
          <w:numId w:val="3"/>
        </w:numPr>
        <w:autoSpaceDE w:val="0"/>
        <w:autoSpaceDN w:val="0"/>
        <w:adjustRightInd w:val="0"/>
        <w:spacing w:line="360" w:lineRule="auto"/>
        <w:ind w:left="284" w:hanging="284"/>
        <w:jc w:val="both"/>
        <w:rPr>
          <w:rFonts w:cs="Arial"/>
          <w:color w:val="000000"/>
          <w:szCs w:val="18"/>
        </w:rPr>
      </w:pPr>
      <w:r>
        <w:t xml:space="preserve">Señalar que </w:t>
      </w:r>
      <w:r w:rsidR="00C40D40">
        <w:t>en la eventualidad de</w:t>
      </w:r>
      <w:r w:rsidR="00C53E2F">
        <w:t xml:space="preserve"> que en la ejecución del convenio </w:t>
      </w:r>
      <w:r w:rsidR="00C40D40">
        <w:t>se generen gastos</w:t>
      </w:r>
      <w:r w:rsidR="00C53E2F">
        <w:t>,</w:t>
      </w:r>
      <w:r w:rsidR="00C40D40">
        <w:t xml:space="preserve"> los mismos</w:t>
      </w:r>
      <w:r w:rsidR="00C53E2F">
        <w:t xml:space="preserve"> </w:t>
      </w:r>
      <w:r>
        <w:t>deberán</w:t>
      </w:r>
      <w:r w:rsidR="00C53E2F">
        <w:t xml:space="preserve"> ser  remitidos</w:t>
      </w:r>
      <w:r w:rsidRPr="00F7177D">
        <w:t xml:space="preserve"> </w:t>
      </w:r>
      <w:r>
        <w:t>a consideración de este Tribunal o a su Contador Auditor</w:t>
      </w:r>
      <w:r w:rsidRPr="00F7177D">
        <w:t xml:space="preserve"> </w:t>
      </w:r>
      <w:r>
        <w:t>s</w:t>
      </w:r>
      <w:r w:rsidR="00C53E2F">
        <w:t>egún su naturaleza y/o monto, para la intervención que le compete, de acuerdo con</w:t>
      </w:r>
      <w:r>
        <w:t xml:space="preserve"> lo dispuesto por el artículo 211 </w:t>
      </w:r>
      <w:r w:rsidR="002250D4">
        <w:t xml:space="preserve">literal B) </w:t>
      </w:r>
      <w:r>
        <w:t>de la Constitución de la República</w:t>
      </w:r>
      <w:r w:rsidRPr="00F7177D">
        <w:rPr>
          <w:rFonts w:cs="Arial"/>
          <w:color w:val="000000"/>
          <w:szCs w:val="19"/>
        </w:rPr>
        <w:t>;</w:t>
      </w:r>
    </w:p>
    <w:p w:rsidR="00F7177D" w:rsidRPr="006F7069" w:rsidRDefault="00F7177D" w:rsidP="006F7069">
      <w:pPr>
        <w:pStyle w:val="Prrafodelista"/>
        <w:numPr>
          <w:ilvl w:val="0"/>
          <w:numId w:val="3"/>
        </w:numPr>
        <w:autoSpaceDE w:val="0"/>
        <w:autoSpaceDN w:val="0"/>
        <w:adjustRightInd w:val="0"/>
        <w:spacing w:line="360" w:lineRule="auto"/>
        <w:rPr>
          <w:rFonts w:cs="Arial"/>
          <w:color w:val="000000"/>
          <w:szCs w:val="18"/>
        </w:rPr>
      </w:pPr>
      <w:r w:rsidRPr="00F7177D">
        <w:rPr>
          <w:rFonts w:cs="Arial"/>
          <w:color w:val="000000"/>
          <w:szCs w:val="19"/>
        </w:rPr>
        <w:t>Devolver los antecedentes.</w:t>
      </w:r>
    </w:p>
    <w:p w:rsidR="006F7069" w:rsidRPr="006F7069" w:rsidRDefault="006F7069" w:rsidP="006F7069">
      <w:pPr>
        <w:pStyle w:val="Prrafodelista"/>
        <w:autoSpaceDE w:val="0"/>
        <w:autoSpaceDN w:val="0"/>
        <w:adjustRightInd w:val="0"/>
        <w:spacing w:line="360" w:lineRule="auto"/>
        <w:ind w:left="360" w:hanging="360"/>
        <w:rPr>
          <w:rFonts w:cs="Arial"/>
          <w:color w:val="000000"/>
          <w:sz w:val="20"/>
          <w:szCs w:val="20"/>
        </w:rPr>
      </w:pPr>
      <w:r w:rsidRPr="006F7069">
        <w:rPr>
          <w:rFonts w:cs="Arial"/>
          <w:color w:val="000000"/>
          <w:sz w:val="20"/>
          <w:szCs w:val="20"/>
        </w:rPr>
        <w:t>CLC</w:t>
      </w:r>
    </w:p>
    <w:p w:rsidR="00F7177D" w:rsidRDefault="00F7177D" w:rsidP="006F7069">
      <w:pPr>
        <w:pStyle w:val="Sangradetextonormal"/>
        <w:ind w:firstLine="0"/>
        <w:rPr>
          <w:b/>
          <w:bCs/>
        </w:rPr>
      </w:pPr>
    </w:p>
    <w:p w:rsidR="00F7177D" w:rsidRDefault="00F7177D" w:rsidP="00F7177D">
      <w:pPr>
        <w:pStyle w:val="Sangradetextonormal"/>
      </w:pPr>
    </w:p>
    <w:p w:rsidR="00F7177D" w:rsidRDefault="00F7177D" w:rsidP="00F7177D">
      <w:pPr>
        <w:rPr>
          <w:rFonts w:cs="Arial"/>
          <w:sz w:val="16"/>
          <w:szCs w:val="16"/>
        </w:rPr>
      </w:pPr>
    </w:p>
    <w:p w:rsidR="00F7177D" w:rsidRDefault="00F7177D" w:rsidP="00C53E2F">
      <w:pPr>
        <w:pStyle w:val="Sangradetextonormal"/>
        <w:jc w:val="right"/>
        <w:rPr>
          <w:sz w:val="20"/>
          <w:szCs w:val="20"/>
        </w:rPr>
      </w:pPr>
      <w:r>
        <w:t xml:space="preserve">                                                                 </w:t>
      </w:r>
    </w:p>
    <w:p w:rsidR="00F7177D" w:rsidRDefault="00F7177D" w:rsidP="009444C7">
      <w:pPr>
        <w:spacing w:line="360" w:lineRule="auto"/>
        <w:ind w:left="709" w:hanging="709"/>
        <w:jc w:val="both"/>
      </w:pPr>
    </w:p>
    <w:sectPr w:rsidR="00F7177D" w:rsidSect="006F7069">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LiberationSan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D2E83"/>
    <w:multiLevelType w:val="hybridMultilevel"/>
    <w:tmpl w:val="D0A28642"/>
    <w:lvl w:ilvl="0" w:tplc="01046C4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6E16D01"/>
    <w:multiLevelType w:val="hybridMultilevel"/>
    <w:tmpl w:val="479EE7FA"/>
    <w:lvl w:ilvl="0" w:tplc="07E2E7D2">
      <w:start w:val="2"/>
      <w:numFmt w:val="decimal"/>
      <w:lvlText w:val="%1)"/>
      <w:lvlJc w:val="left"/>
      <w:pPr>
        <w:ind w:left="360" w:hanging="360"/>
      </w:pPr>
      <w:rPr>
        <w:rFonts w:cs="Times New Roman" w:hint="default"/>
        <w:b/>
        <w:color w:val="auto"/>
      </w:rPr>
    </w:lvl>
    <w:lvl w:ilvl="1" w:tplc="380A0019" w:tentative="1">
      <w:start w:val="1"/>
      <w:numFmt w:val="lowerLetter"/>
      <w:lvlText w:val="%2."/>
      <w:lvlJc w:val="left"/>
      <w:pPr>
        <w:ind w:left="1506" w:hanging="360"/>
      </w:pPr>
    </w:lvl>
    <w:lvl w:ilvl="2" w:tplc="380A001B" w:tentative="1">
      <w:start w:val="1"/>
      <w:numFmt w:val="lowerRoman"/>
      <w:lvlText w:val="%3."/>
      <w:lvlJc w:val="right"/>
      <w:pPr>
        <w:ind w:left="2226" w:hanging="180"/>
      </w:pPr>
    </w:lvl>
    <w:lvl w:ilvl="3" w:tplc="380A000F" w:tentative="1">
      <w:start w:val="1"/>
      <w:numFmt w:val="decimal"/>
      <w:lvlText w:val="%4."/>
      <w:lvlJc w:val="left"/>
      <w:pPr>
        <w:ind w:left="2946" w:hanging="360"/>
      </w:pPr>
    </w:lvl>
    <w:lvl w:ilvl="4" w:tplc="380A0019" w:tentative="1">
      <w:start w:val="1"/>
      <w:numFmt w:val="lowerLetter"/>
      <w:lvlText w:val="%5."/>
      <w:lvlJc w:val="left"/>
      <w:pPr>
        <w:ind w:left="3666" w:hanging="360"/>
      </w:pPr>
    </w:lvl>
    <w:lvl w:ilvl="5" w:tplc="380A001B" w:tentative="1">
      <w:start w:val="1"/>
      <w:numFmt w:val="lowerRoman"/>
      <w:lvlText w:val="%6."/>
      <w:lvlJc w:val="right"/>
      <w:pPr>
        <w:ind w:left="4386" w:hanging="180"/>
      </w:pPr>
    </w:lvl>
    <w:lvl w:ilvl="6" w:tplc="380A000F" w:tentative="1">
      <w:start w:val="1"/>
      <w:numFmt w:val="decimal"/>
      <w:lvlText w:val="%7."/>
      <w:lvlJc w:val="left"/>
      <w:pPr>
        <w:ind w:left="5106" w:hanging="360"/>
      </w:pPr>
    </w:lvl>
    <w:lvl w:ilvl="7" w:tplc="380A0019" w:tentative="1">
      <w:start w:val="1"/>
      <w:numFmt w:val="lowerLetter"/>
      <w:lvlText w:val="%8."/>
      <w:lvlJc w:val="left"/>
      <w:pPr>
        <w:ind w:left="5826" w:hanging="360"/>
      </w:pPr>
    </w:lvl>
    <w:lvl w:ilvl="8" w:tplc="380A001B" w:tentative="1">
      <w:start w:val="1"/>
      <w:numFmt w:val="lowerRoman"/>
      <w:lvlText w:val="%9."/>
      <w:lvlJc w:val="right"/>
      <w:pPr>
        <w:ind w:left="6546" w:hanging="180"/>
      </w:pPr>
    </w:lvl>
  </w:abstractNum>
  <w:abstractNum w:abstractNumId="2">
    <w:nsid w:val="501D2383"/>
    <w:multiLevelType w:val="hybridMultilevel"/>
    <w:tmpl w:val="9D844AEA"/>
    <w:lvl w:ilvl="0" w:tplc="8132D9A8">
      <w:start w:val="1"/>
      <w:numFmt w:val="decimal"/>
      <w:lvlText w:val="%1)"/>
      <w:lvlJc w:val="left"/>
      <w:pPr>
        <w:tabs>
          <w:tab w:val="num" w:pos="840"/>
        </w:tabs>
        <w:ind w:left="840" w:hanging="4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4C7"/>
    <w:rsid w:val="00100A1A"/>
    <w:rsid w:val="0016087D"/>
    <w:rsid w:val="001F7B15"/>
    <w:rsid w:val="002227E4"/>
    <w:rsid w:val="002250D4"/>
    <w:rsid w:val="00346587"/>
    <w:rsid w:val="003C283F"/>
    <w:rsid w:val="00444CC7"/>
    <w:rsid w:val="00561A23"/>
    <w:rsid w:val="005B27CE"/>
    <w:rsid w:val="005C6FB7"/>
    <w:rsid w:val="00656BA1"/>
    <w:rsid w:val="006F7069"/>
    <w:rsid w:val="00764A15"/>
    <w:rsid w:val="009444C7"/>
    <w:rsid w:val="0098774E"/>
    <w:rsid w:val="00A31C5F"/>
    <w:rsid w:val="00B16C58"/>
    <w:rsid w:val="00B416AE"/>
    <w:rsid w:val="00C40D40"/>
    <w:rsid w:val="00C53E2F"/>
    <w:rsid w:val="00DE3A8B"/>
    <w:rsid w:val="00E507AF"/>
    <w:rsid w:val="00ED4900"/>
    <w:rsid w:val="00F7177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4C7"/>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9444C7"/>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444C7"/>
    <w:rPr>
      <w:rFonts w:ascii="Arial" w:eastAsia="Times New Roman" w:hAnsi="Arial" w:cs="Times New Roman"/>
      <w:b/>
      <w:bCs/>
      <w:sz w:val="24"/>
      <w:szCs w:val="24"/>
      <w:lang w:val="es-ES" w:eastAsia="es-ES"/>
    </w:rPr>
  </w:style>
  <w:style w:type="paragraph" w:styleId="Sangra3detindependiente">
    <w:name w:val="Body Text Indent 3"/>
    <w:basedOn w:val="Normal"/>
    <w:link w:val="Sangra3detindependienteCar"/>
    <w:semiHidden/>
    <w:rsid w:val="009444C7"/>
    <w:pPr>
      <w:spacing w:line="360" w:lineRule="auto"/>
      <w:ind w:firstLine="1416"/>
      <w:jc w:val="both"/>
    </w:pPr>
  </w:style>
  <w:style w:type="character" w:customStyle="1" w:styleId="Sangra3detindependienteCar">
    <w:name w:val="Sangría 3 de t. independiente Car"/>
    <w:basedOn w:val="Fuentedeprrafopredeter"/>
    <w:link w:val="Sangra3detindependiente"/>
    <w:semiHidden/>
    <w:rsid w:val="009444C7"/>
    <w:rPr>
      <w:rFonts w:ascii="Arial" w:eastAsia="Times New Roman" w:hAnsi="Arial" w:cs="Times New Roman"/>
      <w:sz w:val="24"/>
      <w:szCs w:val="24"/>
      <w:lang w:val="es-ES" w:eastAsia="es-ES"/>
    </w:rPr>
  </w:style>
  <w:style w:type="paragraph" w:styleId="Sangradetextonormal">
    <w:name w:val="Body Text Indent"/>
    <w:basedOn w:val="Normal"/>
    <w:link w:val="SangradetextonormalCar"/>
    <w:semiHidden/>
    <w:rsid w:val="009444C7"/>
    <w:pPr>
      <w:spacing w:line="360" w:lineRule="auto"/>
      <w:ind w:firstLine="708"/>
      <w:jc w:val="both"/>
    </w:pPr>
    <w:rPr>
      <w:rFonts w:cs="Arial"/>
      <w:lang w:val="es-UY"/>
    </w:rPr>
  </w:style>
  <w:style w:type="character" w:customStyle="1" w:styleId="SangradetextonormalCar">
    <w:name w:val="Sangría de texto normal Car"/>
    <w:basedOn w:val="Fuentedeprrafopredeter"/>
    <w:link w:val="Sangradetextonormal"/>
    <w:semiHidden/>
    <w:rsid w:val="009444C7"/>
    <w:rPr>
      <w:rFonts w:ascii="Arial" w:eastAsia="Times New Roman" w:hAnsi="Arial" w:cs="Arial"/>
      <w:sz w:val="24"/>
      <w:szCs w:val="24"/>
      <w:lang w:eastAsia="es-ES"/>
    </w:rPr>
  </w:style>
  <w:style w:type="paragraph" w:styleId="Prrafodelista">
    <w:name w:val="List Paragraph"/>
    <w:basedOn w:val="Normal"/>
    <w:uiPriority w:val="34"/>
    <w:qFormat/>
    <w:rsid w:val="00F717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4C7"/>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9444C7"/>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444C7"/>
    <w:rPr>
      <w:rFonts w:ascii="Arial" w:eastAsia="Times New Roman" w:hAnsi="Arial" w:cs="Times New Roman"/>
      <w:b/>
      <w:bCs/>
      <w:sz w:val="24"/>
      <w:szCs w:val="24"/>
      <w:lang w:val="es-ES" w:eastAsia="es-ES"/>
    </w:rPr>
  </w:style>
  <w:style w:type="paragraph" w:styleId="Sangra3detindependiente">
    <w:name w:val="Body Text Indent 3"/>
    <w:basedOn w:val="Normal"/>
    <w:link w:val="Sangra3detindependienteCar"/>
    <w:semiHidden/>
    <w:rsid w:val="009444C7"/>
    <w:pPr>
      <w:spacing w:line="360" w:lineRule="auto"/>
      <w:ind w:firstLine="1416"/>
      <w:jc w:val="both"/>
    </w:pPr>
  </w:style>
  <w:style w:type="character" w:customStyle="1" w:styleId="Sangra3detindependienteCar">
    <w:name w:val="Sangría 3 de t. independiente Car"/>
    <w:basedOn w:val="Fuentedeprrafopredeter"/>
    <w:link w:val="Sangra3detindependiente"/>
    <w:semiHidden/>
    <w:rsid w:val="009444C7"/>
    <w:rPr>
      <w:rFonts w:ascii="Arial" w:eastAsia="Times New Roman" w:hAnsi="Arial" w:cs="Times New Roman"/>
      <w:sz w:val="24"/>
      <w:szCs w:val="24"/>
      <w:lang w:val="es-ES" w:eastAsia="es-ES"/>
    </w:rPr>
  </w:style>
  <w:style w:type="paragraph" w:styleId="Sangradetextonormal">
    <w:name w:val="Body Text Indent"/>
    <w:basedOn w:val="Normal"/>
    <w:link w:val="SangradetextonormalCar"/>
    <w:semiHidden/>
    <w:rsid w:val="009444C7"/>
    <w:pPr>
      <w:spacing w:line="360" w:lineRule="auto"/>
      <w:ind w:firstLine="708"/>
      <w:jc w:val="both"/>
    </w:pPr>
    <w:rPr>
      <w:rFonts w:cs="Arial"/>
      <w:lang w:val="es-UY"/>
    </w:rPr>
  </w:style>
  <w:style w:type="character" w:customStyle="1" w:styleId="SangradetextonormalCar">
    <w:name w:val="Sangría de texto normal Car"/>
    <w:basedOn w:val="Fuentedeprrafopredeter"/>
    <w:link w:val="Sangradetextonormal"/>
    <w:semiHidden/>
    <w:rsid w:val="009444C7"/>
    <w:rPr>
      <w:rFonts w:ascii="Arial" w:eastAsia="Times New Roman" w:hAnsi="Arial" w:cs="Arial"/>
      <w:sz w:val="24"/>
      <w:szCs w:val="24"/>
      <w:lang w:eastAsia="es-ES"/>
    </w:rPr>
  </w:style>
  <w:style w:type="paragraph" w:styleId="Prrafodelista">
    <w:name w:val="List Paragraph"/>
    <w:basedOn w:val="Normal"/>
    <w:uiPriority w:val="34"/>
    <w:qFormat/>
    <w:rsid w:val="00F71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967</Words>
  <Characters>5321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8</cp:revision>
  <cp:lastPrinted>2018-01-25T16:22:00Z</cp:lastPrinted>
  <dcterms:created xsi:type="dcterms:W3CDTF">2018-01-25T16:14:00Z</dcterms:created>
  <dcterms:modified xsi:type="dcterms:W3CDTF">2018-01-25T16:25:00Z</dcterms:modified>
</cp:coreProperties>
</file>