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25" w:rsidRPr="001E21C7" w:rsidRDefault="006B38BB" w:rsidP="00523225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563</w:t>
      </w:r>
      <w:bookmarkStart w:id="0" w:name="_GoBack"/>
      <w:bookmarkEnd w:id="0"/>
      <w:r w:rsidR="00523225">
        <w:rPr>
          <w:rFonts w:cs="Arial"/>
          <w:b/>
          <w:sz w:val="28"/>
          <w:szCs w:val="28"/>
          <w:lang w:val="es-ES_tradnl"/>
        </w:rPr>
        <w:t>/18</w:t>
      </w:r>
    </w:p>
    <w:p w:rsidR="00523225" w:rsidRPr="001E21C7" w:rsidRDefault="00523225" w:rsidP="005232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1E21C7">
        <w:rPr>
          <w:rFonts w:cs="Arial"/>
          <w:b/>
          <w:lang w:val="es-ES_tradnl"/>
        </w:rPr>
        <w:t>RESOLUCION ADOPTADA POR EL</w:t>
      </w:r>
    </w:p>
    <w:p w:rsidR="00523225" w:rsidRPr="001E21C7" w:rsidRDefault="00523225" w:rsidP="0052322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23225" w:rsidRPr="001E21C7" w:rsidRDefault="00523225" w:rsidP="005232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1E21C7">
        <w:rPr>
          <w:rFonts w:cs="Arial"/>
          <w:b/>
          <w:lang w:val="es-ES_tradnl"/>
        </w:rPr>
        <w:t>TRIBUNAL DE CUENTAS</w:t>
      </w:r>
    </w:p>
    <w:p w:rsidR="00523225" w:rsidRPr="001E21C7" w:rsidRDefault="00523225" w:rsidP="0052322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23225" w:rsidRPr="001E21C7" w:rsidRDefault="00523225" w:rsidP="005232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1E21C7">
        <w:rPr>
          <w:rFonts w:cs="Arial"/>
          <w:b/>
          <w:lang w:val="es-ES_tradnl"/>
        </w:rPr>
        <w:t xml:space="preserve">EN SESION DE FECHA 7 DE FEBRERO </w:t>
      </w:r>
      <w:r w:rsidRPr="001E21C7">
        <w:rPr>
          <w:rFonts w:ascii="Helvetica" w:hAnsi="Helvetica"/>
          <w:b/>
          <w:lang w:val="es-ES_tradnl"/>
        </w:rPr>
        <w:t>DE 2018</w:t>
      </w:r>
    </w:p>
    <w:p w:rsidR="00523225" w:rsidRPr="001E21C7" w:rsidRDefault="00523225" w:rsidP="0052322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F2819" w:rsidRDefault="00523225" w:rsidP="002A18D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1E21C7">
        <w:rPr>
          <w:rFonts w:cs="Arial"/>
          <w:b/>
          <w:lang w:val="en-US"/>
        </w:rPr>
        <w:t xml:space="preserve">(E. E. Nº </w:t>
      </w:r>
      <w:r w:rsidRPr="001E21C7">
        <w:rPr>
          <w:rFonts w:cs="Arial"/>
          <w:b/>
        </w:rPr>
        <w:t>201</w:t>
      </w:r>
      <w:r w:rsidR="002A18D3">
        <w:rPr>
          <w:rFonts w:cs="Arial"/>
          <w:b/>
        </w:rPr>
        <w:t>6</w:t>
      </w:r>
      <w:r w:rsidRPr="001E21C7">
        <w:rPr>
          <w:rFonts w:cs="Arial"/>
          <w:b/>
        </w:rPr>
        <w:t>-17-1-000</w:t>
      </w:r>
      <w:r>
        <w:rPr>
          <w:rFonts w:cs="Arial"/>
          <w:b/>
        </w:rPr>
        <w:t>7</w:t>
      </w:r>
      <w:r w:rsidR="002A18D3">
        <w:rPr>
          <w:rFonts w:cs="Arial"/>
          <w:b/>
        </w:rPr>
        <w:t>106</w:t>
      </w:r>
      <w:r w:rsidRPr="001E21C7">
        <w:rPr>
          <w:rFonts w:cs="Arial"/>
          <w:b/>
          <w:lang w:val="en-US"/>
        </w:rPr>
        <w:t xml:space="preserve">, </w:t>
      </w:r>
      <w:proofErr w:type="gramStart"/>
      <w:r w:rsidRPr="001E21C7">
        <w:rPr>
          <w:rFonts w:cs="Arial"/>
          <w:b/>
          <w:lang w:val="en-US"/>
        </w:rPr>
        <w:t>Ent</w:t>
      </w:r>
      <w:proofErr w:type="gramEnd"/>
      <w:r w:rsidRPr="001E21C7">
        <w:rPr>
          <w:rFonts w:cs="Arial"/>
          <w:b/>
          <w:lang w:val="en-US"/>
        </w:rPr>
        <w:t>. N°</w:t>
      </w:r>
      <w:r w:rsidR="002A18D3">
        <w:rPr>
          <w:rFonts w:cs="Arial"/>
          <w:b/>
          <w:lang w:val="en-US"/>
        </w:rPr>
        <w:t>435</w:t>
      </w:r>
      <w:r w:rsidRPr="001E21C7">
        <w:rPr>
          <w:rFonts w:cs="Arial"/>
          <w:b/>
        </w:rPr>
        <w:t>/1</w:t>
      </w:r>
      <w:r w:rsidR="002A18D3">
        <w:rPr>
          <w:rFonts w:cs="Arial"/>
          <w:b/>
        </w:rPr>
        <w:t>8</w:t>
      </w:r>
      <w:r w:rsidRPr="001E21C7">
        <w:rPr>
          <w:rFonts w:cs="Arial"/>
          <w:b/>
          <w:lang w:val="en-US"/>
        </w:rPr>
        <w:t>)</w:t>
      </w:r>
    </w:p>
    <w:p w:rsidR="002A18D3" w:rsidRPr="002A18D3" w:rsidRDefault="002A18D3" w:rsidP="002A18D3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FF2819" w:rsidRDefault="00FF2819" w:rsidP="002A18D3">
      <w:pPr>
        <w:pStyle w:val="Textoindependiente"/>
        <w:ind w:firstLine="567"/>
      </w:pPr>
      <w:r w:rsidRPr="00FF2819">
        <w:rPr>
          <w:b/>
        </w:rPr>
        <w:t>VISTO:</w:t>
      </w:r>
      <w:r>
        <w:t xml:space="preserve"> las actuaciones remitidas por la Contadora Auditora destacada ante la Secretaría Nacional de Deporte (SND) de la Presidencia de la República,  relacionadas </w:t>
      </w:r>
      <w:r w:rsidR="003B7F08" w:rsidRPr="003B7F08">
        <w:t xml:space="preserve">con la reiteración del gasto emergente de la </w:t>
      </w:r>
      <w:r w:rsidR="002D0DDE">
        <w:t>C</w:t>
      </w:r>
      <w:r w:rsidR="003B7F08" w:rsidRPr="003B7F08">
        <w:t xml:space="preserve">ontratación </w:t>
      </w:r>
      <w:r w:rsidR="002D0DDE">
        <w:t>D</w:t>
      </w:r>
      <w:r w:rsidR="003B7F08" w:rsidRPr="003B7F08">
        <w:t>irecta con distintas Asociaciones, con el objetivo de continuar con el Programa de Mantenimiento de Instalaciones Deportivas, mediante proyectos de capacitación y pasantías laborales</w:t>
      </w:r>
      <w:r>
        <w:t xml:space="preserve">;  </w:t>
      </w:r>
    </w:p>
    <w:p w:rsidR="00FF2819" w:rsidRDefault="00FF2819" w:rsidP="00FF2819">
      <w:pPr>
        <w:pStyle w:val="Textoindependiente"/>
      </w:pPr>
      <w:r>
        <w:tab/>
      </w:r>
      <w:r w:rsidRPr="00FF2819">
        <w:rPr>
          <w:b/>
        </w:rPr>
        <w:t>RESULTANDO: 1)</w:t>
      </w:r>
      <w:r>
        <w:t xml:space="preserve"> que e</w:t>
      </w:r>
      <w:r w:rsidRPr="000E5930">
        <w:t xml:space="preserve">n </w:t>
      </w:r>
      <w:r w:rsidRPr="00FF2819">
        <w:t xml:space="preserve">Sesión de fecha </w:t>
      </w:r>
      <w:r w:rsidR="003B7F08" w:rsidRPr="003B7F08">
        <w:t>20 de diciembre de 2017, este Tribunal acordó observar el gasto emergente del llamado de referencia en virtud de que: 1) por el monto a que ascendió la contratación, debió recurrirse a un procedimiento competitivo, no ajustándose a ninguna de las excepciones previstas en el Art</w:t>
      </w:r>
      <w:r w:rsidR="002D0DDE">
        <w:t>ículo</w:t>
      </w:r>
      <w:r w:rsidR="003B7F08" w:rsidRPr="003B7F08">
        <w:t xml:space="preserve"> 33 del TOCAF que habilitan la contratación directa; </w:t>
      </w:r>
      <w:r w:rsidR="002A18D3">
        <w:t xml:space="preserve">      </w:t>
      </w:r>
      <w:r w:rsidR="003B7F08" w:rsidRPr="003B7F08">
        <w:t xml:space="preserve">2) no </w:t>
      </w:r>
      <w:r w:rsidR="00757FDD">
        <w:t>se efectuó</w:t>
      </w:r>
      <w:r w:rsidR="003B7F08" w:rsidRPr="003B7F08">
        <w:t xml:space="preserve"> la publicación exigida en el Artículo 50 del TOCAF; 3) las actuaciones </w:t>
      </w:r>
      <w:r w:rsidR="00757FDD">
        <w:t>contaron</w:t>
      </w:r>
      <w:r w:rsidR="003B7F08" w:rsidRPr="003B7F08">
        <w:t xml:space="preserve"> con principio de ejecución, en contravención con lo dispuesto en el </w:t>
      </w:r>
      <w:r w:rsidR="002D0DDE">
        <w:t>l</w:t>
      </w:r>
      <w:r w:rsidR="003B7F08" w:rsidRPr="003B7F08">
        <w:t>iteral B) del Artículo 211 de la Constitución de la República</w:t>
      </w:r>
      <w:r>
        <w:t xml:space="preserve">; </w:t>
      </w:r>
    </w:p>
    <w:p w:rsidR="00FF2819" w:rsidRDefault="00FF2819" w:rsidP="00FF2819">
      <w:pPr>
        <w:spacing w:line="360" w:lineRule="auto"/>
        <w:jc w:val="both"/>
      </w:pPr>
      <w:r>
        <w:t xml:space="preserve">                                           </w:t>
      </w:r>
      <w:r w:rsidRPr="00FF2819">
        <w:rPr>
          <w:b/>
        </w:rPr>
        <w:t>2)</w:t>
      </w:r>
      <w:r>
        <w:t xml:space="preserve"> que en </w:t>
      </w:r>
      <w:r w:rsidR="002D0DDE">
        <w:t>esta</w:t>
      </w:r>
      <w:r>
        <w:t xml:space="preserve"> oportunidad</w:t>
      </w:r>
      <w:r w:rsidR="002D0DDE">
        <w:t>,</w:t>
      </w:r>
      <w:r>
        <w:t xml:space="preserve"> la </w:t>
      </w:r>
      <w:r w:rsidR="002D0DDE">
        <w:t xml:space="preserve">Contadora Auditora comunica  que la </w:t>
      </w:r>
      <w:r>
        <w:t xml:space="preserve">Administración actuante </w:t>
      </w:r>
      <w:r w:rsidR="002D0DDE">
        <w:t>por medio d</w:t>
      </w:r>
      <w:r w:rsidR="0023651A" w:rsidRPr="0023651A">
        <w:t xml:space="preserve">el Secretario Nacional de Deporte, </w:t>
      </w:r>
      <w:r w:rsidR="002D0DDE">
        <w:t>dictó Resolución</w:t>
      </w:r>
      <w:r w:rsidR="0023651A" w:rsidRPr="0023651A">
        <w:t xml:space="preserve"> reitera</w:t>
      </w:r>
      <w:r w:rsidR="002D0DDE">
        <w:t>ndo</w:t>
      </w:r>
      <w:r w:rsidR="0023651A" w:rsidRPr="0023651A">
        <w:t xml:space="preserve"> el gasto, “a los efectos de poder cumplir con las tareas sustantivas y obligaciones asumidas</w:t>
      </w:r>
      <w:r w:rsidR="0023651A">
        <w:t>”</w:t>
      </w:r>
      <w:r>
        <w:t xml:space="preserve">; </w:t>
      </w:r>
    </w:p>
    <w:p w:rsidR="00FF2819" w:rsidRDefault="00FF2819" w:rsidP="00FF2819">
      <w:pPr>
        <w:spacing w:line="360" w:lineRule="auto"/>
        <w:jc w:val="both"/>
        <w:rPr>
          <w:b/>
          <w:bCs/>
        </w:rPr>
      </w:pPr>
      <w:r>
        <w:t xml:space="preserve">                                         </w:t>
      </w:r>
      <w:r w:rsidRPr="00FF2819">
        <w:rPr>
          <w:b/>
        </w:rPr>
        <w:t xml:space="preserve"> 3)</w:t>
      </w:r>
      <w:r>
        <w:t xml:space="preserve"> que luce constancia de intervención por Reiteración, efectuada por la</w:t>
      </w:r>
      <w:r w:rsidR="0023651A">
        <w:t xml:space="preserve"> Contadora Auditora, de fecha 28</w:t>
      </w:r>
      <w:r>
        <w:t xml:space="preserve"> de diciembre de 2017; </w:t>
      </w:r>
    </w:p>
    <w:p w:rsidR="00D452B3" w:rsidRDefault="00B242F6" w:rsidP="00FF2819">
      <w:pPr>
        <w:spacing w:line="360" w:lineRule="auto"/>
        <w:jc w:val="both"/>
      </w:pPr>
      <w:r w:rsidRPr="000D6ADE">
        <w:rPr>
          <w:b/>
          <w:bCs/>
        </w:rPr>
        <w:t xml:space="preserve">        CONSIDERANDO: </w:t>
      </w:r>
      <w:r w:rsidR="007C6705">
        <w:rPr>
          <w:b/>
          <w:bCs/>
        </w:rPr>
        <w:t xml:space="preserve">1) </w:t>
      </w:r>
      <w:r w:rsidRPr="000D6ADE">
        <w:t xml:space="preserve">que se mantienen incambiadas las razones por las cuales se observó el gasto de referencia, no esgrimiéndose por parte de la </w:t>
      </w:r>
      <w:r w:rsidRPr="000D6ADE">
        <w:lastRenderedPageBreak/>
        <w:t xml:space="preserve">Administración argumentos que ameriten su reconsideración </w:t>
      </w:r>
      <w:r w:rsidR="00C00789">
        <w:t xml:space="preserve">y subsiguiente levantamiento;  </w:t>
      </w:r>
    </w:p>
    <w:p w:rsidR="003F5206" w:rsidRPr="003F5206" w:rsidRDefault="007C6705" w:rsidP="003F5206">
      <w:pPr>
        <w:spacing w:line="360" w:lineRule="auto"/>
        <w:ind w:firstLine="708"/>
        <w:jc w:val="both"/>
        <w:rPr>
          <w:rFonts w:cs="Arial"/>
        </w:rPr>
      </w:pPr>
      <w:r>
        <w:t xml:space="preserve">        </w:t>
      </w:r>
      <w:r w:rsidR="008C1EE3">
        <w:t xml:space="preserve">                       </w:t>
      </w:r>
      <w:r w:rsidRPr="007C6705">
        <w:rPr>
          <w:b/>
        </w:rPr>
        <w:t>2)</w:t>
      </w:r>
      <w:r w:rsidR="003F5206" w:rsidRPr="00DD0967">
        <w:rPr>
          <w:rFonts w:cs="Arial"/>
          <w:b/>
        </w:rPr>
        <w:t xml:space="preserve"> </w:t>
      </w:r>
      <w:r w:rsidR="003F5206" w:rsidRPr="003F5206">
        <w:rPr>
          <w:rFonts w:cs="Arial"/>
        </w:rPr>
        <w:t>que el Artículo 114 del TOCAF establece que en caso de que el Ordenador reitere el gasto</w:t>
      </w:r>
      <w:r w:rsidR="00375454">
        <w:rPr>
          <w:rFonts w:cs="Arial"/>
        </w:rPr>
        <w:t>,</w:t>
      </w:r>
      <w:r w:rsidR="003F5206" w:rsidRPr="003F5206">
        <w:rPr>
          <w:rFonts w:cs="Arial"/>
        </w:rPr>
        <w:t xml:space="preserve"> deberá comunicar tal resolución a este Tribunal, supuesto que no fue realizado en forma oportuna;</w:t>
      </w:r>
    </w:p>
    <w:p w:rsidR="00150E2D" w:rsidRPr="00C00789" w:rsidRDefault="003F5206" w:rsidP="00C00789">
      <w:pPr>
        <w:spacing w:line="360" w:lineRule="auto"/>
        <w:ind w:firstLine="708"/>
        <w:jc w:val="both"/>
        <w:rPr>
          <w:rFonts w:cs="Arial"/>
          <w:bCs/>
        </w:rPr>
      </w:pPr>
      <w:r w:rsidRPr="00DD0967">
        <w:rPr>
          <w:rFonts w:cs="Arial"/>
          <w:b/>
        </w:rPr>
        <w:t xml:space="preserve"> </w:t>
      </w:r>
      <w:r w:rsidR="00150E2D" w:rsidRPr="00150E2D">
        <w:rPr>
          <w:rFonts w:cs="Arial"/>
          <w:b/>
        </w:rPr>
        <w:t xml:space="preserve">ATENTO: </w:t>
      </w:r>
      <w:r w:rsidR="00150E2D" w:rsidRPr="00150E2D">
        <w:rPr>
          <w:rFonts w:cs="Arial"/>
        </w:rPr>
        <w:t xml:space="preserve">a lo precedentemente expuesto y a lo dispuesto por el Artículo 211, </w:t>
      </w:r>
      <w:r w:rsidR="00375454">
        <w:rPr>
          <w:rFonts w:cs="Arial"/>
        </w:rPr>
        <w:t>l</w:t>
      </w:r>
      <w:r w:rsidR="00150E2D" w:rsidRPr="00150E2D">
        <w:rPr>
          <w:rFonts w:cs="Arial"/>
        </w:rPr>
        <w:t xml:space="preserve">iteral B) de </w:t>
      </w:r>
      <w:r w:rsidR="00C00789">
        <w:rPr>
          <w:rFonts w:cs="Arial"/>
        </w:rPr>
        <w:t>la Constitución de la República;</w:t>
      </w:r>
    </w:p>
    <w:p w:rsidR="003F5206" w:rsidRPr="003F5206" w:rsidRDefault="003F5206" w:rsidP="003F5206"/>
    <w:p w:rsidR="00AE7175" w:rsidRDefault="00150E2D" w:rsidP="002A18D3">
      <w:pPr>
        <w:pStyle w:val="Ttulo2"/>
        <w:tabs>
          <w:tab w:val="left" w:pos="2010"/>
          <w:tab w:val="center" w:pos="4252"/>
        </w:tabs>
        <w:rPr>
          <w:lang w:val="es-ES_tradnl"/>
        </w:rPr>
      </w:pPr>
      <w:r>
        <w:t>EL TRIBUNAL ACUERDA</w:t>
      </w:r>
    </w:p>
    <w:p w:rsidR="00AE7175" w:rsidRPr="002A18D3" w:rsidRDefault="00150E2D" w:rsidP="002A18D3">
      <w:pPr>
        <w:pStyle w:val="Prrafodelista"/>
        <w:keepNext/>
        <w:numPr>
          <w:ilvl w:val="0"/>
          <w:numId w:val="5"/>
        </w:numPr>
        <w:spacing w:line="360" w:lineRule="auto"/>
        <w:ind w:left="284" w:hanging="284"/>
        <w:jc w:val="both"/>
        <w:outlineLvl w:val="0"/>
        <w:rPr>
          <w:rFonts w:cs="Arial"/>
          <w:b/>
          <w:bCs/>
        </w:rPr>
      </w:pPr>
      <w:r w:rsidRPr="002A18D3">
        <w:rPr>
          <w:rFonts w:cs="Arial"/>
          <w:bCs/>
        </w:rPr>
        <w:t xml:space="preserve">Mantener la observación formulada por este Tribunal en Sesión de fecha </w:t>
      </w:r>
      <w:r w:rsidR="00B5351D" w:rsidRPr="002A18D3">
        <w:rPr>
          <w:rFonts w:cs="Arial"/>
          <w:bCs/>
        </w:rPr>
        <w:t>20</w:t>
      </w:r>
      <w:r w:rsidRPr="002A18D3">
        <w:rPr>
          <w:rFonts w:cs="Arial"/>
          <w:bCs/>
        </w:rPr>
        <w:t xml:space="preserve"> de </w:t>
      </w:r>
      <w:r w:rsidR="0023616C" w:rsidRPr="002A18D3">
        <w:rPr>
          <w:rFonts w:cs="Arial"/>
          <w:bCs/>
        </w:rPr>
        <w:t>diciembre</w:t>
      </w:r>
      <w:r w:rsidRPr="002A18D3">
        <w:rPr>
          <w:rFonts w:cs="Arial"/>
          <w:bCs/>
        </w:rPr>
        <w:t xml:space="preserve"> de 2017; </w:t>
      </w:r>
    </w:p>
    <w:p w:rsidR="00AE7175" w:rsidRPr="00AC34CB" w:rsidRDefault="00150E2D" w:rsidP="00AE7175">
      <w:pPr>
        <w:pStyle w:val="Prrafodelista"/>
        <w:keepNext/>
        <w:numPr>
          <w:ilvl w:val="0"/>
          <w:numId w:val="5"/>
        </w:numPr>
        <w:spacing w:line="360" w:lineRule="auto"/>
        <w:jc w:val="both"/>
        <w:outlineLvl w:val="0"/>
        <w:rPr>
          <w:rFonts w:cs="Arial"/>
          <w:lang w:val="es-MX"/>
        </w:rPr>
      </w:pPr>
      <w:r w:rsidRPr="00AE7175">
        <w:rPr>
          <w:rFonts w:cs="Arial"/>
          <w:bCs/>
        </w:rPr>
        <w:t>Da</w:t>
      </w:r>
      <w:r w:rsidR="00AE7175">
        <w:rPr>
          <w:rFonts w:cs="Arial"/>
          <w:bCs/>
        </w:rPr>
        <w:t>r cuenta a la Asamblea General</w:t>
      </w:r>
      <w:r w:rsidR="00375454">
        <w:rPr>
          <w:rFonts w:cs="Arial"/>
          <w:bCs/>
        </w:rPr>
        <w:t>;</w:t>
      </w:r>
      <w:r w:rsidR="00AE7175">
        <w:rPr>
          <w:rFonts w:cs="Arial"/>
          <w:bCs/>
        </w:rPr>
        <w:t xml:space="preserve"> </w:t>
      </w:r>
    </w:p>
    <w:p w:rsidR="00AC34CB" w:rsidRPr="00AE7175" w:rsidRDefault="00AC34CB" w:rsidP="00AE7175">
      <w:pPr>
        <w:pStyle w:val="Prrafodelista"/>
        <w:keepNext/>
        <w:numPr>
          <w:ilvl w:val="0"/>
          <w:numId w:val="5"/>
        </w:numPr>
        <w:spacing w:line="360" w:lineRule="auto"/>
        <w:jc w:val="both"/>
        <w:outlineLvl w:val="0"/>
        <w:rPr>
          <w:rFonts w:cs="Arial"/>
          <w:lang w:val="es-MX"/>
        </w:rPr>
      </w:pPr>
      <w:r>
        <w:rPr>
          <w:rFonts w:cs="Arial"/>
          <w:bCs/>
          <w:lang w:val="es-MX"/>
        </w:rPr>
        <w:t>Téngase presente lo señalado en el Considerando 2.</w:t>
      </w:r>
    </w:p>
    <w:p w:rsidR="00AE7175" w:rsidRPr="00AE7175" w:rsidRDefault="00AE7175" w:rsidP="00375454">
      <w:pPr>
        <w:pStyle w:val="Prrafodelista"/>
        <w:keepNext/>
        <w:numPr>
          <w:ilvl w:val="0"/>
          <w:numId w:val="5"/>
        </w:numPr>
        <w:spacing w:line="360" w:lineRule="auto"/>
        <w:jc w:val="both"/>
        <w:outlineLvl w:val="0"/>
        <w:rPr>
          <w:rFonts w:cs="Arial"/>
          <w:lang w:val="es-MX"/>
        </w:rPr>
      </w:pPr>
      <w:r>
        <w:rPr>
          <w:rFonts w:cs="Arial"/>
          <w:bCs/>
          <w:lang w:val="es-MX"/>
        </w:rPr>
        <w:t xml:space="preserve">Comunicar </w:t>
      </w:r>
      <w:r w:rsidR="00375454" w:rsidRPr="00375454">
        <w:rPr>
          <w:rFonts w:cs="Arial"/>
          <w:bCs/>
          <w:lang w:val="es-MX"/>
        </w:rPr>
        <w:t xml:space="preserve">al  Poder Ejecutivo </w:t>
      </w:r>
      <w:r w:rsidR="00375454">
        <w:rPr>
          <w:rFonts w:cs="Arial"/>
          <w:bCs/>
          <w:lang w:val="es-MX"/>
        </w:rPr>
        <w:t xml:space="preserve"> y </w:t>
      </w:r>
      <w:r>
        <w:rPr>
          <w:rFonts w:cs="Arial"/>
          <w:bCs/>
          <w:lang w:val="es-MX"/>
        </w:rPr>
        <w:t>a</w:t>
      </w:r>
      <w:r w:rsidR="00757FDD">
        <w:rPr>
          <w:rFonts w:cs="Arial"/>
          <w:bCs/>
          <w:lang w:val="es-MX"/>
        </w:rPr>
        <w:t xml:space="preserve"> la</w:t>
      </w:r>
      <w:r>
        <w:rPr>
          <w:rFonts w:cs="Arial"/>
          <w:bCs/>
          <w:lang w:val="es-MX"/>
        </w:rPr>
        <w:t xml:space="preserve"> </w:t>
      </w:r>
      <w:r w:rsidR="00150E2D" w:rsidRPr="00AE7175">
        <w:rPr>
          <w:rFonts w:cs="Arial"/>
          <w:bCs/>
        </w:rPr>
        <w:t>Contador</w:t>
      </w:r>
      <w:r w:rsidR="00757FDD">
        <w:rPr>
          <w:rFonts w:cs="Arial"/>
          <w:bCs/>
        </w:rPr>
        <w:t>a</w:t>
      </w:r>
      <w:r w:rsidR="00150E2D" w:rsidRPr="00AE7175">
        <w:rPr>
          <w:rFonts w:cs="Arial"/>
          <w:bCs/>
        </w:rPr>
        <w:t xml:space="preserve"> </w:t>
      </w:r>
      <w:r w:rsidR="0006186B" w:rsidRPr="00AE7175">
        <w:rPr>
          <w:rFonts w:cs="Arial"/>
          <w:bCs/>
        </w:rPr>
        <w:t>Auditor</w:t>
      </w:r>
      <w:r w:rsidR="00757FDD">
        <w:rPr>
          <w:rFonts w:cs="Arial"/>
          <w:bCs/>
        </w:rPr>
        <w:t>a</w:t>
      </w:r>
      <w:r>
        <w:rPr>
          <w:rFonts w:cs="Arial"/>
          <w:bCs/>
        </w:rPr>
        <w:t>;</w:t>
      </w:r>
    </w:p>
    <w:p w:rsidR="00A823C5" w:rsidRPr="00AE7175" w:rsidRDefault="00AC34CB" w:rsidP="00AE7175">
      <w:pPr>
        <w:pStyle w:val="Prrafodelista"/>
        <w:keepNext/>
        <w:numPr>
          <w:ilvl w:val="0"/>
          <w:numId w:val="5"/>
        </w:numPr>
        <w:spacing w:line="360" w:lineRule="auto"/>
        <w:jc w:val="both"/>
        <w:outlineLvl w:val="0"/>
        <w:rPr>
          <w:rFonts w:cs="Arial"/>
          <w:lang w:val="es-MX"/>
        </w:rPr>
      </w:pPr>
      <w:r>
        <w:rPr>
          <w:rFonts w:cs="Arial"/>
          <w:bCs/>
        </w:rPr>
        <w:t>Oficiar</w:t>
      </w:r>
      <w:r w:rsidR="002A18D3">
        <w:rPr>
          <w:rFonts w:cs="Arial"/>
          <w:bCs/>
        </w:rPr>
        <w:t>.</w:t>
      </w:r>
    </w:p>
    <w:p w:rsidR="00A823C5" w:rsidRPr="00F43C4F" w:rsidRDefault="00F43C4F" w:rsidP="00F43C4F">
      <w:pPr>
        <w:spacing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CLC</w:t>
      </w:r>
    </w:p>
    <w:p w:rsidR="00150E2D" w:rsidRPr="00150E2D" w:rsidRDefault="00150E2D" w:rsidP="00150E2D">
      <w:pPr>
        <w:spacing w:line="360" w:lineRule="auto"/>
        <w:ind w:firstLine="708"/>
        <w:jc w:val="both"/>
        <w:rPr>
          <w:rFonts w:cs="Arial"/>
          <w:bCs/>
        </w:rPr>
      </w:pPr>
      <w:r w:rsidRPr="00150E2D">
        <w:rPr>
          <w:rFonts w:cs="Arial"/>
          <w:bCs/>
        </w:rPr>
        <w:t xml:space="preserve"> </w:t>
      </w:r>
    </w:p>
    <w:p w:rsidR="00150E2D" w:rsidRDefault="00150E2D" w:rsidP="00150E2D">
      <w:pPr>
        <w:rPr>
          <w:lang w:val="es-ES_tradnl"/>
        </w:rPr>
      </w:pPr>
    </w:p>
    <w:p w:rsidR="00020212" w:rsidRPr="00020212" w:rsidRDefault="00150E2D" w:rsidP="00150E2D">
      <w:pPr>
        <w:pStyle w:val="Ttulo2"/>
        <w:tabs>
          <w:tab w:val="left" w:pos="1650"/>
          <w:tab w:val="center" w:pos="4252"/>
        </w:tabs>
        <w:jc w:val="left"/>
        <w:rPr>
          <w:sz w:val="20"/>
        </w:rPr>
      </w:pPr>
      <w:r>
        <w:tab/>
      </w: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B5351D" w:rsidRDefault="00B5351D" w:rsidP="00B5351D">
      <w:pPr>
        <w:tabs>
          <w:tab w:val="center" w:pos="4252"/>
          <w:tab w:val="right" w:pos="8504"/>
        </w:tabs>
        <w:spacing w:line="360" w:lineRule="auto"/>
        <w:rPr>
          <w:i/>
          <w:iCs/>
        </w:rPr>
      </w:pPr>
    </w:p>
    <w:p w:rsidR="00D452B3" w:rsidRPr="00A823C5" w:rsidRDefault="00A823C5" w:rsidP="00B5351D">
      <w:pPr>
        <w:tabs>
          <w:tab w:val="center" w:pos="4252"/>
          <w:tab w:val="right" w:pos="8504"/>
        </w:tabs>
        <w:spacing w:line="360" w:lineRule="auto"/>
        <w:rPr>
          <w:sz w:val="22"/>
          <w:szCs w:val="22"/>
        </w:rPr>
      </w:pPr>
      <w:r>
        <w:rPr>
          <w:i/>
          <w:iCs/>
        </w:rPr>
        <w:tab/>
      </w:r>
      <w:r w:rsidRPr="00A823C5">
        <w:rPr>
          <w:i/>
          <w:iCs/>
          <w:sz w:val="22"/>
          <w:szCs w:val="22"/>
        </w:rPr>
        <w:tab/>
      </w:r>
    </w:p>
    <w:p w:rsidR="00D452B3" w:rsidRPr="00A823C5" w:rsidRDefault="00D452B3" w:rsidP="00D452B3">
      <w:pPr>
        <w:pStyle w:val="Ttulo"/>
        <w:jc w:val="both"/>
        <w:rPr>
          <w:b w:val="0"/>
          <w:bCs/>
          <w:sz w:val="22"/>
          <w:szCs w:val="22"/>
          <w:u w:val="none"/>
          <w:lang w:val="es-ES"/>
        </w:rPr>
      </w:pPr>
    </w:p>
    <w:sectPr w:rsidR="00D452B3" w:rsidRPr="00A823C5" w:rsidSect="002A18D3">
      <w:footerReference w:type="even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2D" w:rsidRDefault="00A9152D">
      <w:r>
        <w:separator/>
      </w:r>
    </w:p>
  </w:endnote>
  <w:endnote w:type="continuationSeparator" w:id="0">
    <w:p w:rsidR="00A9152D" w:rsidRDefault="00A9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DE" w:rsidRDefault="002D0D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0DDE" w:rsidRDefault="002D0D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DE" w:rsidRDefault="002D0D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38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0DDE" w:rsidRDefault="002D0D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2D" w:rsidRDefault="00A9152D">
      <w:r>
        <w:separator/>
      </w:r>
    </w:p>
  </w:footnote>
  <w:footnote w:type="continuationSeparator" w:id="0">
    <w:p w:rsidR="00A9152D" w:rsidRDefault="00A9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77431"/>
    <w:multiLevelType w:val="hybridMultilevel"/>
    <w:tmpl w:val="61F0BAA4"/>
    <w:lvl w:ilvl="0" w:tplc="A6C45B2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7DD0"/>
    <w:rsid w:val="00020212"/>
    <w:rsid w:val="000202E6"/>
    <w:rsid w:val="00037180"/>
    <w:rsid w:val="00054260"/>
    <w:rsid w:val="0006186B"/>
    <w:rsid w:val="00062640"/>
    <w:rsid w:val="000B7C17"/>
    <w:rsid w:val="000C3C07"/>
    <w:rsid w:val="000D6ADE"/>
    <w:rsid w:val="00117934"/>
    <w:rsid w:val="001361A6"/>
    <w:rsid w:val="00142088"/>
    <w:rsid w:val="00150E2D"/>
    <w:rsid w:val="00164ECF"/>
    <w:rsid w:val="00184672"/>
    <w:rsid w:val="001A3674"/>
    <w:rsid w:val="001F0FF6"/>
    <w:rsid w:val="001F2B67"/>
    <w:rsid w:val="0023616C"/>
    <w:rsid w:val="0023651A"/>
    <w:rsid w:val="00253E2B"/>
    <w:rsid w:val="00294C41"/>
    <w:rsid w:val="002A18D3"/>
    <w:rsid w:val="002B01F3"/>
    <w:rsid w:val="002D0DDE"/>
    <w:rsid w:val="002F2AC2"/>
    <w:rsid w:val="00324784"/>
    <w:rsid w:val="003372FB"/>
    <w:rsid w:val="00375454"/>
    <w:rsid w:val="003B7F08"/>
    <w:rsid w:val="003F1FB7"/>
    <w:rsid w:val="003F5206"/>
    <w:rsid w:val="00406BFC"/>
    <w:rsid w:val="00443630"/>
    <w:rsid w:val="004501C5"/>
    <w:rsid w:val="00462478"/>
    <w:rsid w:val="00470884"/>
    <w:rsid w:val="004C4E22"/>
    <w:rsid w:val="004D01CD"/>
    <w:rsid w:val="004D3615"/>
    <w:rsid w:val="00511300"/>
    <w:rsid w:val="00511DC9"/>
    <w:rsid w:val="00516224"/>
    <w:rsid w:val="00523225"/>
    <w:rsid w:val="0052566D"/>
    <w:rsid w:val="00542A28"/>
    <w:rsid w:val="00577656"/>
    <w:rsid w:val="005B5C7E"/>
    <w:rsid w:val="00622BC6"/>
    <w:rsid w:val="00624606"/>
    <w:rsid w:val="00696162"/>
    <w:rsid w:val="006A4D8B"/>
    <w:rsid w:val="006B38BB"/>
    <w:rsid w:val="0070351A"/>
    <w:rsid w:val="00704E80"/>
    <w:rsid w:val="00745442"/>
    <w:rsid w:val="00746DB2"/>
    <w:rsid w:val="00757AC1"/>
    <w:rsid w:val="00757FDD"/>
    <w:rsid w:val="007C6705"/>
    <w:rsid w:val="007D715D"/>
    <w:rsid w:val="00825F39"/>
    <w:rsid w:val="00841AD4"/>
    <w:rsid w:val="00892D6C"/>
    <w:rsid w:val="0089371C"/>
    <w:rsid w:val="008C1EE3"/>
    <w:rsid w:val="008C323B"/>
    <w:rsid w:val="008C7743"/>
    <w:rsid w:val="00917BC0"/>
    <w:rsid w:val="00930627"/>
    <w:rsid w:val="009744C7"/>
    <w:rsid w:val="009A3FD6"/>
    <w:rsid w:val="009E2584"/>
    <w:rsid w:val="009E2CD4"/>
    <w:rsid w:val="00A11035"/>
    <w:rsid w:val="00A3117B"/>
    <w:rsid w:val="00A46272"/>
    <w:rsid w:val="00A823C5"/>
    <w:rsid w:val="00A9152D"/>
    <w:rsid w:val="00AB6CB8"/>
    <w:rsid w:val="00AC10A1"/>
    <w:rsid w:val="00AC34CB"/>
    <w:rsid w:val="00AC7ED4"/>
    <w:rsid w:val="00AE2C7C"/>
    <w:rsid w:val="00AE7175"/>
    <w:rsid w:val="00B012FB"/>
    <w:rsid w:val="00B0699D"/>
    <w:rsid w:val="00B242F6"/>
    <w:rsid w:val="00B5351D"/>
    <w:rsid w:val="00B65F09"/>
    <w:rsid w:val="00BB0A97"/>
    <w:rsid w:val="00BD4168"/>
    <w:rsid w:val="00C00789"/>
    <w:rsid w:val="00C52406"/>
    <w:rsid w:val="00C558B2"/>
    <w:rsid w:val="00C72122"/>
    <w:rsid w:val="00C9007C"/>
    <w:rsid w:val="00CD32EB"/>
    <w:rsid w:val="00D105E0"/>
    <w:rsid w:val="00D452B3"/>
    <w:rsid w:val="00D91532"/>
    <w:rsid w:val="00DC69BD"/>
    <w:rsid w:val="00DD7954"/>
    <w:rsid w:val="00DE6B2A"/>
    <w:rsid w:val="00E02061"/>
    <w:rsid w:val="00E04CAC"/>
    <w:rsid w:val="00E62FDA"/>
    <w:rsid w:val="00E9267A"/>
    <w:rsid w:val="00F15B5E"/>
    <w:rsid w:val="00F43C4F"/>
    <w:rsid w:val="00F52ACA"/>
    <w:rsid w:val="00F74BF9"/>
    <w:rsid w:val="00FB3615"/>
    <w:rsid w:val="00FC0F87"/>
    <w:rsid w:val="00FE4D10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A904-DE17-4A5C-9F73-9B5DF5E0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7</cp:revision>
  <cp:lastPrinted>2018-02-14T17:19:00Z</cp:lastPrinted>
  <dcterms:created xsi:type="dcterms:W3CDTF">2018-02-14T17:11:00Z</dcterms:created>
  <dcterms:modified xsi:type="dcterms:W3CDTF">2018-02-14T17:34:00Z</dcterms:modified>
</cp:coreProperties>
</file>