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A0E" w:rsidRPr="00786EEB" w:rsidRDefault="007D4A0E" w:rsidP="007D4A0E">
      <w:pPr>
        <w:tabs>
          <w:tab w:val="center" w:pos="4253"/>
        </w:tabs>
        <w:suppressAutoHyphens/>
        <w:jc w:val="right"/>
        <w:rPr>
          <w:rFonts w:cs="Arial"/>
          <w:b/>
          <w:sz w:val="28"/>
          <w:szCs w:val="28"/>
          <w:lang w:val="es-ES_tradnl"/>
        </w:rPr>
      </w:pPr>
      <w:r>
        <w:rPr>
          <w:rFonts w:cs="Arial"/>
          <w:b/>
          <w:sz w:val="28"/>
          <w:szCs w:val="28"/>
          <w:lang w:val="es-ES_tradnl"/>
        </w:rPr>
        <w:t>RES.4314 /17</w:t>
      </w:r>
    </w:p>
    <w:p w:rsidR="007D4A0E" w:rsidRDefault="007D4A0E" w:rsidP="007D4A0E">
      <w:pPr>
        <w:tabs>
          <w:tab w:val="center" w:pos="4253"/>
        </w:tabs>
        <w:suppressAutoHyphens/>
        <w:jc w:val="right"/>
        <w:rPr>
          <w:rFonts w:cs="Arial"/>
          <w:b/>
          <w:lang w:val="es-ES_tradnl"/>
        </w:rPr>
      </w:pPr>
    </w:p>
    <w:p w:rsidR="007D4A0E" w:rsidRPr="00762B34" w:rsidRDefault="007D4A0E" w:rsidP="007D4A0E">
      <w:pPr>
        <w:tabs>
          <w:tab w:val="center" w:pos="4253"/>
        </w:tabs>
        <w:suppressAutoHyphens/>
        <w:jc w:val="center"/>
        <w:rPr>
          <w:rFonts w:cs="Arial"/>
          <w:b/>
          <w:lang w:val="es-ES_tradnl"/>
        </w:rPr>
      </w:pPr>
      <w:r w:rsidRPr="00762B34">
        <w:rPr>
          <w:rFonts w:cs="Arial"/>
          <w:b/>
          <w:lang w:val="es-ES_tradnl"/>
        </w:rPr>
        <w:t>RESOLUCION ADOPTADA POR EL</w:t>
      </w:r>
    </w:p>
    <w:p w:rsidR="007D4A0E" w:rsidRPr="00762B34" w:rsidRDefault="007D4A0E" w:rsidP="007D4A0E">
      <w:pPr>
        <w:tabs>
          <w:tab w:val="left" w:pos="-720"/>
        </w:tabs>
        <w:suppressAutoHyphens/>
        <w:jc w:val="center"/>
        <w:rPr>
          <w:rFonts w:cs="Arial"/>
          <w:b/>
          <w:lang w:val="es-ES_tradnl"/>
        </w:rPr>
      </w:pPr>
    </w:p>
    <w:p w:rsidR="007D4A0E" w:rsidRPr="00762B34" w:rsidRDefault="007D4A0E" w:rsidP="007D4A0E">
      <w:pPr>
        <w:tabs>
          <w:tab w:val="center" w:pos="4253"/>
        </w:tabs>
        <w:suppressAutoHyphens/>
        <w:jc w:val="center"/>
        <w:rPr>
          <w:rFonts w:cs="Arial"/>
          <w:b/>
          <w:lang w:val="es-ES_tradnl"/>
        </w:rPr>
      </w:pPr>
      <w:r w:rsidRPr="00762B34">
        <w:rPr>
          <w:rFonts w:cs="Arial"/>
          <w:b/>
          <w:lang w:val="es-ES_tradnl"/>
        </w:rPr>
        <w:t>TRIBUNAL DE CUENTAS</w:t>
      </w:r>
    </w:p>
    <w:p w:rsidR="007D4A0E" w:rsidRPr="00762B34" w:rsidRDefault="007D4A0E" w:rsidP="007D4A0E">
      <w:pPr>
        <w:tabs>
          <w:tab w:val="left" w:pos="-720"/>
        </w:tabs>
        <w:suppressAutoHyphens/>
        <w:jc w:val="center"/>
        <w:rPr>
          <w:rFonts w:cs="Arial"/>
          <w:b/>
          <w:lang w:val="es-ES_tradnl"/>
        </w:rPr>
      </w:pPr>
    </w:p>
    <w:p w:rsidR="007D4A0E" w:rsidRPr="00762B34" w:rsidRDefault="007D4A0E" w:rsidP="007D4A0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27 DE DICIEMBRE </w:t>
      </w:r>
      <w:r>
        <w:rPr>
          <w:rFonts w:ascii="Helvetica" w:hAnsi="Helvetica"/>
          <w:b/>
          <w:lang w:val="es-ES_tradnl"/>
        </w:rPr>
        <w:t>DE 2017</w:t>
      </w:r>
    </w:p>
    <w:p w:rsidR="007D4A0E" w:rsidRPr="00762B34" w:rsidRDefault="007D4A0E" w:rsidP="007D4A0E">
      <w:pPr>
        <w:tabs>
          <w:tab w:val="center" w:pos="4253"/>
        </w:tabs>
        <w:suppressAutoHyphens/>
        <w:jc w:val="center"/>
        <w:rPr>
          <w:rFonts w:cs="Arial"/>
          <w:b/>
          <w:lang w:val="es-ES_tradnl"/>
        </w:rPr>
      </w:pPr>
    </w:p>
    <w:p w:rsidR="007D4A0E" w:rsidRPr="00B81C2A" w:rsidRDefault="007D4A0E" w:rsidP="007D4A0E">
      <w:pPr>
        <w:tabs>
          <w:tab w:val="center" w:pos="4253"/>
        </w:tabs>
        <w:suppressAutoHyphens/>
        <w:jc w:val="center"/>
        <w:rPr>
          <w:rFonts w:cs="Arial"/>
          <w:b/>
          <w:lang w:val="en-US"/>
        </w:rPr>
      </w:pPr>
      <w:r w:rsidRPr="00762B34">
        <w:rPr>
          <w:rFonts w:cs="Arial"/>
          <w:b/>
          <w:lang w:val="en-US"/>
        </w:rPr>
        <w:t>(E. E. Nº</w:t>
      </w:r>
      <w:r w:rsidRPr="00D81314">
        <w:rPr>
          <w:b/>
        </w:rPr>
        <w:t>201</w:t>
      </w:r>
      <w:r w:rsidR="00B9185C">
        <w:rPr>
          <w:b/>
        </w:rPr>
        <w:t>7</w:t>
      </w:r>
      <w:bookmarkStart w:id="0" w:name="_GoBack"/>
      <w:bookmarkEnd w:id="0"/>
      <w:r w:rsidRPr="00D81314">
        <w:rPr>
          <w:b/>
        </w:rPr>
        <w:t>-17-1-000</w:t>
      </w:r>
      <w:r>
        <w:rPr>
          <w:b/>
        </w:rPr>
        <w:t>6626</w:t>
      </w:r>
      <w:r w:rsidRPr="00762B34">
        <w:rPr>
          <w:rFonts w:cs="Arial"/>
          <w:b/>
          <w:lang w:val="en-US"/>
        </w:rPr>
        <w:t xml:space="preserve">, Ent. N° </w:t>
      </w:r>
      <w:r>
        <w:rPr>
          <w:rFonts w:cs="Arial"/>
          <w:b/>
          <w:lang w:val="en-US"/>
        </w:rPr>
        <w:t>6374</w:t>
      </w:r>
      <w:r>
        <w:rPr>
          <w:b/>
        </w:rPr>
        <w:t>/17</w:t>
      </w:r>
      <w:r>
        <w:rPr>
          <w:rFonts w:cs="Arial"/>
          <w:b/>
          <w:lang w:val="en-US"/>
        </w:rPr>
        <w:t>)</w:t>
      </w:r>
    </w:p>
    <w:p w:rsidR="00511DC9" w:rsidRDefault="00511DC9" w:rsidP="00511DC9">
      <w:pPr>
        <w:spacing w:line="360" w:lineRule="auto"/>
        <w:jc w:val="center"/>
        <w:rPr>
          <w:b/>
          <w:bCs/>
          <w:i/>
          <w:iCs/>
        </w:rPr>
      </w:pPr>
    </w:p>
    <w:p w:rsidR="00164ECF" w:rsidRDefault="00511DC9" w:rsidP="00164ECF">
      <w:pPr>
        <w:pStyle w:val="Textoindependiente"/>
      </w:pPr>
      <w:r>
        <w:t xml:space="preserve">      </w:t>
      </w:r>
      <w:r w:rsidR="00AE2C7C">
        <w:t xml:space="preserve">        </w:t>
      </w:r>
      <w:r w:rsidR="00AE2C7C" w:rsidRPr="00AE2C7C">
        <w:rPr>
          <w:b/>
        </w:rPr>
        <w:t>VISTO:</w:t>
      </w:r>
      <w:r w:rsidR="00AE2C7C">
        <w:t xml:space="preserve"> </w:t>
      </w:r>
      <w:r w:rsidR="00164ECF">
        <w:t xml:space="preserve">las nuevas actuaciones remitidas por la Unidad Reguladora de Servicios de Comunicación (U.R.S.E.C.) </w:t>
      </w:r>
      <w:r w:rsidR="00F10CB9">
        <w:t xml:space="preserve">de la </w:t>
      </w:r>
      <w:r w:rsidR="00F10CB9" w:rsidRPr="00F10CB9">
        <w:t>Presidencia de la República</w:t>
      </w:r>
      <w:r w:rsidR="00F10CB9">
        <w:t>, r</w:t>
      </w:r>
      <w:r w:rsidR="00164ECF">
        <w:t xml:space="preserve">elacionadas con la reiteración del gasto emergente de la Licitación Pública </w:t>
      </w:r>
      <w:r w:rsidR="007D4A0E">
        <w:t xml:space="preserve">   </w:t>
      </w:r>
      <w:r w:rsidR="00164ECF">
        <w:t>Nº 73/2017</w:t>
      </w:r>
      <w:r w:rsidR="00F10CB9">
        <w:t>,</w:t>
      </w:r>
      <w:r w:rsidR="00164ECF">
        <w:t xml:space="preserve"> cuyo objeto es la “Contratación de Servicio de Limpieza para la Sede Principal de la U.R.S.E.C.”; </w:t>
      </w:r>
    </w:p>
    <w:p w:rsidR="00164ECF" w:rsidRDefault="00164ECF" w:rsidP="00164ECF">
      <w:pPr>
        <w:pStyle w:val="Textoindependiente"/>
      </w:pPr>
      <w:r>
        <w:t xml:space="preserve"> </w:t>
      </w:r>
      <w:r>
        <w:tab/>
      </w:r>
      <w:r w:rsidRPr="00164ECF">
        <w:rPr>
          <w:b/>
        </w:rPr>
        <w:t>RESULTANDO: 1)</w:t>
      </w:r>
      <w:r>
        <w:t xml:space="preserve"> que e</w:t>
      </w:r>
      <w:r w:rsidRPr="000E5930">
        <w:t xml:space="preserve">n </w:t>
      </w:r>
      <w:r w:rsidRPr="00164ECF">
        <w:t>Sesión de fecha 25 de octubre de 2017,</w:t>
      </w:r>
      <w:r>
        <w:rPr>
          <w:b/>
          <w:i/>
        </w:rPr>
        <w:t xml:space="preserve"> </w:t>
      </w:r>
      <w:r>
        <w:t xml:space="preserve">este Tribunal acordó observar el gasto emergente del llamado de referencia, por incumplimiento de lo establecido en el Artículo 48 del T.O.C.A.F.; </w:t>
      </w:r>
    </w:p>
    <w:p w:rsidR="00A3117B" w:rsidRPr="00F15B5E" w:rsidRDefault="00164ECF" w:rsidP="00164ECF">
      <w:pPr>
        <w:pStyle w:val="Textoindependiente"/>
      </w:pPr>
      <w:r>
        <w:t xml:space="preserve">                                          </w:t>
      </w:r>
      <w:r w:rsidRPr="00164ECF">
        <w:rPr>
          <w:b/>
        </w:rPr>
        <w:t xml:space="preserve">2) </w:t>
      </w:r>
      <w:r>
        <w:t>que en la oportunidad</w:t>
      </w:r>
      <w:r w:rsidR="00F10CB9">
        <w:t>,</w:t>
      </w:r>
      <w:r>
        <w:t xml:space="preserve"> la Administración actuante remite Resolución Nº 184, Acta 042, de la Unidad Reguladora de Servicio de Comunicaciones, de fecha 24 de noviembre de 2017, mediante la cual se reitera el gasto vinculado a la adjudicación a la empresa María Ramona Ibarra (ALI Service), por un monto mensual de $ 227.680, más IVA. Surge de dicha Resolución que se tendrá en cuenta dicha observación</w:t>
      </w:r>
      <w:r w:rsidR="00F10CB9">
        <w:t>,</w:t>
      </w:r>
      <w:r>
        <w:t xml:space="preserve"> a efectos de incorporar las mejoras correspondientes a los pliegos de futuras adquisiciones; </w:t>
      </w:r>
    </w:p>
    <w:p w:rsidR="00F10CB9" w:rsidRPr="00F10CB9" w:rsidRDefault="00B242F6" w:rsidP="00C00789">
      <w:pPr>
        <w:spacing w:line="360" w:lineRule="auto"/>
        <w:ind w:firstLine="708"/>
        <w:jc w:val="both"/>
        <w:rPr>
          <w:bCs/>
        </w:rPr>
      </w:pPr>
      <w:r w:rsidRPr="000D6ADE">
        <w:rPr>
          <w:b/>
          <w:bCs/>
        </w:rPr>
        <w:t xml:space="preserve">        CONSIDERANDO: </w:t>
      </w:r>
      <w:r w:rsidR="00F10CB9">
        <w:rPr>
          <w:b/>
          <w:bCs/>
        </w:rPr>
        <w:t xml:space="preserve">1) </w:t>
      </w:r>
      <w:r w:rsidR="00F10CB9" w:rsidRPr="00F10CB9">
        <w:rPr>
          <w:bCs/>
        </w:rPr>
        <w:t>que la Administración no fundamenta la reiteración del presente gasto;</w:t>
      </w:r>
    </w:p>
    <w:p w:rsidR="00D452B3" w:rsidRPr="00C00789" w:rsidRDefault="00F10CB9" w:rsidP="00C00789">
      <w:pPr>
        <w:spacing w:line="360" w:lineRule="auto"/>
        <w:ind w:firstLine="708"/>
        <w:jc w:val="both"/>
      </w:pPr>
      <w:r>
        <w:rPr>
          <w:b/>
          <w:bCs/>
        </w:rPr>
        <w:t xml:space="preserve">                                             2) </w:t>
      </w:r>
      <w:r w:rsidR="00B242F6" w:rsidRPr="000D6ADE">
        <w:t xml:space="preserve">que se mantienen incambiadas las razones por las cuales se observó el gasto de referencia, no esgrimiéndose por parte de la Administración argumentos que ameriten su reconsideración </w:t>
      </w:r>
      <w:r w:rsidR="00C00789">
        <w:t xml:space="preserve">y subsiguiente levantamiento;  </w:t>
      </w:r>
    </w:p>
    <w:p w:rsidR="00150E2D" w:rsidRPr="00C00789" w:rsidRDefault="00150E2D" w:rsidP="00C00789">
      <w:pPr>
        <w:spacing w:line="360" w:lineRule="auto"/>
        <w:ind w:firstLine="708"/>
        <w:jc w:val="both"/>
        <w:rPr>
          <w:rFonts w:cs="Arial"/>
          <w:bCs/>
        </w:rPr>
      </w:pPr>
      <w:r w:rsidRPr="00150E2D">
        <w:rPr>
          <w:rFonts w:cs="Arial"/>
          <w:b/>
        </w:rPr>
        <w:lastRenderedPageBreak/>
        <w:t xml:space="preserve">ATENTO: </w:t>
      </w:r>
      <w:r w:rsidRPr="00150E2D">
        <w:rPr>
          <w:rFonts w:cs="Arial"/>
        </w:rPr>
        <w:t xml:space="preserve">a lo precedentemente expuesto y a lo dispuesto por el Artículo 211, Literal B) de </w:t>
      </w:r>
      <w:r w:rsidR="00C00789">
        <w:rPr>
          <w:rFonts w:cs="Arial"/>
        </w:rPr>
        <w:t>la Constitución de la República;</w:t>
      </w:r>
    </w:p>
    <w:p w:rsidR="00150E2D" w:rsidRDefault="00150E2D" w:rsidP="00150E2D">
      <w:pPr>
        <w:pStyle w:val="Ttulo2"/>
        <w:tabs>
          <w:tab w:val="left" w:pos="2010"/>
          <w:tab w:val="center" w:pos="4252"/>
        </w:tabs>
        <w:jc w:val="left"/>
      </w:pPr>
    </w:p>
    <w:p w:rsidR="00150E2D" w:rsidRPr="007D4A0E" w:rsidRDefault="00150E2D" w:rsidP="007D4A0E">
      <w:pPr>
        <w:pStyle w:val="Ttulo2"/>
        <w:tabs>
          <w:tab w:val="left" w:pos="2010"/>
          <w:tab w:val="center" w:pos="4252"/>
        </w:tabs>
        <w:rPr>
          <w:lang w:val="es-ES_tradnl"/>
        </w:rPr>
      </w:pPr>
      <w:r>
        <w:t>EL TRIBUNAL ACUERDA</w:t>
      </w:r>
    </w:p>
    <w:p w:rsidR="00150E2D" w:rsidRPr="00150E2D" w:rsidRDefault="00150E2D" w:rsidP="007D4A0E">
      <w:pPr>
        <w:keepNext/>
        <w:spacing w:line="360" w:lineRule="auto"/>
        <w:ind w:left="284" w:hanging="284"/>
        <w:outlineLvl w:val="0"/>
        <w:rPr>
          <w:rFonts w:cs="Arial"/>
          <w:lang w:val="es-MX"/>
        </w:rPr>
      </w:pPr>
      <w:r w:rsidRPr="007D4A0E">
        <w:rPr>
          <w:rFonts w:cs="Arial"/>
          <w:b/>
          <w:bCs/>
          <w:lang w:val="es-MX"/>
        </w:rPr>
        <w:t>1)</w:t>
      </w:r>
      <w:r w:rsidRPr="00150E2D">
        <w:rPr>
          <w:rFonts w:cs="Arial"/>
          <w:bCs/>
          <w:lang w:val="es-MX"/>
        </w:rPr>
        <w:t xml:space="preserve"> </w:t>
      </w:r>
      <w:r w:rsidRPr="00150E2D">
        <w:rPr>
          <w:rFonts w:cs="Arial"/>
          <w:bCs/>
        </w:rPr>
        <w:t xml:space="preserve">Mantener la observación formulada en Sesión de fecha </w:t>
      </w:r>
      <w:r>
        <w:rPr>
          <w:rFonts w:cs="Arial"/>
          <w:bCs/>
        </w:rPr>
        <w:t>25</w:t>
      </w:r>
      <w:r w:rsidRPr="00150E2D">
        <w:rPr>
          <w:rFonts w:cs="Arial"/>
          <w:bCs/>
        </w:rPr>
        <w:t xml:space="preserve"> de </w:t>
      </w:r>
      <w:r>
        <w:rPr>
          <w:rFonts w:cs="Arial"/>
          <w:bCs/>
        </w:rPr>
        <w:t>octubre</w:t>
      </w:r>
      <w:r w:rsidRPr="00150E2D">
        <w:rPr>
          <w:rFonts w:cs="Arial"/>
          <w:bCs/>
        </w:rPr>
        <w:t xml:space="preserve"> de 2017; </w:t>
      </w:r>
    </w:p>
    <w:p w:rsidR="00150E2D" w:rsidRPr="00150E2D" w:rsidRDefault="00150E2D" w:rsidP="007D4A0E">
      <w:pPr>
        <w:spacing w:line="360" w:lineRule="auto"/>
        <w:ind w:left="284" w:hanging="284"/>
        <w:jc w:val="both"/>
        <w:rPr>
          <w:rFonts w:cs="Arial"/>
          <w:bCs/>
        </w:rPr>
      </w:pPr>
      <w:r w:rsidRPr="007D4A0E">
        <w:rPr>
          <w:rFonts w:cs="Arial"/>
          <w:b/>
          <w:bCs/>
        </w:rPr>
        <w:t>2)</w:t>
      </w:r>
      <w:r w:rsidRPr="00150E2D">
        <w:rPr>
          <w:rFonts w:cs="Arial"/>
          <w:bCs/>
        </w:rPr>
        <w:t xml:space="preserve"> Dar cuenta a la Asamblea General; </w:t>
      </w:r>
    </w:p>
    <w:p w:rsidR="00150E2D" w:rsidRPr="00150E2D" w:rsidRDefault="00150E2D" w:rsidP="007D4A0E">
      <w:pPr>
        <w:spacing w:line="360" w:lineRule="auto"/>
        <w:ind w:left="284" w:hanging="284"/>
        <w:jc w:val="both"/>
        <w:rPr>
          <w:rFonts w:cs="Arial"/>
          <w:bCs/>
        </w:rPr>
      </w:pPr>
      <w:r w:rsidRPr="007D4A0E">
        <w:rPr>
          <w:rFonts w:cs="Arial"/>
          <w:b/>
          <w:bCs/>
        </w:rPr>
        <w:t>3)</w:t>
      </w:r>
      <w:r w:rsidRPr="00150E2D">
        <w:rPr>
          <w:rFonts w:cs="Arial"/>
          <w:bCs/>
        </w:rPr>
        <w:t xml:space="preserve"> Comunicar al  Poder Ejecutivo y al Contador </w:t>
      </w:r>
      <w:r w:rsidR="0006186B">
        <w:rPr>
          <w:rFonts w:cs="Arial"/>
          <w:bCs/>
        </w:rPr>
        <w:t>Auditor</w:t>
      </w:r>
      <w:r w:rsidRPr="00150E2D">
        <w:rPr>
          <w:rFonts w:cs="Arial"/>
          <w:bCs/>
        </w:rPr>
        <w:t>;</w:t>
      </w:r>
    </w:p>
    <w:p w:rsidR="00A823C5" w:rsidRDefault="00150E2D" w:rsidP="007D4A0E">
      <w:pPr>
        <w:spacing w:line="360" w:lineRule="auto"/>
        <w:ind w:left="284" w:hanging="284"/>
        <w:jc w:val="both"/>
        <w:rPr>
          <w:rFonts w:cs="Arial"/>
          <w:bCs/>
        </w:rPr>
      </w:pPr>
      <w:r w:rsidRPr="007D4A0E">
        <w:rPr>
          <w:rFonts w:cs="Arial"/>
          <w:b/>
          <w:bCs/>
        </w:rPr>
        <w:t>4)</w:t>
      </w:r>
      <w:r w:rsidRPr="00150E2D">
        <w:rPr>
          <w:rFonts w:cs="Arial"/>
          <w:bCs/>
        </w:rPr>
        <w:t xml:space="preserve"> Devolver las actuaciones a</w:t>
      </w:r>
      <w:r w:rsidR="00A823C5">
        <w:rPr>
          <w:rFonts w:cs="Arial"/>
          <w:bCs/>
        </w:rPr>
        <w:t xml:space="preserve"> la </w:t>
      </w:r>
      <w:r w:rsidR="00F10CB9">
        <w:rPr>
          <w:rFonts w:cs="Arial"/>
          <w:bCs/>
        </w:rPr>
        <w:t>Presidencia de la República -</w:t>
      </w:r>
      <w:r w:rsidR="007D4A0E" w:rsidRPr="007D4A0E">
        <w:t xml:space="preserve"> </w:t>
      </w:r>
      <w:r w:rsidR="007D4A0E">
        <w:t>Unidad Reguladora de Servicios de Comunicación</w:t>
      </w:r>
      <w:r w:rsidR="007D4A0E">
        <w:rPr>
          <w:rFonts w:cs="Arial"/>
          <w:bCs/>
        </w:rPr>
        <w:t xml:space="preserve"> </w:t>
      </w:r>
      <w:proofErr w:type="gramStart"/>
      <w:r w:rsidR="00A823C5">
        <w:rPr>
          <w:rFonts w:cs="Arial"/>
          <w:bCs/>
        </w:rPr>
        <w:t>U.R.S.E.C.</w:t>
      </w:r>
      <w:r w:rsidR="007D4A0E">
        <w:rPr>
          <w:rFonts w:cs="Arial"/>
          <w:bCs/>
        </w:rPr>
        <w:t>.</w:t>
      </w:r>
      <w:proofErr w:type="gramEnd"/>
    </w:p>
    <w:p w:rsidR="00A823C5" w:rsidRPr="007D4A0E" w:rsidRDefault="007D4A0E" w:rsidP="007D4A0E">
      <w:pPr>
        <w:spacing w:line="360" w:lineRule="auto"/>
        <w:ind w:left="284" w:hanging="284"/>
        <w:jc w:val="both"/>
        <w:rPr>
          <w:rFonts w:cs="Arial"/>
          <w:bCs/>
          <w:sz w:val="20"/>
          <w:szCs w:val="20"/>
        </w:rPr>
      </w:pPr>
      <w:r w:rsidRPr="007D4A0E">
        <w:rPr>
          <w:rFonts w:cs="Arial"/>
          <w:bCs/>
          <w:sz w:val="20"/>
          <w:szCs w:val="20"/>
        </w:rPr>
        <w:t>CLC</w:t>
      </w:r>
    </w:p>
    <w:p w:rsidR="00150E2D" w:rsidRPr="00150E2D" w:rsidRDefault="00150E2D" w:rsidP="00150E2D">
      <w:pPr>
        <w:spacing w:line="360" w:lineRule="auto"/>
        <w:ind w:firstLine="708"/>
        <w:jc w:val="both"/>
        <w:rPr>
          <w:rFonts w:cs="Arial"/>
          <w:bCs/>
        </w:rPr>
      </w:pPr>
      <w:r w:rsidRPr="00150E2D">
        <w:rPr>
          <w:rFonts w:cs="Arial"/>
          <w:bCs/>
        </w:rPr>
        <w:t xml:space="preserve"> </w:t>
      </w:r>
    </w:p>
    <w:p w:rsidR="00150E2D" w:rsidRDefault="00150E2D" w:rsidP="00150E2D">
      <w:pPr>
        <w:rPr>
          <w:lang w:val="es-ES_tradnl"/>
        </w:rPr>
      </w:pPr>
    </w:p>
    <w:p w:rsidR="00020212" w:rsidRPr="00020212" w:rsidRDefault="00150E2D" w:rsidP="00150E2D">
      <w:pPr>
        <w:pStyle w:val="Ttulo2"/>
        <w:tabs>
          <w:tab w:val="left" w:pos="1650"/>
          <w:tab w:val="center" w:pos="4252"/>
        </w:tabs>
        <w:jc w:val="left"/>
        <w:rPr>
          <w:sz w:val="20"/>
        </w:rPr>
      </w:pPr>
      <w:r>
        <w:tab/>
      </w:r>
    </w:p>
    <w:p w:rsidR="00F10CB9" w:rsidRDefault="00F10CB9" w:rsidP="00F10CB9">
      <w:pPr>
        <w:tabs>
          <w:tab w:val="center" w:pos="4252"/>
          <w:tab w:val="right" w:pos="8504"/>
        </w:tabs>
        <w:spacing w:line="360" w:lineRule="auto"/>
        <w:jc w:val="both"/>
        <w:rPr>
          <w:i/>
          <w:iCs/>
        </w:rPr>
      </w:pPr>
    </w:p>
    <w:p w:rsidR="00B242F6" w:rsidRDefault="00A823C5" w:rsidP="00F10CB9">
      <w:pPr>
        <w:tabs>
          <w:tab w:val="center" w:pos="4252"/>
          <w:tab w:val="right" w:pos="8504"/>
        </w:tabs>
        <w:spacing w:line="360" w:lineRule="auto"/>
        <w:jc w:val="both"/>
        <w:rPr>
          <w:i/>
          <w:iCs/>
          <w:sz w:val="22"/>
          <w:szCs w:val="22"/>
        </w:rPr>
      </w:pPr>
      <w:r>
        <w:rPr>
          <w:i/>
          <w:iCs/>
        </w:rPr>
        <w:tab/>
      </w:r>
      <w:r w:rsidRPr="00A823C5">
        <w:rPr>
          <w:i/>
          <w:iCs/>
          <w:sz w:val="22"/>
          <w:szCs w:val="22"/>
        </w:rPr>
        <w:tab/>
      </w:r>
    </w:p>
    <w:p w:rsidR="00F10CB9" w:rsidRDefault="00F10CB9" w:rsidP="00F10CB9">
      <w:pPr>
        <w:tabs>
          <w:tab w:val="center" w:pos="4252"/>
          <w:tab w:val="right" w:pos="8504"/>
        </w:tabs>
        <w:spacing w:line="360" w:lineRule="auto"/>
        <w:jc w:val="both"/>
        <w:rPr>
          <w:i/>
          <w:iCs/>
          <w:sz w:val="22"/>
          <w:szCs w:val="22"/>
        </w:rPr>
      </w:pPr>
    </w:p>
    <w:sectPr w:rsidR="00F10CB9" w:rsidSect="007D4A0E">
      <w:footerReference w:type="even" r:id="rId9"/>
      <w:footerReference w:type="default" r:id="rId10"/>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12D" w:rsidRDefault="001D112D">
      <w:r>
        <w:separator/>
      </w:r>
    </w:p>
  </w:endnote>
  <w:endnote w:type="continuationSeparator" w:id="0">
    <w:p w:rsidR="001D112D" w:rsidRDefault="001D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2D" w:rsidRDefault="00150E2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50E2D" w:rsidRDefault="00150E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2D" w:rsidRDefault="00150E2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185C">
      <w:rPr>
        <w:rStyle w:val="Nmerodepgina"/>
        <w:noProof/>
      </w:rPr>
      <w:t>1</w:t>
    </w:r>
    <w:r>
      <w:rPr>
        <w:rStyle w:val="Nmerodepgina"/>
      </w:rPr>
      <w:fldChar w:fldCharType="end"/>
    </w:r>
  </w:p>
  <w:p w:rsidR="00150E2D" w:rsidRDefault="00150E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12D" w:rsidRDefault="001D112D">
      <w:r>
        <w:separator/>
      </w:r>
    </w:p>
  </w:footnote>
  <w:footnote w:type="continuationSeparator" w:id="0">
    <w:p w:rsidR="001D112D" w:rsidRDefault="001D1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E42"/>
    <w:multiLevelType w:val="multilevel"/>
    <w:tmpl w:val="641E6144"/>
    <w:lvl w:ilvl="0">
      <w:start w:val="1"/>
      <w:numFmt w:val="decimal"/>
      <w:lvlText w:val="%1."/>
      <w:lvlJc w:val="left"/>
      <w:pPr>
        <w:ind w:left="525" w:hanging="52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
    <w:nsid w:val="25B53FE8"/>
    <w:multiLevelType w:val="hybridMultilevel"/>
    <w:tmpl w:val="AAE6BA96"/>
    <w:lvl w:ilvl="0" w:tplc="FF04E15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38351396"/>
    <w:multiLevelType w:val="hybridMultilevel"/>
    <w:tmpl w:val="0C42ABE6"/>
    <w:lvl w:ilvl="0" w:tplc="C09CB06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37D6236"/>
    <w:multiLevelType w:val="hybridMultilevel"/>
    <w:tmpl w:val="18746258"/>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24"/>
    <w:rsid w:val="00017DD0"/>
    <w:rsid w:val="00020212"/>
    <w:rsid w:val="000202E6"/>
    <w:rsid w:val="00037180"/>
    <w:rsid w:val="00054260"/>
    <w:rsid w:val="0006186B"/>
    <w:rsid w:val="000B7C17"/>
    <w:rsid w:val="000C3C07"/>
    <w:rsid w:val="000D6ADE"/>
    <w:rsid w:val="00117934"/>
    <w:rsid w:val="001361A6"/>
    <w:rsid w:val="00142088"/>
    <w:rsid w:val="00150E2D"/>
    <w:rsid w:val="00164ECF"/>
    <w:rsid w:val="00184672"/>
    <w:rsid w:val="001A3674"/>
    <w:rsid w:val="001D112D"/>
    <w:rsid w:val="001F2B67"/>
    <w:rsid w:val="00294C41"/>
    <w:rsid w:val="002B01F3"/>
    <w:rsid w:val="002F2AC2"/>
    <w:rsid w:val="00324784"/>
    <w:rsid w:val="003372FB"/>
    <w:rsid w:val="003F1FB7"/>
    <w:rsid w:val="00406BFC"/>
    <w:rsid w:val="00443630"/>
    <w:rsid w:val="004501C5"/>
    <w:rsid w:val="00462478"/>
    <w:rsid w:val="00470884"/>
    <w:rsid w:val="004C4E22"/>
    <w:rsid w:val="004D01CD"/>
    <w:rsid w:val="00511300"/>
    <w:rsid w:val="00511DC9"/>
    <w:rsid w:val="00516224"/>
    <w:rsid w:val="0052566D"/>
    <w:rsid w:val="00542A28"/>
    <w:rsid w:val="00577656"/>
    <w:rsid w:val="005B5C7E"/>
    <w:rsid w:val="00622BC6"/>
    <w:rsid w:val="00624606"/>
    <w:rsid w:val="00696162"/>
    <w:rsid w:val="006A4D8B"/>
    <w:rsid w:val="006B67C8"/>
    <w:rsid w:val="0070351A"/>
    <w:rsid w:val="00704E80"/>
    <w:rsid w:val="00745442"/>
    <w:rsid w:val="00746DB2"/>
    <w:rsid w:val="00757AC1"/>
    <w:rsid w:val="007D4A0E"/>
    <w:rsid w:val="007D715D"/>
    <w:rsid w:val="00825F39"/>
    <w:rsid w:val="00841AD4"/>
    <w:rsid w:val="0089371C"/>
    <w:rsid w:val="008C7743"/>
    <w:rsid w:val="00917BC0"/>
    <w:rsid w:val="00930627"/>
    <w:rsid w:val="009744C7"/>
    <w:rsid w:val="009A3FD6"/>
    <w:rsid w:val="009E2584"/>
    <w:rsid w:val="009E2CD4"/>
    <w:rsid w:val="00A11035"/>
    <w:rsid w:val="00A3117B"/>
    <w:rsid w:val="00A46272"/>
    <w:rsid w:val="00A823C5"/>
    <w:rsid w:val="00AC10A1"/>
    <w:rsid w:val="00AC7ED4"/>
    <w:rsid w:val="00AE2C7C"/>
    <w:rsid w:val="00B012FB"/>
    <w:rsid w:val="00B03C78"/>
    <w:rsid w:val="00B0699D"/>
    <w:rsid w:val="00B242F6"/>
    <w:rsid w:val="00B9185C"/>
    <w:rsid w:val="00BB0A97"/>
    <w:rsid w:val="00C00789"/>
    <w:rsid w:val="00C52406"/>
    <w:rsid w:val="00C72122"/>
    <w:rsid w:val="00C9007C"/>
    <w:rsid w:val="00CD32EB"/>
    <w:rsid w:val="00D105E0"/>
    <w:rsid w:val="00D452B3"/>
    <w:rsid w:val="00D8060E"/>
    <w:rsid w:val="00D91532"/>
    <w:rsid w:val="00DC69BD"/>
    <w:rsid w:val="00DD7954"/>
    <w:rsid w:val="00DE6B2A"/>
    <w:rsid w:val="00E02061"/>
    <w:rsid w:val="00E62FDA"/>
    <w:rsid w:val="00E9267A"/>
    <w:rsid w:val="00EC6D2A"/>
    <w:rsid w:val="00F10CB9"/>
    <w:rsid w:val="00F15B5E"/>
    <w:rsid w:val="00F74BF9"/>
    <w:rsid w:val="00FB3615"/>
    <w:rsid w:val="00FC0F87"/>
    <w:rsid w:val="00FE4D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246">
      <w:bodyDiv w:val="1"/>
      <w:marLeft w:val="0"/>
      <w:marRight w:val="0"/>
      <w:marTop w:val="0"/>
      <w:marBottom w:val="0"/>
      <w:divBdr>
        <w:top w:val="none" w:sz="0" w:space="0" w:color="auto"/>
        <w:left w:val="none" w:sz="0" w:space="0" w:color="auto"/>
        <w:bottom w:val="none" w:sz="0" w:space="0" w:color="auto"/>
        <w:right w:val="none" w:sz="0" w:space="0" w:color="auto"/>
      </w:divBdr>
    </w:div>
    <w:div w:id="6893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D9142-6E35-4B03-ACBA-F00872E9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4</cp:revision>
  <dcterms:created xsi:type="dcterms:W3CDTF">2017-12-28T15:43:00Z</dcterms:created>
  <dcterms:modified xsi:type="dcterms:W3CDTF">2017-12-28T15:54:00Z</dcterms:modified>
</cp:coreProperties>
</file>