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2F" w:rsidRPr="00786EEB" w:rsidRDefault="00F35A2F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</w:t>
      </w:r>
      <w:r w:rsidR="007376ED">
        <w:rPr>
          <w:rFonts w:cs="Arial"/>
          <w:b/>
          <w:sz w:val="28"/>
          <w:szCs w:val="28"/>
          <w:lang w:val="es-ES_tradnl"/>
        </w:rPr>
        <w:t>189</w:t>
      </w:r>
      <w:r>
        <w:rPr>
          <w:rFonts w:cs="Arial"/>
          <w:b/>
          <w:sz w:val="28"/>
          <w:szCs w:val="28"/>
          <w:lang w:val="es-ES_tradnl"/>
        </w:rPr>
        <w:t xml:space="preserve"> /18</w:t>
      </w:r>
    </w:p>
    <w:p w:rsidR="00F35A2F" w:rsidRDefault="00F35A2F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F35A2F" w:rsidRPr="00762B34" w:rsidRDefault="00F35A2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F35A2F" w:rsidRPr="00762B34" w:rsidRDefault="00F35A2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35A2F" w:rsidRPr="00762B34" w:rsidRDefault="00F35A2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F35A2F" w:rsidRPr="00762B34" w:rsidRDefault="00F35A2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35A2F" w:rsidRPr="00762B34" w:rsidRDefault="00F35A2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17 DE ENERO </w:t>
      </w:r>
      <w:r>
        <w:rPr>
          <w:rFonts w:ascii="Helvetica" w:hAnsi="Helvetica"/>
          <w:b/>
          <w:lang w:val="es-ES_tradnl"/>
        </w:rPr>
        <w:t>DE 2018</w:t>
      </w:r>
    </w:p>
    <w:p w:rsidR="00F35A2F" w:rsidRPr="00762B34" w:rsidRDefault="00F35A2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F35A2F" w:rsidRPr="00BE20E0" w:rsidRDefault="00F35A2F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BE20E0">
        <w:rPr>
          <w:rFonts w:cs="Arial"/>
          <w:b/>
          <w:lang w:val="es-UY"/>
        </w:rPr>
        <w:t>(E. E. Nº</w:t>
      </w:r>
      <w:r w:rsidRPr="00F35A2F">
        <w:rPr>
          <w:rFonts w:cs="Arial"/>
          <w:b/>
        </w:rPr>
        <w:t>2017-17-1-0007244</w:t>
      </w:r>
      <w:r w:rsidRPr="00BE20E0">
        <w:rPr>
          <w:rFonts w:cs="Arial"/>
          <w:b/>
          <w:lang w:val="es-UY"/>
        </w:rPr>
        <w:t xml:space="preserve">, </w:t>
      </w:r>
      <w:r w:rsidR="007376ED" w:rsidRPr="00BE20E0">
        <w:rPr>
          <w:rFonts w:cs="Arial"/>
          <w:b/>
          <w:lang w:val="es-UY"/>
        </w:rPr>
        <w:t xml:space="preserve"> </w:t>
      </w:r>
      <w:proofErr w:type="spellStart"/>
      <w:r w:rsidRPr="00BE20E0">
        <w:rPr>
          <w:rFonts w:cs="Arial"/>
          <w:b/>
          <w:lang w:val="es-UY"/>
        </w:rPr>
        <w:t>Ent</w:t>
      </w:r>
      <w:r w:rsidR="007376ED" w:rsidRPr="00BE20E0">
        <w:rPr>
          <w:rFonts w:cs="Arial"/>
          <w:b/>
          <w:lang w:val="es-UY"/>
        </w:rPr>
        <w:t>s</w:t>
      </w:r>
      <w:proofErr w:type="spellEnd"/>
      <w:r w:rsidR="00BE20E0" w:rsidRPr="00BE20E0">
        <w:rPr>
          <w:rFonts w:cs="Arial"/>
          <w:b/>
          <w:lang w:val="es-UY"/>
        </w:rPr>
        <w:t>.</w:t>
      </w:r>
      <w:r w:rsidR="00BE20E0">
        <w:rPr>
          <w:rFonts w:cs="Arial"/>
          <w:b/>
        </w:rPr>
        <w:t xml:space="preserve"> N°5756/17</w:t>
      </w:r>
      <w:r w:rsidR="00BE20E0">
        <w:rPr>
          <w:rFonts w:cs="Arial"/>
          <w:b/>
        </w:rPr>
        <w:t xml:space="preserve"> y </w:t>
      </w:r>
      <w:r w:rsidRPr="00BE20E0">
        <w:rPr>
          <w:rFonts w:cs="Arial"/>
          <w:b/>
          <w:lang w:val="es-UY"/>
        </w:rPr>
        <w:t xml:space="preserve">N° </w:t>
      </w:r>
      <w:r w:rsidRPr="00F35A2F">
        <w:rPr>
          <w:rFonts w:cs="Arial"/>
          <w:b/>
          <w:bCs/>
        </w:rPr>
        <w:t>6433</w:t>
      </w:r>
      <w:r w:rsidRPr="00F35A2F">
        <w:rPr>
          <w:rFonts w:cs="Arial"/>
          <w:b/>
        </w:rPr>
        <w:t>/17</w:t>
      </w:r>
      <w:r w:rsidRPr="00BE20E0">
        <w:rPr>
          <w:rFonts w:cs="Arial"/>
          <w:b/>
          <w:lang w:val="es-UY"/>
        </w:rPr>
        <w:t>)</w:t>
      </w:r>
    </w:p>
    <w:p w:rsidR="00F35A2F" w:rsidRPr="00BE20E0" w:rsidRDefault="00F35A2F">
      <w:pPr>
        <w:tabs>
          <w:tab w:val="center" w:pos="4253"/>
        </w:tabs>
        <w:suppressAutoHyphens/>
        <w:rPr>
          <w:spacing w:val="-3"/>
          <w:lang w:val="es-UY"/>
        </w:rPr>
      </w:pPr>
    </w:p>
    <w:p w:rsidR="00F35A2F" w:rsidRPr="00BE20E0" w:rsidRDefault="00F35A2F">
      <w:pPr>
        <w:rPr>
          <w:lang w:val="es-UY"/>
        </w:rPr>
      </w:pPr>
    </w:p>
    <w:p w:rsidR="004D3C9B" w:rsidRDefault="004D3C9B" w:rsidP="00F35A2F">
      <w:pPr>
        <w:tabs>
          <w:tab w:val="left" w:pos="0"/>
        </w:tabs>
        <w:suppressAutoHyphens/>
        <w:spacing w:line="360" w:lineRule="auto"/>
        <w:ind w:firstLine="851"/>
        <w:jc w:val="both"/>
        <w:rPr>
          <w:rFonts w:cs="Arial"/>
        </w:rPr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 w:rsidRPr="00F41302">
        <w:t>Administración Nacional de Combustibles</w:t>
      </w:r>
      <w:r w:rsidR="00BE20E0">
        <w:t>,</w:t>
      </w:r>
      <w:r w:rsidRPr="00F41302">
        <w:t xml:space="preserve"> Alcohol y Portland</w:t>
      </w:r>
      <w:r>
        <w:t xml:space="preserve"> (ANCAP)</w:t>
      </w:r>
      <w:r w:rsidRPr="00F41302">
        <w:t xml:space="preserve">, </w:t>
      </w:r>
      <w:r w:rsidRPr="004B5759">
        <w:rPr>
          <w:rFonts w:cs="Arial"/>
        </w:rPr>
        <w:t xml:space="preserve">relacionados con el </w:t>
      </w:r>
      <w:r>
        <w:rPr>
          <w:rFonts w:cs="Arial"/>
        </w:rPr>
        <w:t xml:space="preserve">pago </w:t>
      </w:r>
      <w:r w:rsidR="00E507AD">
        <w:rPr>
          <w:rFonts w:cs="Arial"/>
        </w:rPr>
        <w:t xml:space="preserve">de  </w:t>
      </w:r>
      <w:r w:rsidR="00F35A2F">
        <w:rPr>
          <w:rFonts w:cs="Arial"/>
        </w:rPr>
        <w:t xml:space="preserve">          </w:t>
      </w:r>
      <w:r w:rsidR="00E507AD">
        <w:rPr>
          <w:rFonts w:cs="Arial"/>
        </w:rPr>
        <w:t xml:space="preserve">$ 9.365 </w:t>
      </w:r>
      <w:r>
        <w:rPr>
          <w:rFonts w:cs="Arial"/>
        </w:rPr>
        <w:t xml:space="preserve">  en cumplimiento de un acuerdo realizado con la </w:t>
      </w:r>
      <w:r w:rsidR="00BE20E0">
        <w:rPr>
          <w:rFonts w:cs="Arial"/>
        </w:rPr>
        <w:t>F</w:t>
      </w:r>
      <w:r>
        <w:rPr>
          <w:rFonts w:cs="Arial"/>
        </w:rPr>
        <w:t>irma DESA Ltda</w:t>
      </w:r>
      <w:r w:rsidR="00BE20E0">
        <w:rPr>
          <w:rFonts w:cs="Arial"/>
        </w:rPr>
        <w:t>.</w:t>
      </w:r>
      <w:r>
        <w:rPr>
          <w:rFonts w:cs="Arial"/>
        </w:rPr>
        <w:t>;</w:t>
      </w:r>
    </w:p>
    <w:p w:rsidR="004D3C9B" w:rsidRDefault="004D3C9B" w:rsidP="00F35A2F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</w:rPr>
      </w:pPr>
      <w:r>
        <w:rPr>
          <w:b/>
        </w:rPr>
        <w:t>RESULTANDO: 1</w:t>
      </w:r>
      <w:r>
        <w:rPr>
          <w:b/>
          <w:bCs/>
        </w:rPr>
        <w:t xml:space="preserve">) </w:t>
      </w:r>
      <w:r w:rsidR="00BE20E0">
        <w:t xml:space="preserve">según se expresó, </w:t>
      </w:r>
      <w:r w:rsidR="00E73163" w:rsidRPr="002B513B">
        <w:t>el acuerdo mencionado establece que ANCAP “</w:t>
      </w:r>
      <w:r w:rsidRPr="00A25CA6">
        <w:rPr>
          <w:rFonts w:cs="Arial"/>
          <w:i/>
        </w:rPr>
        <w:t>debe abonar los jornales no trabajados, en el servicio mensual de limpieza de trituradoras (pedido de compras 45</w:t>
      </w:r>
      <w:r w:rsidR="00BE20E0">
        <w:rPr>
          <w:rFonts w:cs="Arial"/>
          <w:i/>
        </w:rPr>
        <w:t xml:space="preserve">00136589) cuando el trabajador </w:t>
      </w:r>
      <w:r w:rsidRPr="00A25CA6">
        <w:rPr>
          <w:rFonts w:cs="Arial"/>
          <w:i/>
        </w:rPr>
        <w:t>y el delegado de la empresa concurría a las reuniones de negociación de ANCAP con el SUNCA</w:t>
      </w:r>
      <w:r>
        <w:rPr>
          <w:rFonts w:cs="Arial"/>
        </w:rPr>
        <w:t>.”</w:t>
      </w:r>
      <w:r w:rsidR="00E73163">
        <w:rPr>
          <w:rFonts w:cs="Arial"/>
        </w:rPr>
        <w:t>;</w:t>
      </w:r>
    </w:p>
    <w:p w:rsidR="00E73163" w:rsidRDefault="00E507AD" w:rsidP="007376ED">
      <w:pPr>
        <w:tabs>
          <w:tab w:val="left" w:pos="-720"/>
        </w:tabs>
        <w:suppressAutoHyphens/>
        <w:spacing w:line="360" w:lineRule="auto"/>
        <w:ind w:firstLine="2835"/>
        <w:jc w:val="both"/>
        <w:rPr>
          <w:rFonts w:cs="Arial"/>
        </w:rPr>
      </w:pPr>
      <w:r>
        <w:rPr>
          <w:b/>
        </w:rPr>
        <w:t>2</w:t>
      </w:r>
      <w:r w:rsidR="00E73163">
        <w:rPr>
          <w:b/>
        </w:rPr>
        <w:t xml:space="preserve">) </w:t>
      </w:r>
      <w:r w:rsidR="009B03DE">
        <w:t>que</w:t>
      </w:r>
      <w:r w:rsidR="007376ED">
        <w:t xml:space="preserve"> se adjuntaron</w:t>
      </w:r>
      <w:r w:rsidR="00E73163" w:rsidRPr="002B513B">
        <w:rPr>
          <w:rFonts w:cs="Arial"/>
        </w:rPr>
        <w:t>:</w:t>
      </w:r>
      <w:r w:rsidR="00E73163">
        <w:rPr>
          <w:rFonts w:cs="Arial"/>
        </w:rPr>
        <w:t xml:space="preserve"> </w:t>
      </w:r>
      <w:r w:rsidR="00E73163" w:rsidRPr="002B513B">
        <w:rPr>
          <w:rFonts w:cs="Arial"/>
          <w:b/>
        </w:rPr>
        <w:t>a)</w:t>
      </w:r>
      <w:r w:rsidR="009B03DE">
        <w:rPr>
          <w:rFonts w:cs="Arial"/>
        </w:rPr>
        <w:t xml:space="preserve"> la factura N</w:t>
      </w:r>
      <w:r w:rsidR="00E73163">
        <w:rPr>
          <w:rFonts w:cs="Arial"/>
        </w:rPr>
        <w:t>º A 1590  emitida por DESA Ltda</w:t>
      </w:r>
      <w:r w:rsidR="00BE20E0">
        <w:rPr>
          <w:rFonts w:cs="Arial"/>
        </w:rPr>
        <w:t>.</w:t>
      </w:r>
      <w:r w:rsidR="00E73163">
        <w:rPr>
          <w:rFonts w:cs="Arial"/>
        </w:rPr>
        <w:t xml:space="preserve">, </w:t>
      </w:r>
      <w:r w:rsidR="00E73163" w:rsidRPr="002B513B">
        <w:rPr>
          <w:rFonts w:cs="Arial"/>
          <w:b/>
        </w:rPr>
        <w:t>b)</w:t>
      </w:r>
      <w:r w:rsidR="00E73163">
        <w:rPr>
          <w:rFonts w:cs="Arial"/>
        </w:rPr>
        <w:t xml:space="preserve"> </w:t>
      </w:r>
      <w:r w:rsidR="00BE20E0">
        <w:rPr>
          <w:rFonts w:cs="Arial"/>
        </w:rPr>
        <w:t>O</w:t>
      </w:r>
      <w:r w:rsidR="00E73163">
        <w:rPr>
          <w:rFonts w:cs="Arial"/>
        </w:rPr>
        <w:t xml:space="preserve">rden de </w:t>
      </w:r>
      <w:r w:rsidR="00BE20E0">
        <w:rPr>
          <w:rFonts w:cs="Arial"/>
        </w:rPr>
        <w:t>P</w:t>
      </w:r>
      <w:r w:rsidR="00E73163">
        <w:rPr>
          <w:rFonts w:cs="Arial"/>
        </w:rPr>
        <w:t xml:space="preserve">ago Nº 1002265489, </w:t>
      </w:r>
      <w:r w:rsidR="00E73163" w:rsidRPr="002B513B">
        <w:rPr>
          <w:rFonts w:cs="Arial"/>
          <w:b/>
        </w:rPr>
        <w:t>c)</w:t>
      </w:r>
      <w:r w:rsidR="00E73163">
        <w:rPr>
          <w:rFonts w:cs="Arial"/>
        </w:rPr>
        <w:t xml:space="preserve"> pedido de compras, </w:t>
      </w:r>
      <w:r w:rsidR="007376ED">
        <w:rPr>
          <w:rFonts w:cs="Arial"/>
        </w:rPr>
        <w:t xml:space="preserve">       </w:t>
      </w:r>
      <w:r w:rsidR="002B513B" w:rsidRPr="002B513B">
        <w:rPr>
          <w:rFonts w:cs="Arial"/>
          <w:b/>
        </w:rPr>
        <w:t>d</w:t>
      </w:r>
      <w:r w:rsidR="00E73163" w:rsidRPr="002B513B">
        <w:rPr>
          <w:rFonts w:cs="Arial"/>
          <w:b/>
        </w:rPr>
        <w:t>)</w:t>
      </w:r>
      <w:r w:rsidR="00E73163">
        <w:rPr>
          <w:rFonts w:cs="Arial"/>
        </w:rPr>
        <w:t xml:space="preserve"> oferta de la empresa</w:t>
      </w:r>
      <w:r w:rsidR="00BE20E0">
        <w:rPr>
          <w:rFonts w:cs="Arial"/>
        </w:rPr>
        <w:t>,</w:t>
      </w:r>
      <w:r w:rsidR="00E73163">
        <w:rPr>
          <w:rFonts w:cs="Arial"/>
        </w:rPr>
        <w:t xml:space="preserve"> y </w:t>
      </w:r>
      <w:r w:rsidR="00E73163" w:rsidRPr="002B513B">
        <w:rPr>
          <w:rFonts w:cs="Arial"/>
          <w:b/>
        </w:rPr>
        <w:t>e)</w:t>
      </w:r>
      <w:r w:rsidR="00E73163">
        <w:rPr>
          <w:rFonts w:cs="Arial"/>
        </w:rPr>
        <w:t xml:space="preserve"> copia de mail explicativo de la situación;</w:t>
      </w:r>
    </w:p>
    <w:p w:rsidR="007376ED" w:rsidRDefault="00E507AD" w:rsidP="007376ED">
      <w:pPr>
        <w:tabs>
          <w:tab w:val="left" w:pos="-720"/>
        </w:tabs>
        <w:suppressAutoHyphens/>
        <w:spacing w:line="360" w:lineRule="auto"/>
        <w:ind w:firstLine="2835"/>
        <w:jc w:val="both"/>
        <w:rPr>
          <w:b/>
        </w:rPr>
      </w:pPr>
      <w:r>
        <w:rPr>
          <w:b/>
        </w:rPr>
        <w:t>3</w:t>
      </w:r>
      <w:r w:rsidR="006E7CEA">
        <w:rPr>
          <w:b/>
        </w:rPr>
        <w:t xml:space="preserve">) </w:t>
      </w:r>
      <w:r w:rsidR="006E7CEA" w:rsidRPr="00BD6592">
        <w:t>que</w:t>
      </w:r>
      <w:r w:rsidR="00990F54">
        <w:t>,</w:t>
      </w:r>
      <w:r w:rsidR="006E7CEA" w:rsidRPr="00BD6592">
        <w:t xml:space="preserve"> </w:t>
      </w:r>
      <w:r w:rsidR="00990F54">
        <w:t xml:space="preserve">de </w:t>
      </w:r>
      <w:r w:rsidR="006E7CEA" w:rsidRPr="00BD6592">
        <w:t xml:space="preserve">la copia de </w:t>
      </w:r>
      <w:r w:rsidR="00990F54">
        <w:t xml:space="preserve"> los </w:t>
      </w:r>
      <w:r w:rsidR="00BD6592" w:rsidRPr="00BD6592">
        <w:t xml:space="preserve">correos electrónicos </w:t>
      </w:r>
      <w:r w:rsidR="009B03DE">
        <w:t>enviados surge</w:t>
      </w:r>
      <w:r w:rsidR="00990F54">
        <w:t xml:space="preserve"> </w:t>
      </w:r>
      <w:r w:rsidR="00BD6592" w:rsidRPr="00BD6592">
        <w:t>que</w:t>
      </w:r>
      <w:r w:rsidR="000471D6" w:rsidRPr="00BD6592">
        <w:t xml:space="preserve">, tras la consulta </w:t>
      </w:r>
      <w:r w:rsidR="00BD6592" w:rsidRPr="00BD6592">
        <w:t>efectuada</w:t>
      </w:r>
      <w:r w:rsidR="000471D6" w:rsidRPr="00BD6592">
        <w:t xml:space="preserve"> por la </w:t>
      </w:r>
      <w:r w:rsidR="00BD6592" w:rsidRPr="00BD6592">
        <w:t>Contadora</w:t>
      </w:r>
      <w:r w:rsidR="000471D6" w:rsidRPr="00BD6592">
        <w:t xml:space="preserve"> </w:t>
      </w:r>
      <w:r w:rsidR="00BD6592" w:rsidRPr="00BD6592">
        <w:t>D</w:t>
      </w:r>
      <w:r w:rsidR="000471D6" w:rsidRPr="00BD6592">
        <w:t>elegad</w:t>
      </w:r>
      <w:r w:rsidR="00BD6592" w:rsidRPr="00BD6592">
        <w:t>a</w:t>
      </w:r>
      <w:r w:rsidR="00990F54">
        <w:t xml:space="preserve"> </w:t>
      </w:r>
      <w:r w:rsidR="00BD6592" w:rsidRPr="00BD6592">
        <w:t xml:space="preserve">respecto </w:t>
      </w:r>
      <w:r w:rsidR="00990F54">
        <w:t>a la</w:t>
      </w:r>
      <w:r w:rsidR="00BD6592" w:rsidRPr="00BD6592">
        <w:t xml:space="preserve">  existencia de cuál e</w:t>
      </w:r>
      <w:r w:rsidR="00990F54">
        <w:t>ra</w:t>
      </w:r>
      <w:r w:rsidR="00BD6592" w:rsidRPr="00BD6592">
        <w:t xml:space="preserve"> la norma o convenio </w:t>
      </w:r>
      <w:r w:rsidR="006E7CEA" w:rsidRPr="00BD6592">
        <w:t xml:space="preserve"> </w:t>
      </w:r>
      <w:r w:rsidR="00BD6592" w:rsidRPr="00BD6592">
        <w:t>en que se funda</w:t>
      </w:r>
      <w:r w:rsidR="00990F54">
        <w:t>ba</w:t>
      </w:r>
      <w:r w:rsidR="00BD6592" w:rsidRPr="00BD6592">
        <w:t xml:space="preserve"> el pago en cuestión</w:t>
      </w:r>
      <w:r w:rsidR="00990F54">
        <w:t xml:space="preserve">, </w:t>
      </w:r>
      <w:r w:rsidR="00BD6592" w:rsidRPr="00BD6592">
        <w:t>el G</w:t>
      </w:r>
      <w:r w:rsidR="006E7CEA" w:rsidRPr="00BD6592">
        <w:t>er</w:t>
      </w:r>
      <w:r w:rsidR="00BD6592" w:rsidRPr="00BD6592">
        <w:t>e</w:t>
      </w:r>
      <w:r w:rsidR="00BE20E0">
        <w:t xml:space="preserve">nte Operaciones Portland </w:t>
      </w:r>
      <w:r w:rsidR="00BD2D19">
        <w:t>señala</w:t>
      </w:r>
      <w:r w:rsidR="00990F54">
        <w:t xml:space="preserve"> que</w:t>
      </w:r>
      <w:r w:rsidR="00BE20E0">
        <w:t>:</w:t>
      </w:r>
      <w:r w:rsidR="00990F54">
        <w:t xml:space="preserve"> </w:t>
      </w:r>
      <w:r w:rsidR="006E7CEA" w:rsidRPr="00BD6592">
        <w:t>“</w:t>
      </w:r>
      <w:r w:rsidR="00BD2D19">
        <w:rPr>
          <w:i/>
        </w:rPr>
        <w:t>c</w:t>
      </w:r>
      <w:r w:rsidR="006E7CEA" w:rsidRPr="00BD6592">
        <w:rPr>
          <w:i/>
        </w:rPr>
        <w:t>omo consecuencia de las negociaciones mant</w:t>
      </w:r>
      <w:r w:rsidR="00BD6592" w:rsidRPr="00BD6592">
        <w:rPr>
          <w:i/>
        </w:rPr>
        <w:t>e</w:t>
      </w:r>
      <w:r w:rsidR="006E7CEA" w:rsidRPr="00BD6592">
        <w:rPr>
          <w:i/>
        </w:rPr>
        <w:t>nidas con</w:t>
      </w:r>
      <w:r w:rsidR="00BD2D19">
        <w:rPr>
          <w:i/>
        </w:rPr>
        <w:t xml:space="preserve"> el</w:t>
      </w:r>
      <w:r w:rsidR="006E7CEA" w:rsidRPr="00BD6592">
        <w:rPr>
          <w:i/>
        </w:rPr>
        <w:t xml:space="preserve"> Sunca, en el marco de la reducción de personal contrat</w:t>
      </w:r>
      <w:r w:rsidR="00BD6592" w:rsidRPr="00BD6592">
        <w:rPr>
          <w:i/>
        </w:rPr>
        <w:t>a</w:t>
      </w:r>
      <w:r w:rsidR="006E7CEA" w:rsidRPr="00BD6592">
        <w:rPr>
          <w:i/>
        </w:rPr>
        <w:t>do, ANCAP sol</w:t>
      </w:r>
      <w:r w:rsidR="00BD6592" w:rsidRPr="00BD6592">
        <w:rPr>
          <w:i/>
        </w:rPr>
        <w:t>i</w:t>
      </w:r>
      <w:r w:rsidR="006E7CEA" w:rsidRPr="00BD6592">
        <w:rPr>
          <w:i/>
        </w:rPr>
        <w:t>citó que mant</w:t>
      </w:r>
      <w:r w:rsidR="00BD6592" w:rsidRPr="00BD6592">
        <w:rPr>
          <w:i/>
        </w:rPr>
        <w:t>u</w:t>
      </w:r>
      <w:r w:rsidR="006E7CEA" w:rsidRPr="00BD6592">
        <w:rPr>
          <w:i/>
        </w:rPr>
        <w:t>vieran los mismos delegados en reuniones, a los efectos de mant</w:t>
      </w:r>
      <w:r w:rsidR="00BD2D19">
        <w:rPr>
          <w:i/>
        </w:rPr>
        <w:t>ener la continuidad. A esos efectos</w:t>
      </w:r>
      <w:r w:rsidR="006E7CEA" w:rsidRPr="00BD6592">
        <w:rPr>
          <w:i/>
        </w:rPr>
        <w:t xml:space="preserve"> el acuerdo fue, en el caso del delega</w:t>
      </w:r>
      <w:r w:rsidR="00990F54">
        <w:rPr>
          <w:i/>
        </w:rPr>
        <w:t>d</w:t>
      </w:r>
      <w:r w:rsidR="006E7CEA" w:rsidRPr="00BD6592">
        <w:rPr>
          <w:i/>
        </w:rPr>
        <w:t xml:space="preserve">o de Planta Minas, que ANCAP se haría cargo de los jornales no trabajados en dicho pedido de compra, dado que las instancias de negociación se dieron todas </w:t>
      </w:r>
      <w:r w:rsidR="000471D6" w:rsidRPr="00BD6592">
        <w:rPr>
          <w:i/>
        </w:rPr>
        <w:t>en Montevideo</w:t>
      </w:r>
      <w:r w:rsidR="00BD6592" w:rsidRPr="00BD6592">
        <w:t>”</w:t>
      </w:r>
      <w:r w:rsidR="000471D6">
        <w:rPr>
          <w:b/>
        </w:rPr>
        <w:t>;</w:t>
      </w:r>
    </w:p>
    <w:p w:rsidR="007376ED" w:rsidRDefault="00E507AD" w:rsidP="007376ED">
      <w:pPr>
        <w:tabs>
          <w:tab w:val="left" w:pos="-720"/>
        </w:tabs>
        <w:suppressAutoHyphens/>
        <w:spacing w:line="360" w:lineRule="auto"/>
        <w:ind w:firstLine="2835"/>
        <w:jc w:val="both"/>
      </w:pPr>
      <w:r w:rsidRPr="007376ED">
        <w:rPr>
          <w:rFonts w:cs="Arial"/>
          <w:b/>
        </w:rPr>
        <w:lastRenderedPageBreak/>
        <w:t>4</w:t>
      </w:r>
      <w:r w:rsidR="00E73163" w:rsidRPr="007376ED">
        <w:rPr>
          <w:rFonts w:cs="Arial"/>
          <w:b/>
        </w:rPr>
        <w:t>)</w:t>
      </w:r>
      <w:r w:rsidR="00E73163">
        <w:rPr>
          <w:rFonts w:cs="Arial"/>
        </w:rPr>
        <w:t xml:space="preserve"> que al</w:t>
      </w:r>
      <w:r w:rsidR="00E73163">
        <w:t xml:space="preserve"> respecto, este Tribunal con fecha 23 de noviembre de 2017  acordó, para mejor proveer, devolver las actuaciones a los efectos de que se agreg</w:t>
      </w:r>
      <w:r>
        <w:t>ara</w:t>
      </w:r>
      <w:r w:rsidR="00E73163">
        <w:t xml:space="preserve"> copia del acuerdo transaccional  al que se hac</w:t>
      </w:r>
      <w:r w:rsidR="00990F54">
        <w:t>ía</w:t>
      </w:r>
      <w:r w:rsidR="00E73163">
        <w:t xml:space="preserve"> referencia -del cual derivaría el</w:t>
      </w:r>
      <w:r w:rsidR="00990F54">
        <w:t xml:space="preserve"> pago remitido</w:t>
      </w:r>
      <w:r w:rsidR="00E73163">
        <w:t>- así como la constancia d</w:t>
      </w:r>
      <w:r w:rsidR="007376ED">
        <w:t>e su remisión  a este Tribunal;</w:t>
      </w:r>
    </w:p>
    <w:p w:rsidR="002B513B" w:rsidRPr="007376ED" w:rsidRDefault="00E507AD" w:rsidP="007376ED">
      <w:pPr>
        <w:tabs>
          <w:tab w:val="left" w:pos="-720"/>
        </w:tabs>
        <w:suppressAutoHyphens/>
        <w:spacing w:line="360" w:lineRule="auto"/>
        <w:ind w:firstLine="2835"/>
        <w:jc w:val="both"/>
        <w:rPr>
          <w:rFonts w:cs="Arial"/>
        </w:rPr>
      </w:pPr>
      <w:r w:rsidRPr="007376ED">
        <w:rPr>
          <w:b/>
        </w:rPr>
        <w:t>5</w:t>
      </w:r>
      <w:r w:rsidR="00E73163" w:rsidRPr="007376ED">
        <w:rPr>
          <w:b/>
        </w:rPr>
        <w:t>)</w:t>
      </w:r>
      <w:r w:rsidR="00BD2D19">
        <w:t xml:space="preserve"> que en esta instancia, en respuesta</w:t>
      </w:r>
      <w:r w:rsidR="00E73163">
        <w:t xml:space="preserve"> a lo solicitado por este Tribunal, se remiten nuevamente las actuaciones, </w:t>
      </w:r>
      <w:r w:rsidR="00BD2D19">
        <w:t>en las que se informa</w:t>
      </w:r>
      <w:r w:rsidR="006F37E2">
        <w:t xml:space="preserve"> que: </w:t>
      </w:r>
      <w:r w:rsidR="006F37E2" w:rsidRPr="002B513B">
        <w:rPr>
          <w:b/>
        </w:rPr>
        <w:t>a)</w:t>
      </w:r>
      <w:r w:rsidR="006F37E2">
        <w:t xml:space="preserve"> el acuerdo para el pago de la factura Nº 1590 de DESA L</w:t>
      </w:r>
      <w:r w:rsidR="003B76C0">
        <w:t>tda</w:t>
      </w:r>
      <w:r w:rsidR="001E4A38">
        <w:t>.</w:t>
      </w:r>
      <w:r w:rsidR="006F37E2">
        <w:t xml:space="preserve"> </w:t>
      </w:r>
      <w:proofErr w:type="gramStart"/>
      <w:r w:rsidR="006F37E2">
        <w:t>fue</w:t>
      </w:r>
      <w:proofErr w:type="gramEnd"/>
      <w:r w:rsidR="006F37E2">
        <w:t xml:space="preserve"> verbal y no quedó establecido en el acuerdo transaccional que fue remitido oportunamente a este Tribunal</w:t>
      </w:r>
      <w:r w:rsidR="003B76C0">
        <w:t>,</w:t>
      </w:r>
      <w:r w:rsidR="006F37E2">
        <w:t xml:space="preserve"> y que </w:t>
      </w:r>
      <w:r w:rsidR="006F37E2" w:rsidRPr="002B513B">
        <w:rPr>
          <w:b/>
        </w:rPr>
        <w:t>b)</w:t>
      </w:r>
      <w:r w:rsidR="006F37E2">
        <w:t xml:space="preserve"> sin perjuicio de lo anterior</w:t>
      </w:r>
      <w:r w:rsidR="002B513B">
        <w:t xml:space="preserve">, se remite copia correspondiente al acuerdo con la </w:t>
      </w:r>
      <w:r w:rsidR="003B76C0">
        <w:t xml:space="preserve">Firma DESA </w:t>
      </w:r>
      <w:r w:rsidR="001E4A38">
        <w:t>L</w:t>
      </w:r>
      <w:r w:rsidR="003B76C0">
        <w:t>tda</w:t>
      </w:r>
      <w:r w:rsidR="002B513B">
        <w:t>., enviado en su momento a este Tribunal</w:t>
      </w:r>
      <w:r w:rsidR="00F46FB7">
        <w:t xml:space="preserve"> (Expediente Nº 2017-17-1-0005972, Entrada </w:t>
      </w:r>
      <w:r w:rsidR="003B76C0">
        <w:t xml:space="preserve">           </w:t>
      </w:r>
      <w:r w:rsidR="00F46FB7">
        <w:t>Nº 4758/17)</w:t>
      </w:r>
      <w:r w:rsidR="002B513B">
        <w:t>;</w:t>
      </w:r>
    </w:p>
    <w:p w:rsidR="001E4A38" w:rsidRDefault="004D3C9B" w:rsidP="007376ED">
      <w:pPr>
        <w:spacing w:line="360" w:lineRule="auto"/>
        <w:ind w:firstLine="851"/>
        <w:jc w:val="both"/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>ONSIDERANDO: 1)</w:t>
      </w:r>
      <w:r>
        <w:rPr>
          <w:bCs/>
          <w:spacing w:val="-3"/>
          <w:lang w:val="es-ES_tradnl"/>
        </w:rPr>
        <w:t xml:space="preserve"> que por </w:t>
      </w:r>
      <w:r w:rsidR="0032790F">
        <w:rPr>
          <w:bCs/>
          <w:spacing w:val="-3"/>
          <w:lang w:val="es-ES_tradnl"/>
        </w:rPr>
        <w:t>R</w:t>
      </w:r>
      <w:r>
        <w:rPr>
          <w:bCs/>
          <w:spacing w:val="-3"/>
          <w:lang w:val="es-ES_tradnl"/>
        </w:rPr>
        <w:t>esolución,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 de junio de 2008</w:t>
      </w:r>
      <w:r w:rsidR="00E507AD">
        <w:rPr>
          <w:bCs/>
          <w:spacing w:val="-3"/>
          <w:lang w:val="es-ES_tradnl"/>
        </w:rPr>
        <w:t>,</w:t>
      </w:r>
      <w:r>
        <w:rPr>
          <w:bCs/>
          <w:spacing w:val="-3"/>
          <w:lang w:val="es-ES_tradnl"/>
        </w:rPr>
        <w:t xml:space="preserve"> en la redacción dada por el artículo 2 de la Resolución de</w:t>
      </w:r>
      <w:r w:rsidR="00E507AD">
        <w:rPr>
          <w:bCs/>
          <w:spacing w:val="-3"/>
          <w:lang w:val="es-ES_tradnl"/>
        </w:rPr>
        <w:t>l</w:t>
      </w:r>
      <w:r>
        <w:rPr>
          <w:bCs/>
          <w:spacing w:val="-3"/>
          <w:lang w:val="es-ES_tradnl"/>
        </w:rPr>
        <w:t xml:space="preserve"> 23.12.2009, </w:t>
      </w:r>
      <w:r w:rsidR="00E507AD">
        <w:rPr>
          <w:bCs/>
          <w:spacing w:val="-3"/>
          <w:lang w:val="es-ES_tradnl"/>
        </w:rPr>
        <w:t xml:space="preserve">ambas del  Tribunal de Cuentas, </w:t>
      </w:r>
      <w:r>
        <w:rPr>
          <w:bCs/>
          <w:spacing w:val="-3"/>
          <w:lang w:val="es-ES_tradnl"/>
        </w:rPr>
        <w:t>se dispuso que se deben remitir al mismo, para su intervención, todos los gastos emergentes de transacciones  extrajudiciales y laudos  arbitrales, cualquiera sea su monto;</w:t>
      </w:r>
    </w:p>
    <w:p w:rsidR="001E4A38" w:rsidRDefault="001E4A38" w:rsidP="00F35A2F">
      <w:pPr>
        <w:spacing w:line="360" w:lineRule="auto"/>
        <w:ind w:firstLine="709"/>
        <w:jc w:val="both"/>
      </w:pPr>
      <w:r>
        <w:rPr>
          <w:b/>
          <w:spacing w:val="-3"/>
          <w:lang w:val="es-ES_tradnl"/>
        </w:rPr>
        <w:t xml:space="preserve">                                  </w:t>
      </w:r>
      <w:r w:rsidR="004D3C9B">
        <w:rPr>
          <w:b/>
          <w:spacing w:val="-3"/>
          <w:lang w:val="es-ES_tradnl"/>
        </w:rPr>
        <w:t>2)</w:t>
      </w:r>
      <w:r w:rsidR="004D3C9B">
        <w:rPr>
          <w:bCs/>
          <w:spacing w:val="-3"/>
          <w:lang w:val="es-ES_tradnl"/>
        </w:rPr>
        <w:t xml:space="preserve"> que de acuerdo con lo </w:t>
      </w:r>
      <w:r>
        <w:rPr>
          <w:bCs/>
          <w:spacing w:val="-3"/>
          <w:lang w:val="es-ES_tradnl"/>
        </w:rPr>
        <w:t xml:space="preserve">previsto en el </w:t>
      </w:r>
      <w:r w:rsidR="003B76C0">
        <w:rPr>
          <w:bCs/>
          <w:spacing w:val="-3"/>
          <w:lang w:val="es-ES_tradnl"/>
        </w:rPr>
        <w:t>N</w:t>
      </w:r>
      <w:r>
        <w:rPr>
          <w:bCs/>
          <w:spacing w:val="-3"/>
          <w:lang w:val="es-ES_tradnl"/>
        </w:rPr>
        <w:t xml:space="preserve">umeral 4º de la </w:t>
      </w:r>
      <w:r w:rsidR="004D3C9B">
        <w:rPr>
          <w:bCs/>
          <w:spacing w:val="-3"/>
          <w:lang w:val="es-ES_tradnl"/>
        </w:rPr>
        <w:t xml:space="preserve">Ordenanza Nº 72, de 23.5.1996, se intervendrán conjuntamente con el pago los gastos cuyo monto no exceda el máximo fijado para la contratación directa ampliada;  </w:t>
      </w:r>
      <w:r w:rsidR="004D3C9B">
        <w:rPr>
          <w:b/>
          <w:spacing w:val="-3"/>
          <w:lang w:val="es-ES_tradnl"/>
        </w:rPr>
        <w:t xml:space="preserve">  </w:t>
      </w:r>
    </w:p>
    <w:p w:rsidR="001E4A38" w:rsidRDefault="001E4A38" w:rsidP="00F35A2F">
      <w:pPr>
        <w:spacing w:line="360" w:lineRule="auto"/>
        <w:ind w:firstLine="709"/>
        <w:jc w:val="both"/>
      </w:pPr>
      <w:r>
        <w:rPr>
          <w:b/>
          <w:spacing w:val="-3"/>
        </w:rPr>
        <w:t xml:space="preserve">                                 </w:t>
      </w:r>
      <w:r w:rsidR="00990F54">
        <w:rPr>
          <w:b/>
          <w:spacing w:val="-3"/>
          <w:lang w:val="es-ES_tradnl"/>
        </w:rPr>
        <w:t xml:space="preserve">3) </w:t>
      </w:r>
      <w:r w:rsidR="00990F54" w:rsidRPr="0032790F">
        <w:rPr>
          <w:spacing w:val="-3"/>
          <w:lang w:val="es-ES_tradnl"/>
        </w:rPr>
        <w:t xml:space="preserve">que conforme dispone el inciso segundo del  </w:t>
      </w:r>
      <w:r w:rsidR="003B76C0">
        <w:rPr>
          <w:spacing w:val="-3"/>
          <w:lang w:val="es-ES_tradnl"/>
        </w:rPr>
        <w:t>A</w:t>
      </w:r>
      <w:r w:rsidR="00990F54" w:rsidRPr="0032790F">
        <w:rPr>
          <w:spacing w:val="-3"/>
          <w:lang w:val="es-ES_tradnl"/>
        </w:rPr>
        <w:t>rtículo 2147 del Código Civil, cualquiera que sea la entidad del objeto u objeto</w:t>
      </w:r>
      <w:r w:rsidR="00750702">
        <w:rPr>
          <w:spacing w:val="-3"/>
          <w:lang w:val="es-ES_tradnl"/>
        </w:rPr>
        <w:t>s</w:t>
      </w:r>
      <w:r w:rsidR="00990F54" w:rsidRPr="0032790F">
        <w:rPr>
          <w:spacing w:val="-3"/>
          <w:lang w:val="es-ES_tradnl"/>
        </w:rPr>
        <w:t xml:space="preserve"> sobre que verse </w:t>
      </w:r>
      <w:r w:rsidR="004A5E8D" w:rsidRPr="0032790F">
        <w:rPr>
          <w:spacing w:val="-3"/>
          <w:lang w:val="es-ES_tradnl"/>
        </w:rPr>
        <w:t xml:space="preserve">el contrato de </w:t>
      </w:r>
      <w:r w:rsidR="00990F54" w:rsidRPr="0032790F">
        <w:rPr>
          <w:spacing w:val="-3"/>
          <w:lang w:val="es-ES_tradnl"/>
        </w:rPr>
        <w:t xml:space="preserve"> </w:t>
      </w:r>
      <w:r w:rsidR="004A5E8D" w:rsidRPr="0032790F">
        <w:rPr>
          <w:spacing w:val="-3"/>
          <w:lang w:val="es-ES_tradnl"/>
        </w:rPr>
        <w:t>transacción, se requiere para su validez que conste por acto judic</w:t>
      </w:r>
      <w:r w:rsidR="0032790F" w:rsidRPr="0032790F">
        <w:rPr>
          <w:spacing w:val="-3"/>
          <w:lang w:val="es-ES_tradnl"/>
        </w:rPr>
        <w:t>i</w:t>
      </w:r>
      <w:r w:rsidR="004A5E8D" w:rsidRPr="0032790F">
        <w:rPr>
          <w:spacing w:val="-3"/>
          <w:lang w:val="es-ES_tradnl"/>
        </w:rPr>
        <w:t>al o por escritu</w:t>
      </w:r>
      <w:r w:rsidR="0032790F" w:rsidRPr="0032790F">
        <w:rPr>
          <w:spacing w:val="-3"/>
          <w:lang w:val="es-ES_tradnl"/>
        </w:rPr>
        <w:t>r</w:t>
      </w:r>
      <w:r w:rsidR="004A5E8D" w:rsidRPr="0032790F">
        <w:rPr>
          <w:spacing w:val="-3"/>
          <w:lang w:val="es-ES_tradnl"/>
        </w:rPr>
        <w:t>a p</w:t>
      </w:r>
      <w:r w:rsidR="0032790F" w:rsidRPr="0032790F">
        <w:rPr>
          <w:spacing w:val="-3"/>
          <w:lang w:val="es-ES_tradnl"/>
        </w:rPr>
        <w:t>ú</w:t>
      </w:r>
      <w:r w:rsidR="004A5E8D" w:rsidRPr="0032790F">
        <w:rPr>
          <w:spacing w:val="-3"/>
          <w:lang w:val="es-ES_tradnl"/>
        </w:rPr>
        <w:t>blica o privada;</w:t>
      </w:r>
    </w:p>
    <w:p w:rsidR="00617F67" w:rsidRDefault="001E4A38" w:rsidP="00F35A2F">
      <w:pPr>
        <w:spacing w:line="360" w:lineRule="auto"/>
        <w:ind w:firstLine="709"/>
        <w:jc w:val="both"/>
      </w:pPr>
      <w:r>
        <w:rPr>
          <w:b/>
          <w:spacing w:val="-3"/>
        </w:rPr>
        <w:t xml:space="preserve">                                </w:t>
      </w:r>
      <w:r w:rsidR="00617F67">
        <w:rPr>
          <w:b/>
          <w:spacing w:val="-3"/>
        </w:rPr>
        <w:t xml:space="preserve">  </w:t>
      </w:r>
      <w:r w:rsidR="000250AE">
        <w:rPr>
          <w:b/>
          <w:spacing w:val="-3"/>
        </w:rPr>
        <w:t xml:space="preserve"> </w:t>
      </w:r>
      <w:r w:rsidR="0032790F">
        <w:rPr>
          <w:b/>
          <w:spacing w:val="-3"/>
          <w:lang w:val="es-ES_tradnl"/>
        </w:rPr>
        <w:t xml:space="preserve">4) </w:t>
      </w:r>
      <w:r w:rsidR="0032790F" w:rsidRPr="0032790F">
        <w:rPr>
          <w:spacing w:val="-3"/>
          <w:lang w:val="es-ES_tradnl"/>
        </w:rPr>
        <w:t>que conforme se ha informado por ANCAP, el pago</w:t>
      </w:r>
      <w:r w:rsidR="0032790F">
        <w:rPr>
          <w:spacing w:val="-3"/>
          <w:lang w:val="es-ES_tradnl"/>
        </w:rPr>
        <w:t xml:space="preserve"> a la </w:t>
      </w:r>
      <w:r w:rsidR="003B76C0">
        <w:rPr>
          <w:spacing w:val="-3"/>
          <w:lang w:val="es-ES_tradnl"/>
        </w:rPr>
        <w:t>F</w:t>
      </w:r>
      <w:r w:rsidR="0032790F">
        <w:rPr>
          <w:spacing w:val="-3"/>
          <w:lang w:val="es-ES_tradnl"/>
        </w:rPr>
        <w:t>irma DESA L</w:t>
      </w:r>
      <w:r w:rsidR="003B76C0">
        <w:rPr>
          <w:spacing w:val="-3"/>
          <w:lang w:val="es-ES_tradnl"/>
        </w:rPr>
        <w:t>tda.</w:t>
      </w:r>
      <w:r w:rsidR="0032790F">
        <w:rPr>
          <w:spacing w:val="-3"/>
          <w:lang w:val="es-ES_tradnl"/>
        </w:rPr>
        <w:t xml:space="preserve">  sometido a consideración de este Tribunal e</w:t>
      </w:r>
      <w:r w:rsidR="00BD2D19">
        <w:rPr>
          <w:spacing w:val="-3"/>
          <w:lang w:val="es-ES_tradnl"/>
        </w:rPr>
        <w:t>n  esta</w:t>
      </w:r>
      <w:r w:rsidR="0032790F">
        <w:rPr>
          <w:spacing w:val="-3"/>
          <w:lang w:val="es-ES_tradnl"/>
        </w:rPr>
        <w:t xml:space="preserve"> oportunidad, </w:t>
      </w:r>
      <w:r w:rsidR="0032790F" w:rsidRPr="0032790F">
        <w:rPr>
          <w:spacing w:val="-3"/>
          <w:lang w:val="es-ES_tradnl"/>
        </w:rPr>
        <w:t xml:space="preserve"> </w:t>
      </w:r>
      <w:r w:rsidR="0032790F">
        <w:rPr>
          <w:spacing w:val="-3"/>
          <w:lang w:val="es-ES_tradnl"/>
        </w:rPr>
        <w:t>deriva de</w:t>
      </w:r>
      <w:r w:rsidR="0032790F" w:rsidRPr="0032790F">
        <w:rPr>
          <w:spacing w:val="-3"/>
          <w:lang w:val="es-ES_tradnl"/>
        </w:rPr>
        <w:t xml:space="preserve"> un acuerdo transaccional </w:t>
      </w:r>
      <w:r w:rsidR="0032790F">
        <w:rPr>
          <w:spacing w:val="-3"/>
          <w:lang w:val="es-ES_tradnl"/>
        </w:rPr>
        <w:t xml:space="preserve"> que fue </w:t>
      </w:r>
      <w:r w:rsidR="0032790F" w:rsidRPr="0032790F">
        <w:rPr>
          <w:spacing w:val="-3"/>
          <w:lang w:val="es-ES_tradnl"/>
        </w:rPr>
        <w:t>celebrado en forma verbal</w:t>
      </w:r>
      <w:r w:rsidR="0032790F">
        <w:rPr>
          <w:spacing w:val="-3"/>
          <w:lang w:val="es-ES_tradnl"/>
        </w:rPr>
        <w:t xml:space="preserve"> con la referida empresa</w:t>
      </w:r>
      <w:r w:rsidR="0032790F" w:rsidRPr="0032790F">
        <w:rPr>
          <w:spacing w:val="-3"/>
          <w:lang w:val="es-ES_tradnl"/>
        </w:rPr>
        <w:t>;</w:t>
      </w:r>
    </w:p>
    <w:p w:rsidR="00E507AD" w:rsidRDefault="00617F67" w:rsidP="00F35A2F">
      <w:pPr>
        <w:spacing w:line="360" w:lineRule="auto"/>
        <w:ind w:firstLine="709"/>
        <w:jc w:val="both"/>
      </w:pPr>
      <w:r>
        <w:rPr>
          <w:b/>
          <w:spacing w:val="-3"/>
        </w:rPr>
        <w:lastRenderedPageBreak/>
        <w:t xml:space="preserve">                                 </w:t>
      </w:r>
      <w:r w:rsidR="0032790F">
        <w:rPr>
          <w:b/>
          <w:spacing w:val="-3"/>
          <w:lang w:val="es-ES_tradnl"/>
        </w:rPr>
        <w:t>5</w:t>
      </w:r>
      <w:r w:rsidR="004A5E8D">
        <w:rPr>
          <w:b/>
          <w:spacing w:val="-3"/>
          <w:lang w:val="es-ES_tradnl"/>
        </w:rPr>
        <w:t xml:space="preserve">) </w:t>
      </w:r>
      <w:r w:rsidR="00BD2D19">
        <w:rPr>
          <w:spacing w:val="-3"/>
          <w:lang w:val="es-ES_tradnl"/>
        </w:rPr>
        <w:t>que en consecuencia,</w:t>
      </w:r>
      <w:r w:rsidR="004A5E8D" w:rsidRPr="0032790F">
        <w:rPr>
          <w:spacing w:val="-3"/>
          <w:lang w:val="es-ES_tradnl"/>
        </w:rPr>
        <w:t xml:space="preserve"> </w:t>
      </w:r>
      <w:r w:rsidR="0032790F">
        <w:rPr>
          <w:spacing w:val="-3"/>
          <w:lang w:val="es-ES_tradnl"/>
        </w:rPr>
        <w:t xml:space="preserve">constituye </w:t>
      </w:r>
      <w:r w:rsidR="004A5E8D" w:rsidRPr="0032790F">
        <w:rPr>
          <w:spacing w:val="-3"/>
          <w:lang w:val="es-ES_tradnl"/>
        </w:rPr>
        <w:t>un</w:t>
      </w:r>
      <w:r w:rsidR="0032790F">
        <w:rPr>
          <w:spacing w:val="-3"/>
          <w:lang w:val="es-ES_tradnl"/>
        </w:rPr>
        <w:t>a</w:t>
      </w:r>
      <w:r w:rsidR="004A5E8D" w:rsidRPr="0032790F">
        <w:rPr>
          <w:spacing w:val="-3"/>
          <w:lang w:val="es-ES_tradnl"/>
        </w:rPr>
        <w:t xml:space="preserve"> pr</w:t>
      </w:r>
      <w:r w:rsidR="0032790F">
        <w:rPr>
          <w:spacing w:val="-3"/>
          <w:lang w:val="es-ES_tradnl"/>
        </w:rPr>
        <w:t>ác</w:t>
      </w:r>
      <w:r w:rsidR="004A5E8D" w:rsidRPr="0032790F">
        <w:rPr>
          <w:spacing w:val="-3"/>
          <w:lang w:val="es-ES_tradnl"/>
        </w:rPr>
        <w:t>tic</w:t>
      </w:r>
      <w:r w:rsidR="0032790F">
        <w:rPr>
          <w:spacing w:val="-3"/>
          <w:lang w:val="es-ES_tradnl"/>
        </w:rPr>
        <w:t>a</w:t>
      </w:r>
      <w:r w:rsidR="004A5E8D" w:rsidRPr="0032790F">
        <w:rPr>
          <w:spacing w:val="-3"/>
          <w:lang w:val="es-ES_tradnl"/>
        </w:rPr>
        <w:t xml:space="preserve"> que evidentemente colide con el prin</w:t>
      </w:r>
      <w:r w:rsidR="0032790F">
        <w:rPr>
          <w:spacing w:val="-3"/>
          <w:lang w:val="es-ES_tradnl"/>
        </w:rPr>
        <w:t>ci</w:t>
      </w:r>
      <w:r w:rsidR="004A5E8D" w:rsidRPr="0032790F">
        <w:rPr>
          <w:spacing w:val="-3"/>
          <w:lang w:val="es-ES_tradnl"/>
        </w:rPr>
        <w:t xml:space="preserve">pio de buena </w:t>
      </w:r>
      <w:r w:rsidR="0032790F" w:rsidRPr="0032790F">
        <w:rPr>
          <w:spacing w:val="-3"/>
          <w:lang w:val="es-ES_tradnl"/>
        </w:rPr>
        <w:t>administración</w:t>
      </w:r>
      <w:r w:rsidR="00BD2D19">
        <w:rPr>
          <w:spacing w:val="-3"/>
          <w:lang w:val="es-ES_tradnl"/>
        </w:rPr>
        <w:t xml:space="preserve"> y que </w:t>
      </w:r>
      <w:r w:rsidR="004A5E8D" w:rsidRPr="0032790F">
        <w:rPr>
          <w:spacing w:val="-3"/>
          <w:lang w:val="es-ES_tradnl"/>
        </w:rPr>
        <w:t>tal circunstancia</w:t>
      </w:r>
      <w:r>
        <w:rPr>
          <w:spacing w:val="-3"/>
          <w:lang w:val="es-ES_tradnl"/>
        </w:rPr>
        <w:t xml:space="preserve">,  a la luz de lo dispuesto por el </w:t>
      </w:r>
      <w:r w:rsidR="00D02EF7">
        <w:rPr>
          <w:spacing w:val="-3"/>
          <w:lang w:val="es-ES_tradnl"/>
        </w:rPr>
        <w:t>I</w:t>
      </w:r>
      <w:r>
        <w:rPr>
          <w:spacing w:val="-3"/>
          <w:lang w:val="es-ES_tradnl"/>
        </w:rPr>
        <w:t xml:space="preserve">nciso segundo del </w:t>
      </w:r>
      <w:r w:rsidR="00D02EF7">
        <w:rPr>
          <w:spacing w:val="-3"/>
          <w:lang w:val="es-ES_tradnl"/>
        </w:rPr>
        <w:t>A</w:t>
      </w:r>
      <w:r>
        <w:rPr>
          <w:spacing w:val="-3"/>
          <w:lang w:val="es-ES_tradnl"/>
        </w:rPr>
        <w:t xml:space="preserve">rtículo 2147 del Código Civil, </w:t>
      </w:r>
      <w:r w:rsidR="004A5E8D" w:rsidRPr="0032790F"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afecta la validez  de la citada transacción</w:t>
      </w:r>
      <w:r w:rsidR="001A7753">
        <w:rPr>
          <w:spacing w:val="-3"/>
          <w:lang w:val="es-ES_tradnl"/>
        </w:rPr>
        <w:t xml:space="preserve">, </w:t>
      </w:r>
      <w:r w:rsidR="0032790F" w:rsidRPr="0032790F">
        <w:rPr>
          <w:spacing w:val="-3"/>
          <w:lang w:val="es-ES_tradnl"/>
        </w:rPr>
        <w:t xml:space="preserve"> siendo que </w:t>
      </w:r>
      <w:r>
        <w:rPr>
          <w:spacing w:val="-3"/>
          <w:lang w:val="es-ES_tradnl"/>
        </w:rPr>
        <w:t>la misma n</w:t>
      </w:r>
      <w:r w:rsidR="001A7753">
        <w:rPr>
          <w:spacing w:val="-3"/>
          <w:lang w:val="es-ES_tradnl"/>
        </w:rPr>
        <w:t>o consta</w:t>
      </w:r>
      <w:r w:rsidR="001A7753" w:rsidRPr="001A7753"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 xml:space="preserve">en un </w:t>
      </w:r>
      <w:r w:rsidR="001A7753" w:rsidRPr="0032790F">
        <w:rPr>
          <w:spacing w:val="-3"/>
          <w:lang w:val="es-ES_tradnl"/>
        </w:rPr>
        <w:t>acto judicial</w:t>
      </w:r>
      <w:r w:rsidR="001A7753">
        <w:rPr>
          <w:spacing w:val="-3"/>
          <w:lang w:val="es-ES_tradnl"/>
        </w:rPr>
        <w:t xml:space="preserve"> o</w:t>
      </w:r>
      <w:r w:rsidR="001A7753" w:rsidRPr="0032790F">
        <w:rPr>
          <w:spacing w:val="-3"/>
          <w:lang w:val="es-ES_tradnl"/>
        </w:rPr>
        <w:t xml:space="preserve">  </w:t>
      </w:r>
      <w:r>
        <w:rPr>
          <w:spacing w:val="-3"/>
          <w:lang w:val="es-ES_tradnl"/>
        </w:rPr>
        <w:t xml:space="preserve">en </w:t>
      </w:r>
      <w:r w:rsidR="001A7753" w:rsidRPr="0032790F">
        <w:rPr>
          <w:spacing w:val="-3"/>
          <w:lang w:val="es-ES_tradnl"/>
        </w:rPr>
        <w:t xml:space="preserve"> escritura pública o privada</w:t>
      </w:r>
      <w:r w:rsidR="001A7753">
        <w:rPr>
          <w:spacing w:val="-3"/>
          <w:lang w:val="es-ES_tradnl"/>
        </w:rPr>
        <w:t>;</w:t>
      </w:r>
    </w:p>
    <w:p w:rsidR="004D3C9B" w:rsidRPr="00E507AD" w:rsidRDefault="004D3C9B" w:rsidP="007376ED">
      <w:pPr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</w:t>
      </w:r>
      <w:r>
        <w:rPr>
          <w:rFonts w:ascii="LiberationSans-Regular" w:hAnsi="LiberationSans-Regular"/>
        </w:rPr>
        <w:t xml:space="preserve">a lo precedentemente expuesto, a lo dispuesto por el </w:t>
      </w:r>
      <w:r w:rsidR="00D02EF7">
        <w:rPr>
          <w:rFonts w:ascii="LiberationSans-Regular" w:hAnsi="LiberationSans-Regular"/>
        </w:rPr>
        <w:t xml:space="preserve">       A</w:t>
      </w:r>
      <w:r>
        <w:rPr>
          <w:rFonts w:ascii="LiberationSans-Regular" w:hAnsi="LiberationSans-Regular"/>
        </w:rPr>
        <w:t xml:space="preserve">rt. 211 </w:t>
      </w:r>
      <w:r w:rsidR="00D02EF7">
        <w:rPr>
          <w:rFonts w:ascii="LiberationSans-Regular" w:hAnsi="LiberationSans-Regular"/>
        </w:rPr>
        <w:t>L</w:t>
      </w:r>
      <w:r>
        <w:rPr>
          <w:rFonts w:ascii="LiberationSans-Regular" w:hAnsi="LiberationSans-Regular"/>
        </w:rPr>
        <w:t>it. B) de la Constitución de la República;</w:t>
      </w:r>
    </w:p>
    <w:p w:rsidR="004D3C9B" w:rsidRPr="007376ED" w:rsidRDefault="004D3C9B" w:rsidP="007376ED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rPr>
          <w:rFonts w:ascii="Arial" w:hAnsi="Arial"/>
          <w:bCs/>
          <w:snapToGrid/>
          <w:spacing w:val="0"/>
          <w:szCs w:val="24"/>
          <w:lang w:val="es-ES"/>
        </w:rPr>
      </w:pPr>
      <w:r>
        <w:rPr>
          <w:rFonts w:ascii="Arial" w:hAnsi="Arial"/>
          <w:bCs/>
          <w:snapToGrid/>
          <w:spacing w:val="0"/>
          <w:szCs w:val="24"/>
          <w:lang w:val="es-ES"/>
        </w:rPr>
        <w:t>EL TRIBUNAL ACUERDA</w:t>
      </w:r>
    </w:p>
    <w:p w:rsidR="000250AE" w:rsidRPr="000250AE" w:rsidRDefault="001A7753" w:rsidP="007376ED">
      <w:pPr>
        <w:pStyle w:val="Prrafodelista"/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 w:rsidRPr="000250AE">
        <w:rPr>
          <w:spacing w:val="-3"/>
          <w:lang w:val="es-ES_tradnl"/>
        </w:rPr>
        <w:t xml:space="preserve">Observar </w:t>
      </w:r>
      <w:r w:rsidR="000250AE" w:rsidRPr="000250AE">
        <w:rPr>
          <w:spacing w:val="-3"/>
          <w:lang w:val="es-ES_tradnl"/>
        </w:rPr>
        <w:t>por lo expresado en los Cons</w:t>
      </w:r>
      <w:r w:rsidR="00D02EF7">
        <w:rPr>
          <w:spacing w:val="-3"/>
          <w:lang w:val="es-ES_tradnl"/>
        </w:rPr>
        <w:t>iderandos 3) a 5) de la presente</w:t>
      </w:r>
      <w:r w:rsidR="000250AE" w:rsidRPr="000250AE">
        <w:rPr>
          <w:spacing w:val="-3"/>
          <w:lang w:val="es-ES_tradnl"/>
        </w:rPr>
        <w:t xml:space="preserve"> </w:t>
      </w:r>
      <w:r w:rsidRPr="000250AE">
        <w:rPr>
          <w:spacing w:val="-3"/>
          <w:lang w:val="es-ES_tradnl"/>
        </w:rPr>
        <w:t>el gasto y el pago remitido</w:t>
      </w:r>
      <w:r w:rsidR="00D02EF7">
        <w:rPr>
          <w:spacing w:val="-3"/>
          <w:lang w:val="es-ES_tradnl"/>
        </w:rPr>
        <w:t>;</w:t>
      </w:r>
      <w:bookmarkStart w:id="0" w:name="_GoBack"/>
      <w:bookmarkEnd w:id="0"/>
      <w:r w:rsidRPr="000250AE">
        <w:rPr>
          <w:b/>
          <w:bCs/>
          <w:spacing w:val="-3"/>
          <w:lang w:val="es-ES_tradnl"/>
        </w:rPr>
        <w:t xml:space="preserve">   </w:t>
      </w:r>
    </w:p>
    <w:p w:rsidR="004D3C9B" w:rsidRDefault="007376ED" w:rsidP="007376ED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Devolver las actuaciones.</w:t>
      </w:r>
    </w:p>
    <w:p w:rsidR="007376ED" w:rsidRPr="007376ED" w:rsidRDefault="007376ED" w:rsidP="007376ED">
      <w:pPr>
        <w:pStyle w:val="Prrafodelista"/>
        <w:tabs>
          <w:tab w:val="left" w:pos="-720"/>
        </w:tabs>
        <w:suppressAutoHyphens/>
        <w:spacing w:line="360" w:lineRule="auto"/>
        <w:ind w:left="0"/>
        <w:jc w:val="both"/>
        <w:rPr>
          <w:spacing w:val="-3"/>
          <w:sz w:val="20"/>
          <w:szCs w:val="20"/>
          <w:lang w:val="es-ES_tradnl"/>
        </w:rPr>
      </w:pPr>
      <w:r w:rsidRPr="007376ED">
        <w:rPr>
          <w:spacing w:val="-3"/>
          <w:sz w:val="20"/>
          <w:szCs w:val="20"/>
          <w:lang w:val="es-ES_tradnl"/>
        </w:rPr>
        <w:t>CLC</w:t>
      </w:r>
    </w:p>
    <w:p w:rsidR="004D3C9B" w:rsidRDefault="004D3C9B" w:rsidP="00F35A2F">
      <w:pPr>
        <w:tabs>
          <w:tab w:val="left" w:pos="-720"/>
        </w:tabs>
        <w:suppressAutoHyphens/>
        <w:spacing w:line="360" w:lineRule="auto"/>
        <w:jc w:val="both"/>
        <w:rPr>
          <w:spacing w:val="-3"/>
          <w:highlight w:val="yellow"/>
          <w:lang w:val="es-ES_tradnl"/>
        </w:rPr>
      </w:pPr>
    </w:p>
    <w:p w:rsidR="004D3C9B" w:rsidRDefault="004D3C9B" w:rsidP="004D3C9B">
      <w:pPr>
        <w:tabs>
          <w:tab w:val="left" w:pos="-720"/>
        </w:tabs>
        <w:suppressAutoHyphens/>
        <w:spacing w:line="360" w:lineRule="auto"/>
        <w:jc w:val="right"/>
        <w:rPr>
          <w:highlight w:val="yellow"/>
          <w:lang w:val="es-ES_tradnl"/>
        </w:rPr>
      </w:pPr>
    </w:p>
    <w:sectPr w:rsidR="004D3C9B" w:rsidSect="0029673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477E1"/>
    <w:multiLevelType w:val="hybridMultilevel"/>
    <w:tmpl w:val="EF6C9686"/>
    <w:lvl w:ilvl="0" w:tplc="001438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9B"/>
    <w:rsid w:val="000250AE"/>
    <w:rsid w:val="000471D6"/>
    <w:rsid w:val="00100A1A"/>
    <w:rsid w:val="001A7753"/>
    <w:rsid w:val="001E4A38"/>
    <w:rsid w:val="00250043"/>
    <w:rsid w:val="00296739"/>
    <w:rsid w:val="002B513B"/>
    <w:rsid w:val="002D4734"/>
    <w:rsid w:val="0032790F"/>
    <w:rsid w:val="003B76C0"/>
    <w:rsid w:val="004A5E8D"/>
    <w:rsid w:val="004D3C9B"/>
    <w:rsid w:val="00617F67"/>
    <w:rsid w:val="006E7CEA"/>
    <w:rsid w:val="006F37E2"/>
    <w:rsid w:val="007376ED"/>
    <w:rsid w:val="00750702"/>
    <w:rsid w:val="00907886"/>
    <w:rsid w:val="00990F54"/>
    <w:rsid w:val="009B03DE"/>
    <w:rsid w:val="00A15094"/>
    <w:rsid w:val="00BD2D19"/>
    <w:rsid w:val="00BD6592"/>
    <w:rsid w:val="00BE20E0"/>
    <w:rsid w:val="00C03880"/>
    <w:rsid w:val="00CE5D8F"/>
    <w:rsid w:val="00D02EF7"/>
    <w:rsid w:val="00E507AD"/>
    <w:rsid w:val="00E73163"/>
    <w:rsid w:val="00F35A2F"/>
    <w:rsid w:val="00F4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C9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D3C9B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D3C9B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3C9B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D3C9B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E73163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7316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A7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C9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D3C9B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D3C9B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3C9B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D3C9B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E73163"/>
    <w:pPr>
      <w:spacing w:line="360" w:lineRule="auto"/>
      <w:ind w:left="-360" w:firstLine="2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7316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A7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8</cp:revision>
  <cp:lastPrinted>2018-01-18T18:13:00Z</cp:lastPrinted>
  <dcterms:created xsi:type="dcterms:W3CDTF">2018-01-18T14:05:00Z</dcterms:created>
  <dcterms:modified xsi:type="dcterms:W3CDTF">2018-01-18T18:13:00Z</dcterms:modified>
</cp:coreProperties>
</file>