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35" w:rsidRPr="00161683" w:rsidRDefault="00B56535" w:rsidP="00B5653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4299/17</w:t>
      </w:r>
    </w:p>
    <w:p w:rsidR="00B56535" w:rsidRDefault="00B56535" w:rsidP="00B565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6535" w:rsidRPr="004746D1" w:rsidRDefault="00B56535" w:rsidP="00B565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56535" w:rsidRPr="004746D1" w:rsidRDefault="00B56535" w:rsidP="00B5653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6535" w:rsidRPr="004746D1" w:rsidRDefault="00B56535" w:rsidP="00B565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56535" w:rsidRPr="004746D1" w:rsidRDefault="00B56535" w:rsidP="00B5653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6535" w:rsidRPr="004746D1" w:rsidRDefault="00B56535" w:rsidP="00B565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27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DICIEMBRE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B56535" w:rsidRPr="004746D1" w:rsidRDefault="00B56535" w:rsidP="00B565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56535" w:rsidRPr="004746D1" w:rsidRDefault="00B56535" w:rsidP="00B5653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2016-17-1-0009166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, 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="00B724B9">
        <w:rPr>
          <w:rFonts w:ascii="Arial" w:hAnsi="Arial" w:cs="Arial"/>
          <w:b/>
          <w:sz w:val="24"/>
          <w:szCs w:val="24"/>
          <w:lang w:val="es-ES_tradnl"/>
        </w:rPr>
        <w:t>s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</w:t>
      </w:r>
      <w:r w:rsidR="00B724B9">
        <w:rPr>
          <w:rFonts w:ascii="Arial" w:hAnsi="Arial" w:cs="Arial"/>
          <w:b/>
          <w:sz w:val="24"/>
          <w:szCs w:val="24"/>
          <w:lang w:val="es-ES_tradnl"/>
        </w:rPr>
        <w:t>ros.</w:t>
      </w:r>
      <w:r>
        <w:rPr>
          <w:rFonts w:ascii="Arial" w:hAnsi="Arial" w:cs="Arial"/>
          <w:b/>
          <w:sz w:val="24"/>
          <w:szCs w:val="24"/>
          <w:lang w:val="es-ES_tradnl"/>
        </w:rPr>
        <w:t>5911</w:t>
      </w:r>
      <w:r w:rsidR="00B724B9">
        <w:rPr>
          <w:rFonts w:ascii="Arial" w:hAnsi="Arial" w:cs="Arial"/>
          <w:b/>
          <w:sz w:val="24"/>
          <w:szCs w:val="24"/>
          <w:lang w:val="es-ES_tradnl"/>
        </w:rPr>
        <w:t xml:space="preserve"> y 6084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B56535" w:rsidRPr="004746D1" w:rsidRDefault="00B56535" w:rsidP="00B56535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9008AD" w:rsidRDefault="009008AD" w:rsidP="00B56535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por la Intendencia de Maldonado, relacionada</w:t>
      </w:r>
      <w:r w:rsidR="00B5653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 la </w:t>
      </w:r>
      <w:r w:rsidR="00632581">
        <w:rPr>
          <w:rFonts w:ascii="Arial" w:hAnsi="Arial" w:cs="Arial"/>
          <w:sz w:val="24"/>
          <w:szCs w:val="24"/>
        </w:rPr>
        <w:t>prórroga de la L</w:t>
      </w:r>
      <w:r>
        <w:rPr>
          <w:rFonts w:ascii="Arial" w:hAnsi="Arial" w:cs="Arial"/>
          <w:sz w:val="24"/>
          <w:szCs w:val="24"/>
        </w:rPr>
        <w:t xml:space="preserve">icitación </w:t>
      </w:r>
      <w:r w:rsidR="006325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breviada Nº 83/2016, convocada para la explotación comercial de deportes náuticos a motor en parada 4 de playa mansa;</w:t>
      </w:r>
    </w:p>
    <w:p w:rsidR="009008AD" w:rsidRDefault="009008AD" w:rsidP="00B565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el Director G</w:t>
      </w:r>
      <w:r w:rsidR="00B56535">
        <w:rPr>
          <w:rFonts w:ascii="Arial" w:hAnsi="Arial" w:cs="Arial"/>
          <w:sz w:val="24"/>
          <w:szCs w:val="24"/>
        </w:rPr>
        <w:t>eneral de Hacienda adjudicó el L</w:t>
      </w:r>
      <w:r>
        <w:rPr>
          <w:rFonts w:ascii="Arial" w:hAnsi="Arial" w:cs="Arial"/>
          <w:sz w:val="24"/>
          <w:szCs w:val="24"/>
        </w:rPr>
        <w:t>lamado de referencia</w:t>
      </w:r>
      <w:r w:rsidR="00632581">
        <w:rPr>
          <w:rFonts w:ascii="Arial" w:hAnsi="Arial" w:cs="Arial"/>
          <w:sz w:val="24"/>
          <w:szCs w:val="24"/>
        </w:rPr>
        <w:t>, mediante</w:t>
      </w:r>
      <w:r>
        <w:rPr>
          <w:rFonts w:ascii="Arial" w:hAnsi="Arial" w:cs="Arial"/>
          <w:sz w:val="24"/>
          <w:szCs w:val="24"/>
        </w:rPr>
        <w:t xml:space="preserve"> Resolución Nº 08081/2016 de fecha 07</w:t>
      </w:r>
      <w:r w:rsidR="0063258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="00B56535">
        <w:rPr>
          <w:rFonts w:ascii="Arial" w:hAnsi="Arial" w:cs="Arial"/>
          <w:sz w:val="24"/>
          <w:szCs w:val="24"/>
        </w:rPr>
        <w:t>/16, desde el 1º/12/16</w:t>
      </w:r>
      <w:r>
        <w:rPr>
          <w:rFonts w:ascii="Arial" w:hAnsi="Arial" w:cs="Arial"/>
          <w:sz w:val="24"/>
          <w:szCs w:val="24"/>
        </w:rPr>
        <w:t xml:space="preserve"> hasta el último día de </w:t>
      </w:r>
      <w:r w:rsidR="00B5653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Semana de Turismo del año </w:t>
      </w:r>
      <w:r w:rsidR="00632581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, a la empresa Juan Pablo </w:t>
      </w:r>
      <w:proofErr w:type="spellStart"/>
      <w:r>
        <w:rPr>
          <w:rFonts w:ascii="Arial" w:hAnsi="Arial" w:cs="Arial"/>
          <w:sz w:val="24"/>
          <w:szCs w:val="24"/>
        </w:rPr>
        <w:t>Figoli</w:t>
      </w:r>
      <w:proofErr w:type="spellEnd"/>
      <w:r w:rsidR="00B5653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canon de $</w:t>
      </w:r>
      <w:r w:rsidR="006325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625.000</w:t>
      </w:r>
      <w:r w:rsidR="00B56535">
        <w:rPr>
          <w:rFonts w:ascii="Arial" w:hAnsi="Arial" w:cs="Arial"/>
          <w:sz w:val="24"/>
          <w:szCs w:val="24"/>
        </w:rPr>
        <w:t>;</w:t>
      </w:r>
    </w:p>
    <w:p w:rsidR="00B56535" w:rsidRDefault="009008AD" w:rsidP="00B56535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este Tribunal</w:t>
      </w:r>
      <w:r w:rsidR="00604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Sesión de fecha 22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02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604EB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acordó observar el procedimiento por incumplimiento de las Resoluciones de este</w:t>
      </w:r>
      <w:r w:rsidR="00604EBA">
        <w:rPr>
          <w:rFonts w:ascii="Arial" w:hAnsi="Arial" w:cs="Arial"/>
          <w:sz w:val="24"/>
          <w:szCs w:val="24"/>
        </w:rPr>
        <w:t xml:space="preserve"> Cuerpo</w:t>
      </w:r>
      <w:r>
        <w:rPr>
          <w:rFonts w:ascii="Arial" w:hAnsi="Arial" w:cs="Arial"/>
          <w:sz w:val="24"/>
          <w:szCs w:val="24"/>
        </w:rPr>
        <w:t xml:space="preserve"> de fechas 11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="00B5653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 y 28</w:t>
      </w:r>
      <w:r w:rsidR="00604EBA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</w:t>
      </w:r>
      <w:r w:rsidR="00B5653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07, y por no establecerse criterios objetivos para determinar los puntajes dentro de cada uno de los factores establecidos para la evaluación de las ofertas, en contravención a lo establecido en el </w:t>
      </w:r>
      <w:r w:rsidR="00604E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B5653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48 </w:t>
      </w:r>
      <w:r w:rsidR="00604EB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B56535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C) del TOCAF;</w:t>
      </w:r>
    </w:p>
    <w:p w:rsidR="00604EBA" w:rsidRDefault="00604EBA" w:rsidP="00B56535">
      <w:pPr>
        <w:tabs>
          <w:tab w:val="left" w:pos="1843"/>
        </w:tabs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B56535">
        <w:rPr>
          <w:rFonts w:ascii="Arial" w:hAnsi="Arial" w:cs="Arial"/>
          <w:b/>
          <w:bCs/>
          <w:sz w:val="24"/>
          <w:szCs w:val="24"/>
        </w:rPr>
        <w:t xml:space="preserve">) </w:t>
      </w:r>
      <w:r w:rsidR="009008AD">
        <w:rPr>
          <w:rFonts w:ascii="Arial" w:hAnsi="Arial" w:cs="Arial"/>
          <w:sz w:val="24"/>
          <w:szCs w:val="24"/>
        </w:rPr>
        <w:t xml:space="preserve">que </w:t>
      </w:r>
      <w:r w:rsidR="00B56535">
        <w:rPr>
          <w:rFonts w:ascii="Arial" w:hAnsi="Arial" w:cs="Arial"/>
          <w:sz w:val="24"/>
          <w:szCs w:val="24"/>
        </w:rPr>
        <w:t xml:space="preserve">mediante Resoluciones </w:t>
      </w:r>
      <w:proofErr w:type="spellStart"/>
      <w:r w:rsidR="00B56535">
        <w:rPr>
          <w:rFonts w:ascii="Arial" w:hAnsi="Arial" w:cs="Arial"/>
          <w:sz w:val="24"/>
          <w:szCs w:val="24"/>
        </w:rPr>
        <w:t>Nros</w:t>
      </w:r>
      <w:proofErr w:type="spellEnd"/>
      <w:r w:rsidR="00B5653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7829/</w:t>
      </w:r>
      <w:r w:rsidR="00B5653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 y 08164/</w:t>
      </w:r>
      <w:r w:rsidR="00B5653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17, de fechas 26/10/17 y 9/11/17, el Ejecutivo Departamental dispuso la prórroga, ad referéndum de la intervención de este </w:t>
      </w:r>
      <w:r w:rsidR="00B56535">
        <w:rPr>
          <w:rFonts w:ascii="Arial" w:hAnsi="Arial" w:cs="Arial"/>
          <w:sz w:val="24"/>
          <w:szCs w:val="24"/>
        </w:rPr>
        <w:t>Tribunal, de la Licitación de r</w:t>
      </w:r>
      <w:r>
        <w:rPr>
          <w:rFonts w:ascii="Arial" w:hAnsi="Arial" w:cs="Arial"/>
          <w:sz w:val="24"/>
          <w:szCs w:val="24"/>
        </w:rPr>
        <w:t xml:space="preserve">eferencia, a la firma JUAN PABLO FÍGOLI, desde el 1º/12/17 hasta el </w:t>
      </w:r>
      <w:r w:rsidR="008E6B91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día de Semana de Turismo del año 2018</w:t>
      </w:r>
      <w:r w:rsidR="008E6B91">
        <w:rPr>
          <w:rFonts w:ascii="Arial" w:hAnsi="Arial" w:cs="Arial"/>
          <w:sz w:val="24"/>
          <w:szCs w:val="24"/>
        </w:rPr>
        <w:t>, en los términos y condiciones que surgen de la ofe</w:t>
      </w:r>
      <w:r w:rsidR="00B56535">
        <w:rPr>
          <w:rFonts w:ascii="Arial" w:hAnsi="Arial" w:cs="Arial"/>
          <w:sz w:val="24"/>
          <w:szCs w:val="24"/>
        </w:rPr>
        <w:t>rta y de las bases del Llamado;</w:t>
      </w:r>
    </w:p>
    <w:p w:rsidR="009008AD" w:rsidRDefault="009008AD" w:rsidP="00B565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 xml:space="preserve">que la Administración actuante </w:t>
      </w:r>
      <w:r w:rsidR="008E6B91">
        <w:rPr>
          <w:rFonts w:ascii="Arial" w:hAnsi="Arial" w:cs="Arial"/>
          <w:sz w:val="24"/>
          <w:szCs w:val="24"/>
        </w:rPr>
        <w:t xml:space="preserve">dio </w:t>
      </w:r>
      <w:r>
        <w:rPr>
          <w:rFonts w:ascii="Arial" w:hAnsi="Arial" w:cs="Arial"/>
          <w:sz w:val="24"/>
          <w:szCs w:val="24"/>
        </w:rPr>
        <w:t>cumpli</w:t>
      </w:r>
      <w:r w:rsidR="008E6B91">
        <w:rPr>
          <w:rFonts w:ascii="Arial" w:hAnsi="Arial" w:cs="Arial"/>
          <w:sz w:val="24"/>
          <w:szCs w:val="24"/>
        </w:rPr>
        <w:t>miento a lo dispuesto por este Tribunal, en su Resolución de fecha 11/05/05, en la redacción dada po</w:t>
      </w:r>
      <w:r w:rsidR="00B56535">
        <w:rPr>
          <w:rFonts w:ascii="Arial" w:hAnsi="Arial" w:cs="Arial"/>
          <w:sz w:val="24"/>
          <w:szCs w:val="24"/>
        </w:rPr>
        <w:t>r la Resolución de fecha 28/03/</w:t>
      </w:r>
      <w:r w:rsidR="008E6B91">
        <w:rPr>
          <w:rFonts w:ascii="Arial" w:hAnsi="Arial" w:cs="Arial"/>
          <w:sz w:val="24"/>
          <w:szCs w:val="24"/>
        </w:rPr>
        <w:t xml:space="preserve">07, que dispone que los </w:t>
      </w:r>
      <w:r w:rsidR="008E6B91">
        <w:rPr>
          <w:rFonts w:ascii="Arial" w:hAnsi="Arial" w:cs="Arial"/>
          <w:sz w:val="24"/>
          <w:szCs w:val="24"/>
        </w:rPr>
        <w:lastRenderedPageBreak/>
        <w:t xml:space="preserve">Organismos del Estado, previamente a aprobar, modificar o rescindir concesiones contractuales de obras o servicios, deberán remitir los antecedentes a </w:t>
      </w:r>
      <w:r w:rsidR="00B56535">
        <w:rPr>
          <w:rFonts w:ascii="Arial" w:hAnsi="Arial" w:cs="Arial"/>
          <w:sz w:val="24"/>
          <w:szCs w:val="24"/>
        </w:rPr>
        <w:t>dictamen de este Tribunal;</w:t>
      </w:r>
    </w:p>
    <w:p w:rsidR="008E6B91" w:rsidRDefault="009008AD" w:rsidP="00B56535">
      <w:pPr>
        <w:tabs>
          <w:tab w:val="left" w:pos="2127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8E6B91">
        <w:rPr>
          <w:rFonts w:ascii="Arial" w:hAnsi="Arial" w:cs="Arial"/>
          <w:sz w:val="24"/>
          <w:szCs w:val="24"/>
        </w:rPr>
        <w:t>sin perjuicio de lo señalado en el Considerando anterior, la prórroga dispuesta deviene de un procedimiento observado por este Tribunal, por motivos de índole insubsanable,</w:t>
      </w:r>
      <w:r w:rsidR="00B56535">
        <w:rPr>
          <w:rFonts w:ascii="Arial" w:hAnsi="Arial" w:cs="Arial"/>
          <w:sz w:val="24"/>
          <w:szCs w:val="24"/>
        </w:rPr>
        <w:t xml:space="preserve"> que la afectan (Resultando 2);</w:t>
      </w:r>
    </w:p>
    <w:p w:rsidR="009008AD" w:rsidRDefault="009008AD" w:rsidP="00B565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</w:t>
      </w:r>
      <w:r w:rsidR="00E10304">
        <w:rPr>
          <w:rFonts w:ascii="Arial" w:hAnsi="Arial" w:cs="Arial"/>
          <w:sz w:val="24"/>
          <w:szCs w:val="24"/>
        </w:rPr>
        <w:t xml:space="preserve"> y a lo dispuesto por el Artículo</w:t>
      </w:r>
      <w:r w:rsidR="008E6B91">
        <w:rPr>
          <w:rFonts w:ascii="Arial" w:hAnsi="Arial" w:cs="Arial"/>
          <w:sz w:val="24"/>
          <w:szCs w:val="24"/>
        </w:rPr>
        <w:t xml:space="preserve"> 211 Lit</w:t>
      </w:r>
      <w:r w:rsidR="00E10304">
        <w:rPr>
          <w:rFonts w:ascii="Arial" w:hAnsi="Arial" w:cs="Arial"/>
          <w:sz w:val="24"/>
          <w:szCs w:val="24"/>
        </w:rPr>
        <w:t>eral</w:t>
      </w:r>
      <w:r w:rsidR="008E6B91">
        <w:rPr>
          <w:rFonts w:ascii="Arial" w:hAnsi="Arial" w:cs="Arial"/>
          <w:sz w:val="24"/>
          <w:szCs w:val="24"/>
        </w:rPr>
        <w:t xml:space="preserve"> E) de la Constitución de la República</w:t>
      </w:r>
      <w:r>
        <w:rPr>
          <w:rFonts w:ascii="Arial" w:hAnsi="Arial" w:cs="Arial"/>
          <w:sz w:val="24"/>
          <w:szCs w:val="24"/>
        </w:rPr>
        <w:t>;</w:t>
      </w:r>
    </w:p>
    <w:p w:rsidR="009008AD" w:rsidRPr="00B56535" w:rsidRDefault="00B56535" w:rsidP="00B56535">
      <w:pPr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56535">
        <w:rPr>
          <w:rFonts w:ascii="Arial" w:hAnsi="Arial" w:cs="Arial"/>
          <w:b/>
          <w:bCs/>
          <w:iCs/>
          <w:sz w:val="24"/>
          <w:szCs w:val="24"/>
        </w:rPr>
        <w:t>EL TRIBUNAL ACUERDA</w:t>
      </w:r>
    </w:p>
    <w:p w:rsidR="009008AD" w:rsidRPr="00E10304" w:rsidRDefault="00E10304" w:rsidP="00E1030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8E6B91" w:rsidRPr="00E10304">
        <w:rPr>
          <w:rFonts w:ascii="Arial" w:hAnsi="Arial" w:cs="Arial"/>
          <w:sz w:val="24"/>
          <w:szCs w:val="24"/>
        </w:rPr>
        <w:t>Observar la prórroga dispuesta</w:t>
      </w:r>
      <w:r w:rsidR="009008AD" w:rsidRPr="00E1030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9008AD" w:rsidRDefault="00E10304" w:rsidP="00E1030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9008AD">
        <w:rPr>
          <w:rFonts w:ascii="Arial" w:hAnsi="Arial" w:cs="Arial"/>
          <w:sz w:val="24"/>
          <w:szCs w:val="24"/>
        </w:rPr>
        <w:t xml:space="preserve">Devolver las actuaciones. </w:t>
      </w:r>
    </w:p>
    <w:p w:rsidR="009008AD" w:rsidRDefault="009008AD" w:rsidP="00E1030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E6B91" w:rsidRDefault="00B56535" w:rsidP="00B5653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8E6B91" w:rsidSect="008E4857">
      <w:pgSz w:w="11906" w:h="16838" w:code="9"/>
      <w:pgMar w:top="3062" w:right="1701" w:bottom="124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82F"/>
    <w:multiLevelType w:val="hybridMultilevel"/>
    <w:tmpl w:val="F1EEFBB2"/>
    <w:lvl w:ilvl="0" w:tplc="79C4F31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AD"/>
    <w:rsid w:val="001728A4"/>
    <w:rsid w:val="003C4F6F"/>
    <w:rsid w:val="00604EBA"/>
    <w:rsid w:val="00632581"/>
    <w:rsid w:val="008E4857"/>
    <w:rsid w:val="008E6B91"/>
    <w:rsid w:val="009008AD"/>
    <w:rsid w:val="00B56535"/>
    <w:rsid w:val="00B724B9"/>
    <w:rsid w:val="00E1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2016-17-1-0002087</vt:lpstr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2016-17-1-0002087</dc:title>
  <dc:creator>ANDREA AREOSO USHER</dc:creator>
  <cp:lastModifiedBy>Tribunal1</cp:lastModifiedBy>
  <cp:revision>5</cp:revision>
  <cp:lastPrinted>2018-01-06T17:58:00Z</cp:lastPrinted>
  <dcterms:created xsi:type="dcterms:W3CDTF">2018-01-04T18:19:00Z</dcterms:created>
  <dcterms:modified xsi:type="dcterms:W3CDTF">2018-01-06T17:59:00Z</dcterms:modified>
</cp:coreProperties>
</file>