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913" w:rsidRPr="00786EEB" w:rsidRDefault="00093913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171/18</w:t>
      </w:r>
    </w:p>
    <w:p w:rsidR="00093913" w:rsidRDefault="00093913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093913" w:rsidRPr="00762B34" w:rsidRDefault="0009391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093913" w:rsidRPr="00762B34" w:rsidRDefault="00093913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093913" w:rsidRPr="00762B34" w:rsidRDefault="0009391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093913" w:rsidRPr="00762B34" w:rsidRDefault="00093913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093913" w:rsidRPr="00762B34" w:rsidRDefault="0009391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17 DE ENERO </w:t>
      </w:r>
      <w:r>
        <w:rPr>
          <w:rFonts w:ascii="Helvetica" w:hAnsi="Helvetica"/>
          <w:b/>
          <w:lang w:val="es-ES_tradnl"/>
        </w:rPr>
        <w:t>DE 2018</w:t>
      </w:r>
    </w:p>
    <w:p w:rsidR="00093913" w:rsidRPr="00762B34" w:rsidRDefault="0009391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093913" w:rsidRPr="00762B34" w:rsidRDefault="0009391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2017-17-1-0006992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>. N°</w:t>
      </w:r>
      <w:r>
        <w:rPr>
          <w:rFonts w:ascii="Arial" w:hAnsi="Arial" w:cs="Arial"/>
          <w:b/>
          <w:lang w:val="en-US"/>
        </w:rPr>
        <w:t xml:space="preserve"> 6646/17</w:t>
      </w:r>
      <w:r w:rsidRPr="00762B34">
        <w:rPr>
          <w:rFonts w:ascii="Arial" w:hAnsi="Arial" w:cs="Arial"/>
          <w:b/>
          <w:lang w:val="en-US"/>
        </w:rPr>
        <w:t>)</w:t>
      </w:r>
    </w:p>
    <w:p w:rsidR="00093913" w:rsidRDefault="0009391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093913" w:rsidRDefault="00093913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n-US"/>
        </w:rPr>
      </w:pPr>
    </w:p>
    <w:p w:rsidR="00AE780E" w:rsidRPr="00055FAF" w:rsidRDefault="00AE780E" w:rsidP="00093913">
      <w:pPr>
        <w:pStyle w:val="Sangradetextonormal"/>
        <w:spacing w:after="120"/>
      </w:pPr>
      <w:r w:rsidRPr="00275DE7">
        <w:rPr>
          <w:b/>
        </w:rPr>
        <w:t xml:space="preserve">VISTO: </w:t>
      </w:r>
      <w:r w:rsidRPr="00275DE7">
        <w:t>las actuaciones remitidas por la Administración Nacional de Telecomunicaciones</w:t>
      </w:r>
      <w:r w:rsidR="004530B0">
        <w:t>,</w:t>
      </w:r>
      <w:r w:rsidRPr="00275DE7">
        <w:t xml:space="preserve"> relacionadas con la reiteración del gasto derivado de la </w:t>
      </w:r>
      <w:r>
        <w:t xml:space="preserve">contratación de </w:t>
      </w:r>
      <w:proofErr w:type="spellStart"/>
      <w:r>
        <w:t>Telefonaktiebolaget</w:t>
      </w:r>
      <w:proofErr w:type="spellEnd"/>
      <w:r>
        <w:t xml:space="preserve"> L.M Ericsson</w:t>
      </w:r>
      <w:r w:rsidRPr="00275DE7">
        <w:t>,</w:t>
      </w:r>
      <w:r>
        <w:t xml:space="preserve"> para la ampliación del </w:t>
      </w:r>
      <w:proofErr w:type="gramStart"/>
      <w:r>
        <w:t>sistema</w:t>
      </w:r>
      <w:proofErr w:type="gramEnd"/>
      <w:r>
        <w:t xml:space="preserve"> convergente de tasación y facturación (</w:t>
      </w:r>
      <w:proofErr w:type="spellStart"/>
      <w:r>
        <w:t>CBiO-Charging</w:t>
      </w:r>
      <w:proofErr w:type="spellEnd"/>
      <w:r>
        <w:t xml:space="preserve"> &amp; </w:t>
      </w:r>
      <w:proofErr w:type="spellStart"/>
      <w:r>
        <w:t>Billing</w:t>
      </w:r>
      <w:proofErr w:type="spellEnd"/>
      <w:r>
        <w:t xml:space="preserve"> in </w:t>
      </w:r>
      <w:proofErr w:type="spellStart"/>
      <w:r>
        <w:t>One</w:t>
      </w:r>
      <w:proofErr w:type="spellEnd"/>
      <w:r>
        <w:t>);</w:t>
      </w:r>
    </w:p>
    <w:p w:rsidR="00093913" w:rsidRDefault="00AE780E" w:rsidP="00D51BF6">
      <w:pPr>
        <w:pStyle w:val="Sangradetextonormal"/>
        <w:ind w:firstLine="709"/>
        <w:rPr>
          <w:spacing w:val="-3"/>
        </w:rPr>
      </w:pPr>
      <w:r w:rsidRPr="00055FAF">
        <w:rPr>
          <w:b/>
        </w:rPr>
        <w:t>RESULTANDO:</w:t>
      </w:r>
      <w:r w:rsidR="00093913">
        <w:rPr>
          <w:b/>
        </w:rPr>
        <w:t xml:space="preserve"> </w:t>
      </w:r>
      <w:r w:rsidRPr="00055FAF">
        <w:rPr>
          <w:b/>
        </w:rPr>
        <w:t xml:space="preserve">1) </w:t>
      </w:r>
      <w:r w:rsidRPr="00055FAF">
        <w:t xml:space="preserve">que </w:t>
      </w:r>
      <w:r>
        <w:rPr>
          <w:spacing w:val="-3"/>
        </w:rPr>
        <w:t>por Resolución Nº 1128</w:t>
      </w:r>
      <w:r w:rsidRPr="00055FAF">
        <w:rPr>
          <w:spacing w:val="-3"/>
        </w:rPr>
        <w:t>/1</w:t>
      </w:r>
      <w:r>
        <w:rPr>
          <w:spacing w:val="-3"/>
        </w:rPr>
        <w:t>7</w:t>
      </w:r>
      <w:r w:rsidRPr="00055FAF">
        <w:rPr>
          <w:spacing w:val="-3"/>
        </w:rPr>
        <w:t xml:space="preserve"> </w:t>
      </w:r>
      <w:r>
        <w:rPr>
          <w:spacing w:val="-3"/>
        </w:rPr>
        <w:t>de fecha 11.10.17, el Directorio adjudicó a la referida firma por un monto máximo de U$S 1:530.000 en modalidad exterior valores CIP y un monto máximo de U$S 9:912.500 (IVA incluido) en modalidad plaza</w:t>
      </w:r>
      <w:r w:rsidR="00AB72A6">
        <w:rPr>
          <w:spacing w:val="-3"/>
        </w:rPr>
        <w:t xml:space="preserve">, </w:t>
      </w:r>
      <w:r w:rsidR="00AB72A6">
        <w:t xml:space="preserve">con opción por parte de </w:t>
      </w:r>
      <w:proofErr w:type="spellStart"/>
      <w:r w:rsidR="00AB72A6">
        <w:t>Antel</w:t>
      </w:r>
      <w:proofErr w:type="spellEnd"/>
      <w:r w:rsidR="00AB72A6">
        <w:t xml:space="preserve"> de contratar hasta un 100% más,</w:t>
      </w:r>
      <w:r w:rsidR="00AB72A6">
        <w:rPr>
          <w:spacing w:val="-3"/>
        </w:rPr>
        <w:t xml:space="preserve"> por lo dispuesto en el </w:t>
      </w:r>
      <w:r w:rsidR="00093913">
        <w:rPr>
          <w:spacing w:val="-3"/>
        </w:rPr>
        <w:t>A</w:t>
      </w:r>
      <w:r w:rsidR="00AB72A6">
        <w:rPr>
          <w:spacing w:val="-3"/>
        </w:rPr>
        <w:t xml:space="preserve">rtículo 33 </w:t>
      </w:r>
      <w:r w:rsidR="00093913">
        <w:rPr>
          <w:spacing w:val="-3"/>
        </w:rPr>
        <w:t>L</w:t>
      </w:r>
      <w:r w:rsidR="00AB72A6">
        <w:rPr>
          <w:spacing w:val="-3"/>
        </w:rPr>
        <w:t xml:space="preserve">iteral C) </w:t>
      </w:r>
      <w:r w:rsidR="00093913">
        <w:rPr>
          <w:spacing w:val="-3"/>
        </w:rPr>
        <w:t>N</w:t>
      </w:r>
      <w:r w:rsidR="00AB72A6">
        <w:rPr>
          <w:spacing w:val="-3"/>
        </w:rPr>
        <w:t>umeral 22</w:t>
      </w:r>
      <w:r w:rsidR="00D51BF6">
        <w:rPr>
          <w:spacing w:val="-3"/>
        </w:rPr>
        <w:t>)</w:t>
      </w:r>
      <w:r w:rsidR="00AB72A6">
        <w:rPr>
          <w:spacing w:val="-3"/>
        </w:rPr>
        <w:t xml:space="preserve"> del TOCAF;</w:t>
      </w:r>
    </w:p>
    <w:p w:rsidR="004530B0" w:rsidRDefault="00D51BF6" w:rsidP="00D51BF6">
      <w:pPr>
        <w:pStyle w:val="Sangradetextonormal"/>
        <w:ind w:firstLine="2552"/>
      </w:pPr>
      <w:r>
        <w:rPr>
          <w:spacing w:val="-3"/>
        </w:rPr>
        <w:t xml:space="preserve"> </w:t>
      </w:r>
      <w:r w:rsidR="00AE780E" w:rsidRPr="00E40B34">
        <w:rPr>
          <w:b/>
        </w:rPr>
        <w:t>2)</w:t>
      </w:r>
      <w:r w:rsidR="00AE780E" w:rsidRPr="00E40B34">
        <w:t xml:space="preserve"> que </w:t>
      </w:r>
      <w:r w:rsidR="00AE780E" w:rsidRPr="00E40B34">
        <w:rPr>
          <w:spacing w:val="-3"/>
          <w:lang w:val="es-ES_tradnl"/>
        </w:rPr>
        <w:t>por Resolución Nº</w:t>
      </w:r>
      <w:r w:rsidR="004530B0">
        <w:rPr>
          <w:spacing w:val="-3"/>
          <w:lang w:val="es-ES_tradnl"/>
        </w:rPr>
        <w:t xml:space="preserve"> 3894/</w:t>
      </w:r>
      <w:r w:rsidR="00AB72A6">
        <w:rPr>
          <w:spacing w:val="-3"/>
          <w:lang w:val="es-ES_tradnl"/>
        </w:rPr>
        <w:t xml:space="preserve">17 adoptada en Sesión de fecha 22.11.17, </w:t>
      </w:r>
      <w:r w:rsidR="00A44638">
        <w:rPr>
          <w:spacing w:val="-3"/>
          <w:lang w:val="es-ES_tradnl"/>
        </w:rPr>
        <w:t xml:space="preserve">este Tribunal </w:t>
      </w:r>
      <w:r w:rsidR="00AB72A6">
        <w:rPr>
          <w:spacing w:val="-3"/>
          <w:lang w:val="es-ES_tradnl"/>
        </w:rPr>
        <w:t>acordó observar el gasto</w:t>
      </w:r>
      <w:r w:rsidR="00A44638">
        <w:rPr>
          <w:spacing w:val="-3"/>
          <w:lang w:val="es-ES_tradnl"/>
        </w:rPr>
        <w:t xml:space="preserve">, </w:t>
      </w:r>
      <w:r w:rsidR="00AE780E" w:rsidRPr="00E40B34">
        <w:rPr>
          <w:lang w:val="es-ES_tradnl"/>
        </w:rPr>
        <w:t xml:space="preserve">en tanto se </w:t>
      </w:r>
      <w:r w:rsidR="00AE780E" w:rsidRPr="00E40B34">
        <w:t>con</w:t>
      </w:r>
      <w:r w:rsidR="00AE780E">
        <w:t xml:space="preserve">travino lo dispuesto por el </w:t>
      </w:r>
      <w:r>
        <w:t>A</w:t>
      </w:r>
      <w:r w:rsidR="00AE780E">
        <w:t xml:space="preserve">rtículo </w:t>
      </w:r>
      <w:r w:rsidR="00A44638">
        <w:t>15 del TOCAF</w:t>
      </w:r>
      <w:r w:rsidR="00AE780E" w:rsidRPr="00E40B34">
        <w:t>, al comprometerse el mismo sin crédito disponible en el rubro de imputación;</w:t>
      </w:r>
    </w:p>
    <w:p w:rsidR="00AE780E" w:rsidRPr="004530B0" w:rsidRDefault="00D51BF6" w:rsidP="00D51BF6">
      <w:pPr>
        <w:pStyle w:val="Sangradetextonormal"/>
        <w:ind w:firstLine="2552"/>
        <w:rPr>
          <w:spacing w:val="-3"/>
        </w:rPr>
      </w:pPr>
      <w:r>
        <w:t xml:space="preserve"> </w:t>
      </w:r>
      <w:r w:rsidR="00AE780E" w:rsidRPr="00E40B34">
        <w:rPr>
          <w:b/>
        </w:rPr>
        <w:t>3)</w:t>
      </w:r>
      <w:r w:rsidR="00AE780E" w:rsidRPr="00E40B34">
        <w:t xml:space="preserve"> que por Resolución Nº </w:t>
      </w:r>
      <w:r w:rsidR="00A44638">
        <w:t>1390/</w:t>
      </w:r>
      <w:r w:rsidR="00AE780E" w:rsidRPr="00E40B34">
        <w:t xml:space="preserve">17 de </w:t>
      </w:r>
      <w:r w:rsidR="00A44638">
        <w:t xml:space="preserve">fecha 07.12.17 el Directorio reiteró el gasto, </w:t>
      </w:r>
      <w:r w:rsidR="00AE780E" w:rsidRPr="00E40B34">
        <w:t xml:space="preserve">expresando </w:t>
      </w:r>
      <w:r w:rsidR="00AE780E">
        <w:t xml:space="preserve">como fundamento </w:t>
      </w:r>
      <w:r w:rsidR="00AE780E" w:rsidRPr="00E40B34">
        <w:t xml:space="preserve">que </w:t>
      </w:r>
      <w:r w:rsidR="00A44638">
        <w:t xml:space="preserve">la contratación refiere a la evolución y modernización del sistema de facturación de </w:t>
      </w:r>
      <w:proofErr w:type="spellStart"/>
      <w:r w:rsidR="00A44638">
        <w:t>Antel</w:t>
      </w:r>
      <w:proofErr w:type="spellEnd"/>
      <w:r w:rsidR="00A44638">
        <w:t>, el que permitirá, además de reducir gastos operativos, mantener la posición de liderazgo en un mercado cada vez más exigente y competitivo;</w:t>
      </w:r>
    </w:p>
    <w:p w:rsidR="00AE780E" w:rsidRPr="004E1EEF" w:rsidRDefault="00AE780E" w:rsidP="005911F9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 w:rsidRPr="00DD0DE6">
        <w:rPr>
          <w:rFonts w:ascii="Arial" w:hAnsi="Arial" w:cs="Arial"/>
          <w:b/>
          <w:bCs/>
          <w:lang w:val="es-ES_tradnl"/>
        </w:rPr>
        <w:lastRenderedPageBreak/>
        <w:t>CONSIDERANDO:</w:t>
      </w:r>
      <w:r w:rsidRPr="00DD0DE6">
        <w:rPr>
          <w:rFonts w:ascii="Arial" w:hAnsi="Arial" w:cs="Arial"/>
          <w:b/>
          <w:bCs/>
        </w:rPr>
        <w:t xml:space="preserve"> </w:t>
      </w:r>
      <w:r w:rsidRPr="00DD0DE6">
        <w:rPr>
          <w:rFonts w:ascii="Arial" w:hAnsi="Arial" w:cs="Arial"/>
        </w:rPr>
        <w:t xml:space="preserve">que </w:t>
      </w:r>
      <w:r w:rsidRPr="00DD0DE6">
        <w:rPr>
          <w:rFonts w:ascii="Arial" w:hAnsi="Arial" w:cs="Arial"/>
          <w:lang w:val="es-MX"/>
        </w:rPr>
        <w:t xml:space="preserve">los argumentos esgrimidos por la Administración actuante en ocasión de reiterar el </w:t>
      </w:r>
      <w:r w:rsidRPr="004E1EEF">
        <w:rPr>
          <w:rFonts w:ascii="Arial" w:hAnsi="Arial" w:cs="Arial"/>
          <w:lang w:val="es-MX"/>
        </w:rPr>
        <w:t>gasto, no guardan relación</w:t>
      </w:r>
      <w:r w:rsidR="00CC35A2">
        <w:rPr>
          <w:rFonts w:ascii="Arial" w:hAnsi="Arial" w:cs="Arial"/>
          <w:lang w:val="es-MX"/>
        </w:rPr>
        <w:t xml:space="preserve"> directa </w:t>
      </w:r>
      <w:r w:rsidRPr="004E1EEF">
        <w:rPr>
          <w:rFonts w:ascii="Arial" w:hAnsi="Arial" w:cs="Arial"/>
          <w:lang w:val="es-MX"/>
        </w:rPr>
        <w:t xml:space="preserve"> con la </w:t>
      </w:r>
      <w:r w:rsidR="00CC35A2">
        <w:rPr>
          <w:rFonts w:ascii="Arial" w:hAnsi="Arial" w:cs="Arial"/>
          <w:lang w:val="es-MX"/>
        </w:rPr>
        <w:t>causal de observación formulada</w:t>
      </w:r>
      <w:r w:rsidR="00A44638">
        <w:rPr>
          <w:rFonts w:ascii="Arial" w:hAnsi="Arial" w:cs="Arial"/>
          <w:lang w:val="es-MX"/>
        </w:rPr>
        <w:t>;</w:t>
      </w:r>
    </w:p>
    <w:p w:rsidR="00AE780E" w:rsidRPr="00DD5F22" w:rsidRDefault="00AE780E" w:rsidP="005911F9">
      <w:pPr>
        <w:pStyle w:val="Sangradetextonormal"/>
        <w:ind w:firstLine="709"/>
      </w:pPr>
      <w:r w:rsidRPr="004E1EEF">
        <w:rPr>
          <w:b/>
        </w:rPr>
        <w:t xml:space="preserve">ATENTO: </w:t>
      </w:r>
      <w:r w:rsidRPr="004E1EEF">
        <w:t xml:space="preserve">a lo expuesto y a lo dispuesto por el </w:t>
      </w:r>
      <w:r w:rsidR="00D51BF6">
        <w:t>A</w:t>
      </w:r>
      <w:r w:rsidRPr="004E1EEF">
        <w:t xml:space="preserve">rtículo 211 </w:t>
      </w:r>
      <w:r w:rsidR="005911F9">
        <w:t>L</w:t>
      </w:r>
      <w:r w:rsidRPr="004E1EEF">
        <w:t xml:space="preserve">iteral B) de la Constitución de la </w:t>
      </w:r>
      <w:r w:rsidRPr="00DD5F22">
        <w:t>República;</w:t>
      </w:r>
    </w:p>
    <w:p w:rsidR="00AE780E" w:rsidRPr="00DD5F22" w:rsidRDefault="00AE780E" w:rsidP="005911F9">
      <w:pPr>
        <w:pStyle w:val="Sangradetextonormal"/>
        <w:ind w:firstLine="0"/>
        <w:jc w:val="center"/>
        <w:rPr>
          <w:b/>
        </w:rPr>
      </w:pPr>
      <w:r w:rsidRPr="00DD5F22">
        <w:rPr>
          <w:b/>
        </w:rPr>
        <w:t>EL TRIBUNAL ACUERDA</w:t>
      </w:r>
    </w:p>
    <w:p w:rsidR="00A44638" w:rsidRPr="00A44638" w:rsidRDefault="00AE780E" w:rsidP="005911F9">
      <w:pPr>
        <w:pStyle w:val="Sangradetextonormal"/>
        <w:numPr>
          <w:ilvl w:val="0"/>
          <w:numId w:val="1"/>
        </w:numPr>
        <w:ind w:left="284" w:hanging="284"/>
        <w:rPr>
          <w:b/>
        </w:rPr>
      </w:pPr>
      <w:r w:rsidRPr="00DD5F22">
        <w:t xml:space="preserve">Mantener la observación formulada </w:t>
      </w:r>
      <w:r>
        <w:t xml:space="preserve">en </w:t>
      </w:r>
      <w:r w:rsidR="00A44638">
        <w:t>Resolución</w:t>
      </w:r>
      <w:r w:rsidR="00A44638" w:rsidRPr="00E40B34">
        <w:rPr>
          <w:spacing w:val="-3"/>
          <w:lang w:val="es-ES_tradnl"/>
        </w:rPr>
        <w:t xml:space="preserve"> Nº</w:t>
      </w:r>
      <w:r w:rsidR="00A44638">
        <w:rPr>
          <w:spacing w:val="-3"/>
          <w:lang w:val="es-ES_tradnl"/>
        </w:rPr>
        <w:t xml:space="preserve"> 3894/2017 adoptada en Sesión de fecha 22.11.17;</w:t>
      </w:r>
    </w:p>
    <w:p w:rsidR="00AE780E" w:rsidRPr="00A44638" w:rsidRDefault="00AE780E" w:rsidP="005911F9">
      <w:pPr>
        <w:pStyle w:val="Sangradetextonormal"/>
        <w:numPr>
          <w:ilvl w:val="0"/>
          <w:numId w:val="1"/>
        </w:numPr>
        <w:ind w:left="284" w:hanging="284"/>
        <w:rPr>
          <w:b/>
        </w:rPr>
      </w:pPr>
      <w:r w:rsidRPr="00DD5F22">
        <w:t>D</w:t>
      </w:r>
      <w:r>
        <w:t>ar cuenta a la Asamblea General;</w:t>
      </w:r>
      <w:r w:rsidR="005911F9">
        <w:t xml:space="preserve"> y</w:t>
      </w:r>
    </w:p>
    <w:p w:rsidR="00AE780E" w:rsidRPr="00DD5F22" w:rsidRDefault="00AE780E" w:rsidP="005911F9">
      <w:pPr>
        <w:pStyle w:val="Sangradetextonormal"/>
        <w:numPr>
          <w:ilvl w:val="0"/>
          <w:numId w:val="1"/>
        </w:numPr>
        <w:ind w:left="284" w:hanging="284"/>
        <w:rPr>
          <w:b/>
        </w:rPr>
      </w:pPr>
      <w:r w:rsidRPr="00DD5F22">
        <w:t>Comunicar al Poder Ejecutivo</w:t>
      </w:r>
      <w:r>
        <w:t xml:space="preserve">;  </w:t>
      </w:r>
    </w:p>
    <w:p w:rsidR="00AE780E" w:rsidRDefault="00AE780E" w:rsidP="00AE780E">
      <w:pPr>
        <w:pStyle w:val="Sangradetextonormal"/>
        <w:spacing w:after="120"/>
        <w:ind w:firstLine="0"/>
        <w:rPr>
          <w:b/>
          <w:bCs/>
          <w:i/>
          <w:iCs/>
          <w:color w:val="FF0000"/>
        </w:rPr>
      </w:pPr>
      <w:bookmarkStart w:id="0" w:name="_GoBack"/>
      <w:bookmarkEnd w:id="0"/>
    </w:p>
    <w:p w:rsidR="00AE780E" w:rsidRDefault="00AE780E" w:rsidP="00AE780E">
      <w:pPr>
        <w:pStyle w:val="Sangradetextonormal"/>
        <w:spacing w:after="120"/>
        <w:ind w:firstLine="0"/>
        <w:rPr>
          <w:b/>
          <w:bCs/>
          <w:i/>
          <w:iCs/>
          <w:color w:val="FF0000"/>
        </w:rPr>
      </w:pPr>
    </w:p>
    <w:p w:rsidR="00AE780E" w:rsidRPr="005053AA" w:rsidRDefault="00AE780E" w:rsidP="00AE780E">
      <w:pPr>
        <w:pStyle w:val="Sangradetextonormal"/>
        <w:spacing w:after="120"/>
        <w:ind w:firstLine="0"/>
        <w:rPr>
          <w:b/>
          <w:bCs/>
          <w:i/>
          <w:iCs/>
          <w:color w:val="FF0000"/>
        </w:rPr>
      </w:pPr>
    </w:p>
    <w:p w:rsidR="00810DB2" w:rsidRPr="005911F9" w:rsidRDefault="005911F9" w:rsidP="00AE780E">
      <w:pPr>
        <w:spacing w:line="360" w:lineRule="auto"/>
        <w:rPr>
          <w:rFonts w:ascii="Arial" w:hAnsi="Arial" w:cs="Arial"/>
        </w:rPr>
      </w:pPr>
      <w:proofErr w:type="spellStart"/>
      <w:proofErr w:type="gramStart"/>
      <w:r w:rsidRPr="005911F9">
        <w:rPr>
          <w:rFonts w:ascii="Arial" w:hAnsi="Arial" w:cs="Arial"/>
        </w:rPr>
        <w:t>cr</w:t>
      </w:r>
      <w:proofErr w:type="spellEnd"/>
      <w:proofErr w:type="gramEnd"/>
    </w:p>
    <w:sectPr w:rsidR="00810DB2" w:rsidRPr="005911F9" w:rsidSect="005911F9">
      <w:footerReference w:type="even" r:id="rId8"/>
      <w:footerReference w:type="default" r:id="rId9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638" w:rsidRDefault="00A44638" w:rsidP="00A44638">
      <w:r>
        <w:separator/>
      </w:r>
    </w:p>
  </w:endnote>
  <w:endnote w:type="continuationSeparator" w:id="0">
    <w:p w:rsidR="00A44638" w:rsidRDefault="00A44638" w:rsidP="00A4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D75" w:rsidRDefault="000678C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77D75" w:rsidRDefault="005911F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D75" w:rsidRDefault="000678C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911F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77D75" w:rsidRDefault="005911F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638" w:rsidRDefault="00A44638" w:rsidP="00A44638">
      <w:r>
        <w:separator/>
      </w:r>
    </w:p>
  </w:footnote>
  <w:footnote w:type="continuationSeparator" w:id="0">
    <w:p w:rsidR="00A44638" w:rsidRDefault="00A44638" w:rsidP="00A44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F2CC1"/>
    <w:multiLevelType w:val="hybridMultilevel"/>
    <w:tmpl w:val="19122676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0E"/>
    <w:rsid w:val="0005507B"/>
    <w:rsid w:val="000678C6"/>
    <w:rsid w:val="00093913"/>
    <w:rsid w:val="00130655"/>
    <w:rsid w:val="004530B0"/>
    <w:rsid w:val="005911F9"/>
    <w:rsid w:val="00A44638"/>
    <w:rsid w:val="00AB72A6"/>
    <w:rsid w:val="00AE780E"/>
    <w:rsid w:val="00CC35A2"/>
    <w:rsid w:val="00D5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E780E"/>
    <w:pPr>
      <w:keepNext/>
      <w:spacing w:line="360" w:lineRule="auto"/>
      <w:jc w:val="center"/>
      <w:outlineLvl w:val="0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E780E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semiHidden/>
    <w:rsid w:val="00AE780E"/>
    <w:pPr>
      <w:tabs>
        <w:tab w:val="center" w:pos="4252"/>
        <w:tab w:val="right" w:pos="8504"/>
      </w:tabs>
    </w:pPr>
    <w:rPr>
      <w:rFonts w:ascii="Arial" w:hAnsi="Arial"/>
    </w:rPr>
  </w:style>
  <w:style w:type="character" w:customStyle="1" w:styleId="PiedepginaCar">
    <w:name w:val="Pie de página Car"/>
    <w:basedOn w:val="Fuentedeprrafopredeter"/>
    <w:link w:val="Piedepgina"/>
    <w:semiHidden/>
    <w:rsid w:val="00AE780E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AE780E"/>
  </w:style>
  <w:style w:type="paragraph" w:styleId="Sangradetextonormal">
    <w:name w:val="Body Text Indent"/>
    <w:basedOn w:val="Normal"/>
    <w:link w:val="SangradetextonormalCar"/>
    <w:semiHidden/>
    <w:rsid w:val="00AE780E"/>
    <w:pPr>
      <w:spacing w:line="360" w:lineRule="auto"/>
      <w:ind w:firstLine="708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E780E"/>
    <w:rPr>
      <w:rFonts w:ascii="Arial" w:eastAsia="Times New Roman" w:hAnsi="Arial" w:cs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446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463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E780E"/>
    <w:pPr>
      <w:keepNext/>
      <w:spacing w:line="360" w:lineRule="auto"/>
      <w:jc w:val="center"/>
      <w:outlineLvl w:val="0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E780E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semiHidden/>
    <w:rsid w:val="00AE780E"/>
    <w:pPr>
      <w:tabs>
        <w:tab w:val="center" w:pos="4252"/>
        <w:tab w:val="right" w:pos="8504"/>
      </w:tabs>
    </w:pPr>
    <w:rPr>
      <w:rFonts w:ascii="Arial" w:hAnsi="Arial"/>
    </w:rPr>
  </w:style>
  <w:style w:type="character" w:customStyle="1" w:styleId="PiedepginaCar">
    <w:name w:val="Pie de página Car"/>
    <w:basedOn w:val="Fuentedeprrafopredeter"/>
    <w:link w:val="Piedepgina"/>
    <w:semiHidden/>
    <w:rsid w:val="00AE780E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AE780E"/>
  </w:style>
  <w:style w:type="paragraph" w:styleId="Sangradetextonormal">
    <w:name w:val="Body Text Indent"/>
    <w:basedOn w:val="Normal"/>
    <w:link w:val="SangradetextonormalCar"/>
    <w:semiHidden/>
    <w:rsid w:val="00AE780E"/>
    <w:pPr>
      <w:spacing w:line="360" w:lineRule="auto"/>
      <w:ind w:firstLine="708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E780E"/>
    <w:rPr>
      <w:rFonts w:ascii="Arial" w:eastAsia="Times New Roman" w:hAnsi="Arial" w:cs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446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463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Miriam Cristina Rivero</cp:lastModifiedBy>
  <cp:revision>2</cp:revision>
  <cp:lastPrinted>2018-01-18T19:03:00Z</cp:lastPrinted>
  <dcterms:created xsi:type="dcterms:W3CDTF">2018-01-18T19:04:00Z</dcterms:created>
  <dcterms:modified xsi:type="dcterms:W3CDTF">2018-01-18T19:04:00Z</dcterms:modified>
</cp:coreProperties>
</file>