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49C" w:rsidRPr="00161683" w:rsidRDefault="0078149C" w:rsidP="0078149C">
      <w:pPr>
        <w:tabs>
          <w:tab w:val="center" w:pos="4253"/>
        </w:tabs>
        <w:suppressAutoHyphens/>
        <w:jc w:val="right"/>
        <w:rPr>
          <w:rFonts w:cs="Arial"/>
          <w:b/>
          <w:lang w:val="es-ES_tradnl"/>
        </w:rPr>
      </w:pPr>
      <w:proofErr w:type="spellStart"/>
      <w:r>
        <w:rPr>
          <w:rFonts w:cs="Arial"/>
          <w:b/>
          <w:lang w:val="es-ES_tradnl"/>
        </w:rPr>
        <w:t>RES.Nº</w:t>
      </w:r>
      <w:proofErr w:type="spellEnd"/>
      <w:r>
        <w:rPr>
          <w:rFonts w:cs="Arial"/>
          <w:b/>
          <w:lang w:val="es-ES_tradnl"/>
        </w:rPr>
        <w:t xml:space="preserve"> </w:t>
      </w:r>
      <w:r>
        <w:rPr>
          <w:rFonts w:cs="Arial"/>
          <w:b/>
          <w:lang w:val="es-ES_tradnl"/>
        </w:rPr>
        <w:t>4168</w:t>
      </w:r>
      <w:r>
        <w:rPr>
          <w:rFonts w:cs="Arial"/>
          <w:b/>
          <w:lang w:val="es-ES_tradnl"/>
        </w:rPr>
        <w:t>/17</w:t>
      </w:r>
    </w:p>
    <w:p w:rsidR="0078149C" w:rsidRDefault="0078149C" w:rsidP="0078149C">
      <w:pPr>
        <w:tabs>
          <w:tab w:val="center" w:pos="4253"/>
        </w:tabs>
        <w:suppressAutoHyphens/>
        <w:jc w:val="center"/>
        <w:rPr>
          <w:rFonts w:cs="Arial"/>
          <w:b/>
          <w:lang w:val="es-ES_tradnl"/>
        </w:rPr>
      </w:pPr>
    </w:p>
    <w:p w:rsidR="0078149C" w:rsidRPr="004746D1" w:rsidRDefault="0078149C" w:rsidP="0078149C">
      <w:pPr>
        <w:tabs>
          <w:tab w:val="center" w:pos="4253"/>
        </w:tabs>
        <w:suppressAutoHyphens/>
        <w:jc w:val="center"/>
        <w:rPr>
          <w:rFonts w:cs="Arial"/>
          <w:b/>
          <w:lang w:val="es-ES_tradnl"/>
        </w:rPr>
      </w:pPr>
      <w:r w:rsidRPr="004746D1">
        <w:rPr>
          <w:rFonts w:cs="Arial"/>
          <w:b/>
          <w:lang w:val="es-ES_tradnl"/>
        </w:rPr>
        <w:t>RESOLUCION ADOPTADA POR EL</w:t>
      </w:r>
    </w:p>
    <w:p w:rsidR="0078149C" w:rsidRPr="004746D1" w:rsidRDefault="0078149C" w:rsidP="0078149C">
      <w:pPr>
        <w:tabs>
          <w:tab w:val="left" w:pos="-720"/>
        </w:tabs>
        <w:suppressAutoHyphens/>
        <w:jc w:val="center"/>
        <w:rPr>
          <w:rFonts w:cs="Arial"/>
          <w:b/>
          <w:lang w:val="es-ES_tradnl"/>
        </w:rPr>
      </w:pPr>
    </w:p>
    <w:p w:rsidR="0078149C" w:rsidRPr="004746D1" w:rsidRDefault="0078149C" w:rsidP="0078149C">
      <w:pPr>
        <w:tabs>
          <w:tab w:val="center" w:pos="4253"/>
        </w:tabs>
        <w:suppressAutoHyphens/>
        <w:jc w:val="center"/>
        <w:rPr>
          <w:rFonts w:cs="Arial"/>
          <w:b/>
          <w:lang w:val="es-ES_tradnl"/>
        </w:rPr>
      </w:pPr>
      <w:r w:rsidRPr="004746D1">
        <w:rPr>
          <w:rFonts w:cs="Arial"/>
          <w:b/>
          <w:lang w:val="es-ES_tradnl"/>
        </w:rPr>
        <w:t>TRIBUNAL DE CUENTAS</w:t>
      </w:r>
    </w:p>
    <w:p w:rsidR="0078149C" w:rsidRPr="004746D1" w:rsidRDefault="0078149C" w:rsidP="0078149C">
      <w:pPr>
        <w:tabs>
          <w:tab w:val="left" w:pos="-720"/>
        </w:tabs>
        <w:suppressAutoHyphens/>
        <w:jc w:val="center"/>
        <w:rPr>
          <w:rFonts w:cs="Arial"/>
          <w:b/>
          <w:lang w:val="es-ES_tradnl"/>
        </w:rPr>
      </w:pPr>
    </w:p>
    <w:p w:rsidR="0078149C" w:rsidRPr="004746D1" w:rsidRDefault="0078149C" w:rsidP="0078149C">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13 DE DICIEMBRE DE 2017</w:t>
      </w:r>
    </w:p>
    <w:p w:rsidR="0078149C" w:rsidRPr="004746D1" w:rsidRDefault="0078149C" w:rsidP="0078149C">
      <w:pPr>
        <w:tabs>
          <w:tab w:val="center" w:pos="4253"/>
        </w:tabs>
        <w:suppressAutoHyphens/>
        <w:jc w:val="center"/>
        <w:rPr>
          <w:rFonts w:cs="Arial"/>
          <w:b/>
          <w:lang w:val="es-ES_tradnl"/>
        </w:rPr>
      </w:pPr>
    </w:p>
    <w:p w:rsidR="0078149C" w:rsidRPr="004746D1" w:rsidRDefault="0078149C" w:rsidP="0078149C">
      <w:pPr>
        <w:tabs>
          <w:tab w:val="center" w:pos="4253"/>
        </w:tabs>
        <w:suppressAutoHyphens/>
        <w:jc w:val="center"/>
        <w:rPr>
          <w:rFonts w:cs="Arial"/>
          <w:b/>
          <w:lang w:val="es-ES_tradnl"/>
        </w:rPr>
      </w:pPr>
      <w:r>
        <w:rPr>
          <w:rFonts w:cs="Arial"/>
          <w:b/>
          <w:lang w:val="es-ES_tradnl"/>
        </w:rPr>
        <w:t>(</w:t>
      </w:r>
      <w:proofErr w:type="spellStart"/>
      <w:r>
        <w:rPr>
          <w:rFonts w:cs="Arial"/>
          <w:b/>
          <w:lang w:val="es-ES_tradnl"/>
        </w:rPr>
        <w:t>E.E.Nº</w:t>
      </w:r>
      <w:proofErr w:type="spellEnd"/>
      <w:r>
        <w:rPr>
          <w:rFonts w:cs="Arial"/>
          <w:b/>
          <w:lang w:val="es-ES_tradnl"/>
        </w:rPr>
        <w:t xml:space="preserve"> </w:t>
      </w:r>
      <w:r>
        <w:rPr>
          <w:rFonts w:cs="Arial"/>
          <w:b/>
          <w:lang w:val="es-ES_tradnl"/>
        </w:rPr>
        <w:t>2016-17-1-0003431</w:t>
      </w:r>
      <w:r w:rsidRPr="004746D1">
        <w:rPr>
          <w:rFonts w:cs="Arial"/>
          <w:b/>
          <w:lang w:val="es-ES_tradnl"/>
        </w:rPr>
        <w:t xml:space="preserve">, </w:t>
      </w:r>
      <w:proofErr w:type="spellStart"/>
      <w:r w:rsidRPr="004746D1">
        <w:rPr>
          <w:rFonts w:cs="Arial"/>
          <w:b/>
          <w:lang w:val="es-ES_tradnl"/>
        </w:rPr>
        <w:t>E</w:t>
      </w:r>
      <w:r>
        <w:rPr>
          <w:rFonts w:cs="Arial"/>
          <w:b/>
          <w:lang w:val="es-ES_tradnl"/>
        </w:rPr>
        <w:t>nt</w:t>
      </w:r>
      <w:r w:rsidRPr="004746D1">
        <w:rPr>
          <w:rFonts w:cs="Arial"/>
          <w:b/>
          <w:lang w:val="es-ES_tradnl"/>
        </w:rPr>
        <w:t>.</w:t>
      </w:r>
      <w:r>
        <w:rPr>
          <w:rFonts w:cs="Arial"/>
          <w:b/>
          <w:lang w:val="es-ES_tradnl"/>
        </w:rPr>
        <w:t>N°</w:t>
      </w:r>
      <w:proofErr w:type="spellEnd"/>
      <w:r>
        <w:rPr>
          <w:rFonts w:cs="Arial"/>
          <w:b/>
          <w:lang w:val="es-ES_tradnl"/>
        </w:rPr>
        <w:t xml:space="preserve"> 7044</w:t>
      </w:r>
      <w:r w:rsidRPr="004746D1">
        <w:rPr>
          <w:rFonts w:cs="Arial"/>
          <w:b/>
          <w:lang w:val="es-ES_tradnl"/>
        </w:rPr>
        <w:t>/</w:t>
      </w:r>
      <w:r>
        <w:rPr>
          <w:rFonts w:cs="Arial"/>
          <w:b/>
          <w:lang w:val="es-ES_tradnl"/>
        </w:rPr>
        <w:t>17</w:t>
      </w:r>
      <w:r w:rsidRPr="004746D1">
        <w:rPr>
          <w:rFonts w:cs="Arial"/>
          <w:b/>
          <w:lang w:val="es-ES_tradnl"/>
        </w:rPr>
        <w:t>)</w:t>
      </w:r>
    </w:p>
    <w:p w:rsidR="0078149C" w:rsidRPr="004746D1" w:rsidRDefault="0078149C" w:rsidP="0078149C">
      <w:pPr>
        <w:tabs>
          <w:tab w:val="center" w:pos="4253"/>
        </w:tabs>
        <w:suppressAutoHyphens/>
        <w:spacing w:line="360" w:lineRule="auto"/>
        <w:jc w:val="center"/>
        <w:rPr>
          <w:rFonts w:cs="Arial"/>
          <w:spacing w:val="-3"/>
          <w:lang w:val="es-ES_tradnl"/>
        </w:rPr>
      </w:pPr>
    </w:p>
    <w:p w:rsidR="00FE1D52" w:rsidRDefault="00FE1D52" w:rsidP="0078149C">
      <w:pPr>
        <w:spacing w:line="360" w:lineRule="auto"/>
        <w:ind w:firstLine="709"/>
        <w:jc w:val="both"/>
      </w:pPr>
      <w:r>
        <w:rPr>
          <w:b/>
          <w:bCs/>
        </w:rPr>
        <w:t>VISTO</w:t>
      </w:r>
      <w:r w:rsidR="00CF6388">
        <w:rPr>
          <w:b/>
          <w:bCs/>
        </w:rPr>
        <w:t>:</w:t>
      </w:r>
      <w:r>
        <w:t xml:space="preserve"> las actuaciones remitidas por el </w:t>
      </w:r>
      <w:r>
        <w:rPr>
          <w:rFonts w:cs="Arial"/>
          <w:lang w:val="es-MX"/>
        </w:rPr>
        <w:t>Ministerio de Transporte y Obras Públicas (MTOP)</w:t>
      </w:r>
      <w:r>
        <w:t xml:space="preserve">, relacionadas con el acuerdo </w:t>
      </w:r>
      <w:r w:rsidR="00CF6388">
        <w:t>complementario al C</w:t>
      </w:r>
      <w:r>
        <w:t>onvenio</w:t>
      </w:r>
      <w:r>
        <w:rPr>
          <w:rFonts w:cs="Arial"/>
          <w:bCs/>
        </w:rPr>
        <w:t xml:space="preserve"> </w:t>
      </w:r>
      <w:r>
        <w:t xml:space="preserve">suscrito con el Ministerio de Ganadería, Agricultura y Pesca (MGAP); </w:t>
      </w:r>
    </w:p>
    <w:p w:rsidR="00FE1D52" w:rsidRDefault="00FE1D52" w:rsidP="00CF6388">
      <w:pPr>
        <w:tabs>
          <w:tab w:val="left" w:pos="1800"/>
        </w:tabs>
        <w:spacing w:line="360" w:lineRule="auto"/>
        <w:ind w:firstLine="709"/>
        <w:jc w:val="both"/>
        <w:rPr>
          <w:rFonts w:cs="Arial"/>
          <w:bCs/>
        </w:rPr>
      </w:pPr>
      <w:r>
        <w:rPr>
          <w:b/>
          <w:bCs/>
        </w:rPr>
        <w:t xml:space="preserve">RESULTANDO: 1) </w:t>
      </w:r>
      <w:r>
        <w:t xml:space="preserve">que el </w:t>
      </w:r>
      <w:r>
        <w:rPr>
          <w:rFonts w:cs="Arial"/>
          <w:lang w:val="es-MX"/>
        </w:rPr>
        <w:t xml:space="preserve">Ministerio de Transporte y Obras Públicas </w:t>
      </w:r>
      <w:r>
        <w:rPr>
          <w:rFonts w:cs="Arial"/>
          <w:bCs/>
        </w:rPr>
        <w:t xml:space="preserve">remitió </w:t>
      </w:r>
      <w:r w:rsidR="008A55E5">
        <w:rPr>
          <w:rFonts w:cs="Arial"/>
          <w:bCs/>
        </w:rPr>
        <w:t>a este Tribunal</w:t>
      </w:r>
      <w:r w:rsidR="00CF6388">
        <w:rPr>
          <w:rFonts w:cs="Arial"/>
          <w:bCs/>
        </w:rPr>
        <w:t>,</w:t>
      </w:r>
      <w:r w:rsidR="008A55E5">
        <w:rPr>
          <w:rFonts w:cs="Arial"/>
          <w:bCs/>
        </w:rPr>
        <w:t xml:space="preserve"> en su oportunidad</w:t>
      </w:r>
      <w:r w:rsidR="00CF6388">
        <w:rPr>
          <w:rFonts w:cs="Arial"/>
          <w:bCs/>
        </w:rPr>
        <w:t>,</w:t>
      </w:r>
      <w:r>
        <w:rPr>
          <w:rFonts w:cs="Arial"/>
          <w:bCs/>
        </w:rPr>
        <w:t xml:space="preserve"> </w:t>
      </w:r>
      <w:r w:rsidR="00CF6388">
        <w:rPr>
          <w:rFonts w:cs="Arial"/>
          <w:bCs/>
        </w:rPr>
        <w:t>C</w:t>
      </w:r>
      <w:r>
        <w:rPr>
          <w:rFonts w:cs="Arial"/>
          <w:bCs/>
        </w:rPr>
        <w:t xml:space="preserve">onvenio marco suscrito con </w:t>
      </w:r>
      <w:r>
        <w:t>el Ministerio de Ganadería, Agricultura y Pesca (MGAP)</w:t>
      </w:r>
      <w:r>
        <w:rPr>
          <w:rFonts w:cs="Arial"/>
          <w:bCs/>
        </w:rPr>
        <w:t xml:space="preserve"> con fecha </w:t>
      </w:r>
      <w:r w:rsidR="00CF6388">
        <w:rPr>
          <w:rFonts w:cs="Arial"/>
          <w:bCs/>
        </w:rPr>
        <w:t>0</w:t>
      </w:r>
      <w:r>
        <w:rPr>
          <w:rFonts w:cs="Arial"/>
          <w:bCs/>
        </w:rPr>
        <w:t>8</w:t>
      </w:r>
      <w:r w:rsidR="00CF6388">
        <w:rPr>
          <w:rFonts w:cs="Arial"/>
          <w:bCs/>
        </w:rPr>
        <w:t>/04/</w:t>
      </w:r>
      <w:r>
        <w:rPr>
          <w:rFonts w:cs="Arial"/>
          <w:bCs/>
        </w:rPr>
        <w:t>16,</w:t>
      </w:r>
      <w:r w:rsidR="008A55E5">
        <w:rPr>
          <w:rFonts w:cs="Arial"/>
          <w:bCs/>
        </w:rPr>
        <w:t xml:space="preserve"> c</w:t>
      </w:r>
      <w:r>
        <w:rPr>
          <w:rFonts w:cs="Arial"/>
          <w:bCs/>
        </w:rPr>
        <w:t xml:space="preserve">on el fin de coordinar la cooperación técnica </w:t>
      </w:r>
      <w:proofErr w:type="spellStart"/>
      <w:r>
        <w:rPr>
          <w:rFonts w:cs="Arial"/>
          <w:bCs/>
        </w:rPr>
        <w:t>interorgánica</w:t>
      </w:r>
      <w:proofErr w:type="spellEnd"/>
      <w:r>
        <w:rPr>
          <w:rFonts w:cs="Arial"/>
          <w:bCs/>
        </w:rPr>
        <w:t xml:space="preserve"> </w:t>
      </w:r>
      <w:r w:rsidR="00C95855">
        <w:rPr>
          <w:rFonts w:cs="Arial"/>
          <w:bCs/>
        </w:rPr>
        <w:t>por</w:t>
      </w:r>
      <w:r>
        <w:rPr>
          <w:rFonts w:cs="Arial"/>
          <w:bCs/>
        </w:rPr>
        <w:t xml:space="preserve"> ambas Secretarías de Estado; </w:t>
      </w:r>
    </w:p>
    <w:p w:rsidR="00CF6388" w:rsidRDefault="004D7FEF" w:rsidP="00CF6388">
      <w:pPr>
        <w:tabs>
          <w:tab w:val="left" w:pos="1800"/>
        </w:tabs>
        <w:spacing w:line="360" w:lineRule="auto"/>
        <w:ind w:firstLine="2552"/>
        <w:jc w:val="both"/>
        <w:rPr>
          <w:rFonts w:cs="Arial"/>
          <w:bCs/>
        </w:rPr>
      </w:pPr>
      <w:r w:rsidRPr="00074844">
        <w:rPr>
          <w:rFonts w:cs="Arial"/>
          <w:b/>
          <w:bCs/>
        </w:rPr>
        <w:t xml:space="preserve">2) </w:t>
      </w:r>
      <w:r>
        <w:rPr>
          <w:rFonts w:cs="Arial"/>
          <w:bCs/>
        </w:rPr>
        <w:t xml:space="preserve">que </w:t>
      </w:r>
      <w:r w:rsidR="008A55E5">
        <w:rPr>
          <w:rFonts w:cs="Arial"/>
          <w:bCs/>
        </w:rPr>
        <w:t xml:space="preserve">según se </w:t>
      </w:r>
      <w:r w:rsidR="00D90ECF">
        <w:rPr>
          <w:rFonts w:cs="Arial"/>
          <w:bCs/>
        </w:rPr>
        <w:t>dispuso</w:t>
      </w:r>
      <w:r w:rsidR="008A55E5">
        <w:rPr>
          <w:rFonts w:cs="Arial"/>
          <w:bCs/>
        </w:rPr>
        <w:t xml:space="preserve"> en dicho </w:t>
      </w:r>
      <w:r w:rsidR="00CF6388">
        <w:rPr>
          <w:rFonts w:cs="Arial"/>
          <w:bCs/>
        </w:rPr>
        <w:t>C</w:t>
      </w:r>
      <w:r w:rsidR="008A55E5">
        <w:rPr>
          <w:rFonts w:cs="Arial"/>
          <w:bCs/>
        </w:rPr>
        <w:t>onvenio</w:t>
      </w:r>
      <w:r>
        <w:rPr>
          <w:rFonts w:cs="Arial"/>
          <w:bCs/>
        </w:rPr>
        <w:t xml:space="preserve">, los objetivos </w:t>
      </w:r>
      <w:r w:rsidR="008A55E5">
        <w:rPr>
          <w:rFonts w:cs="Arial"/>
          <w:bCs/>
        </w:rPr>
        <w:t xml:space="preserve">del mismo </w:t>
      </w:r>
      <w:r>
        <w:rPr>
          <w:rFonts w:cs="Arial"/>
          <w:bCs/>
        </w:rPr>
        <w:t>se instrumentar</w:t>
      </w:r>
      <w:r w:rsidR="008A55E5">
        <w:rPr>
          <w:rFonts w:cs="Arial"/>
          <w:bCs/>
        </w:rPr>
        <w:t>ían</w:t>
      </w:r>
      <w:r>
        <w:rPr>
          <w:rFonts w:cs="Arial"/>
          <w:bCs/>
        </w:rPr>
        <w:t xml:space="preserve"> cumpliendo con los siguientes cometidos: </w:t>
      </w:r>
      <w:bookmarkStart w:id="0" w:name="_GoBack"/>
      <w:bookmarkEnd w:id="0"/>
    </w:p>
    <w:p w:rsidR="00CF6388" w:rsidRDefault="004D7FEF" w:rsidP="00CF6388">
      <w:pPr>
        <w:tabs>
          <w:tab w:val="left" w:pos="1800"/>
        </w:tabs>
        <w:spacing w:line="360" w:lineRule="auto"/>
        <w:jc w:val="both"/>
        <w:rPr>
          <w:rFonts w:cs="Arial"/>
          <w:bCs/>
        </w:rPr>
      </w:pPr>
      <w:r w:rsidRPr="00CF6388">
        <w:rPr>
          <w:rFonts w:cs="Arial"/>
          <w:b/>
          <w:bCs/>
        </w:rPr>
        <w:t>i)</w:t>
      </w:r>
      <w:r>
        <w:rPr>
          <w:rFonts w:cs="Arial"/>
          <w:bCs/>
        </w:rPr>
        <w:t xml:space="preserve"> la realización de obras de reparación </w:t>
      </w:r>
      <w:r w:rsidR="00D57965">
        <w:rPr>
          <w:rFonts w:cs="Arial"/>
          <w:bCs/>
        </w:rPr>
        <w:t>y/o</w:t>
      </w:r>
      <w:r>
        <w:rPr>
          <w:rFonts w:cs="Arial"/>
          <w:bCs/>
        </w:rPr>
        <w:t xml:space="preserve"> ampliación, servicios de mantenimiento y/o conservación, obras nuevas en edificios sede o de asiento de dependencias del MGAP, así como otras obras de prioridad institucional para el MGAP</w:t>
      </w:r>
      <w:r w:rsidR="00CF6388">
        <w:rPr>
          <w:rFonts w:cs="Arial"/>
          <w:bCs/>
        </w:rPr>
        <w:t>;</w:t>
      </w:r>
      <w:r>
        <w:rPr>
          <w:rFonts w:cs="Arial"/>
          <w:bCs/>
        </w:rPr>
        <w:t xml:space="preserve"> y; </w:t>
      </w:r>
    </w:p>
    <w:p w:rsidR="004D7FEF" w:rsidRDefault="004D7FEF" w:rsidP="00CF6388">
      <w:pPr>
        <w:tabs>
          <w:tab w:val="left" w:pos="1800"/>
        </w:tabs>
        <w:spacing w:line="360" w:lineRule="auto"/>
        <w:jc w:val="both"/>
        <w:rPr>
          <w:rFonts w:cs="Arial"/>
          <w:bCs/>
        </w:rPr>
      </w:pPr>
      <w:r w:rsidRPr="00CF6388">
        <w:rPr>
          <w:rFonts w:cs="Arial"/>
          <w:b/>
          <w:bCs/>
        </w:rPr>
        <w:t>ii)</w:t>
      </w:r>
      <w:r>
        <w:rPr>
          <w:rFonts w:cs="Arial"/>
          <w:bCs/>
        </w:rPr>
        <w:t xml:space="preserve"> </w:t>
      </w:r>
      <w:r w:rsidR="007F5D8B">
        <w:rPr>
          <w:rFonts w:cs="Arial"/>
          <w:bCs/>
        </w:rPr>
        <w:t xml:space="preserve"> </w:t>
      </w:r>
      <w:r>
        <w:rPr>
          <w:rFonts w:cs="Arial"/>
          <w:bCs/>
        </w:rPr>
        <w:t>la elaboración de Programas y Proyectos arquitectónicos que comprendan obras tales como las referidas anteriormente;</w:t>
      </w:r>
    </w:p>
    <w:p w:rsidR="00CF6388" w:rsidRDefault="00CF6388" w:rsidP="00CF6388">
      <w:pPr>
        <w:tabs>
          <w:tab w:val="left" w:pos="1800"/>
        </w:tabs>
        <w:spacing w:line="360" w:lineRule="auto"/>
        <w:ind w:firstLine="2552"/>
        <w:jc w:val="both"/>
        <w:rPr>
          <w:rFonts w:cs="Arial"/>
          <w:bCs/>
        </w:rPr>
      </w:pPr>
      <w:r>
        <w:rPr>
          <w:rFonts w:cs="Arial"/>
          <w:b/>
          <w:bCs/>
        </w:rPr>
        <w:t>3</w:t>
      </w:r>
      <w:r w:rsidR="004D7FEF" w:rsidRPr="000A105A">
        <w:rPr>
          <w:rFonts w:cs="Arial"/>
          <w:b/>
          <w:bCs/>
        </w:rPr>
        <w:t xml:space="preserve">) </w:t>
      </w:r>
      <w:r w:rsidR="004D7FEF">
        <w:rPr>
          <w:rFonts w:cs="Arial"/>
          <w:bCs/>
        </w:rPr>
        <w:t>que de conformidad a lo dispues</w:t>
      </w:r>
      <w:r>
        <w:rPr>
          <w:rFonts w:cs="Arial"/>
          <w:bCs/>
        </w:rPr>
        <w:t>to por la Cláusula tercera del C</w:t>
      </w:r>
      <w:r w:rsidR="004D7FEF">
        <w:rPr>
          <w:rFonts w:cs="Arial"/>
          <w:bCs/>
        </w:rPr>
        <w:t>onvenio, la Dirección Nacional d</w:t>
      </w:r>
      <w:r w:rsidR="008A55E5">
        <w:rPr>
          <w:rFonts w:cs="Arial"/>
          <w:bCs/>
        </w:rPr>
        <w:t>e Arquitectura del MTOP actuaría</w:t>
      </w:r>
      <w:r w:rsidR="004D7FEF">
        <w:rPr>
          <w:rFonts w:cs="Arial"/>
          <w:bCs/>
        </w:rPr>
        <w:t xml:space="preserve"> en obras y trabajos en régimen de ejecución de obra pública por administración directa y/o por contrato con empresas particulares;</w:t>
      </w:r>
    </w:p>
    <w:p w:rsidR="00CF6388" w:rsidRDefault="004D7FEF" w:rsidP="00CF6388">
      <w:pPr>
        <w:tabs>
          <w:tab w:val="left" w:pos="1800"/>
        </w:tabs>
        <w:spacing w:line="360" w:lineRule="auto"/>
        <w:ind w:firstLine="2552"/>
        <w:jc w:val="both"/>
        <w:rPr>
          <w:rFonts w:cs="Arial"/>
          <w:bCs/>
        </w:rPr>
      </w:pPr>
      <w:r w:rsidRPr="000A105A">
        <w:rPr>
          <w:rFonts w:cs="Arial"/>
          <w:b/>
          <w:bCs/>
        </w:rPr>
        <w:t>4)</w:t>
      </w:r>
      <w:r w:rsidR="008A55E5">
        <w:rPr>
          <w:rFonts w:cs="Arial"/>
          <w:bCs/>
        </w:rPr>
        <w:t xml:space="preserve"> que se estimó</w:t>
      </w:r>
      <w:r>
        <w:rPr>
          <w:rFonts w:cs="Arial"/>
          <w:bCs/>
        </w:rPr>
        <w:t xml:space="preserve"> que el total del acuerdo arriba</w:t>
      </w:r>
      <w:r w:rsidR="008A55E5">
        <w:rPr>
          <w:rFonts w:cs="Arial"/>
          <w:bCs/>
        </w:rPr>
        <w:t>ba</w:t>
      </w:r>
      <w:r>
        <w:rPr>
          <w:rFonts w:cs="Arial"/>
          <w:bCs/>
        </w:rPr>
        <w:t xml:space="preserve"> a </w:t>
      </w:r>
      <w:r w:rsidR="00CF6388">
        <w:rPr>
          <w:rFonts w:cs="Arial"/>
          <w:bCs/>
        </w:rPr>
        <w:t xml:space="preserve">      </w:t>
      </w:r>
      <w:r>
        <w:rPr>
          <w:rFonts w:cs="Arial"/>
          <w:bCs/>
        </w:rPr>
        <w:t>$ 80</w:t>
      </w:r>
      <w:r w:rsidR="00CF6388">
        <w:rPr>
          <w:rFonts w:cs="Arial"/>
          <w:bCs/>
        </w:rPr>
        <w:t>:</w:t>
      </w:r>
      <w:r>
        <w:rPr>
          <w:rFonts w:cs="Arial"/>
          <w:bCs/>
        </w:rPr>
        <w:t xml:space="preserve">000.000, en base al probable costo de las obras a desarrollarse, </w:t>
      </w:r>
      <w:r>
        <w:rPr>
          <w:rFonts w:cs="Arial"/>
          <w:bCs/>
        </w:rPr>
        <w:lastRenderedPageBreak/>
        <w:t>previniéndose que en caso de insuficienci</w:t>
      </w:r>
      <w:r w:rsidR="008A55E5">
        <w:rPr>
          <w:rFonts w:cs="Arial"/>
          <w:bCs/>
        </w:rPr>
        <w:t>a de créditos el MGAP gestionaría</w:t>
      </w:r>
      <w:r>
        <w:rPr>
          <w:rFonts w:cs="Arial"/>
          <w:bCs/>
        </w:rPr>
        <w:t xml:space="preserve"> el refuerzo correspondiente;</w:t>
      </w:r>
    </w:p>
    <w:p w:rsidR="00CF6388" w:rsidRDefault="004D7FEF" w:rsidP="00CF6388">
      <w:pPr>
        <w:tabs>
          <w:tab w:val="left" w:pos="1800"/>
        </w:tabs>
        <w:spacing w:line="360" w:lineRule="auto"/>
        <w:ind w:firstLine="2552"/>
        <w:jc w:val="both"/>
        <w:rPr>
          <w:rFonts w:cs="Arial"/>
          <w:bCs/>
        </w:rPr>
      </w:pPr>
      <w:r w:rsidRPr="000A105A">
        <w:rPr>
          <w:rFonts w:cs="Arial"/>
          <w:b/>
          <w:bCs/>
        </w:rPr>
        <w:t>5)</w:t>
      </w:r>
      <w:r>
        <w:rPr>
          <w:rFonts w:cs="Arial"/>
          <w:bCs/>
        </w:rPr>
        <w:t xml:space="preserve"> que ambas partes pacta</w:t>
      </w:r>
      <w:r w:rsidR="008A55E5">
        <w:rPr>
          <w:rFonts w:cs="Arial"/>
          <w:bCs/>
        </w:rPr>
        <w:t>ron</w:t>
      </w:r>
      <w:r>
        <w:rPr>
          <w:rFonts w:cs="Arial"/>
          <w:bCs/>
        </w:rPr>
        <w:t xml:space="preserve"> la posibilidad de elaborar y ejecutar acuerdos complementarios que especifiquen los programas, proyectos, obras y trabajos, su modalidad de ejecución, instrumentación y los montos a asignar a cada una de ellas;</w:t>
      </w:r>
    </w:p>
    <w:p w:rsidR="00CF6388" w:rsidRDefault="008A55E5" w:rsidP="00CF6388">
      <w:pPr>
        <w:tabs>
          <w:tab w:val="left" w:pos="1800"/>
        </w:tabs>
        <w:spacing w:line="360" w:lineRule="auto"/>
        <w:ind w:firstLine="2552"/>
        <w:jc w:val="both"/>
        <w:rPr>
          <w:rFonts w:cs="Arial"/>
          <w:bCs/>
        </w:rPr>
      </w:pPr>
      <w:r>
        <w:rPr>
          <w:rFonts w:cs="Arial"/>
          <w:b/>
          <w:bCs/>
        </w:rPr>
        <w:t>6</w:t>
      </w:r>
      <w:r w:rsidR="004D7FEF">
        <w:rPr>
          <w:rFonts w:cs="Arial"/>
          <w:b/>
          <w:bCs/>
        </w:rPr>
        <w:t>)</w:t>
      </w:r>
      <w:r w:rsidR="004D7FEF" w:rsidRPr="003467FA">
        <w:rPr>
          <w:rFonts w:cs="Arial"/>
          <w:b/>
          <w:bCs/>
        </w:rPr>
        <w:t xml:space="preserve"> </w:t>
      </w:r>
      <w:r w:rsidR="004D7FEF">
        <w:rPr>
          <w:rFonts w:cs="Arial"/>
          <w:bCs/>
        </w:rPr>
        <w:t xml:space="preserve">que de conformidad a lo </w:t>
      </w:r>
      <w:r w:rsidR="00D90ECF">
        <w:rPr>
          <w:rFonts w:cs="Arial"/>
          <w:bCs/>
        </w:rPr>
        <w:t xml:space="preserve"> </w:t>
      </w:r>
      <w:r w:rsidR="004D7FEF">
        <w:rPr>
          <w:rFonts w:cs="Arial"/>
          <w:bCs/>
        </w:rPr>
        <w:t>indica</w:t>
      </w:r>
      <w:r w:rsidR="00D90ECF">
        <w:rPr>
          <w:rFonts w:cs="Arial"/>
          <w:bCs/>
        </w:rPr>
        <w:t>do</w:t>
      </w:r>
      <w:r w:rsidR="004D7FEF">
        <w:rPr>
          <w:rFonts w:cs="Arial"/>
          <w:bCs/>
        </w:rPr>
        <w:t xml:space="preserve"> </w:t>
      </w:r>
      <w:r w:rsidR="00D90ECF">
        <w:rPr>
          <w:rFonts w:cs="Arial"/>
          <w:bCs/>
        </w:rPr>
        <w:t xml:space="preserve">en </w:t>
      </w:r>
      <w:r w:rsidR="004D7FEF">
        <w:rPr>
          <w:rFonts w:cs="Arial"/>
          <w:bCs/>
        </w:rPr>
        <w:t xml:space="preserve"> la </w:t>
      </w:r>
      <w:r w:rsidR="00CF6388">
        <w:rPr>
          <w:rFonts w:cs="Arial"/>
          <w:bCs/>
        </w:rPr>
        <w:t>C</w:t>
      </w:r>
      <w:r w:rsidR="004D7FEF">
        <w:rPr>
          <w:rFonts w:cs="Arial"/>
          <w:bCs/>
        </w:rPr>
        <w:t>láusula décima del</w:t>
      </w:r>
      <w:r w:rsidR="00CF6388">
        <w:rPr>
          <w:rFonts w:cs="Arial"/>
          <w:bCs/>
        </w:rPr>
        <w:t xml:space="preserve"> C</w:t>
      </w:r>
      <w:r w:rsidR="004D7FEF">
        <w:rPr>
          <w:rFonts w:cs="Arial"/>
          <w:bCs/>
        </w:rPr>
        <w:t xml:space="preserve">onvenio, la DNA </w:t>
      </w:r>
      <w:r>
        <w:rPr>
          <w:rFonts w:cs="Arial"/>
          <w:bCs/>
        </w:rPr>
        <w:t xml:space="preserve">contaba </w:t>
      </w:r>
      <w:r w:rsidR="004D7FEF">
        <w:rPr>
          <w:rFonts w:cs="Arial"/>
          <w:bCs/>
        </w:rPr>
        <w:t xml:space="preserve">en su poder </w:t>
      </w:r>
      <w:r w:rsidR="00D90ECF">
        <w:rPr>
          <w:rFonts w:cs="Arial"/>
          <w:bCs/>
        </w:rPr>
        <w:t xml:space="preserve">con </w:t>
      </w:r>
      <w:r w:rsidR="004D7FEF">
        <w:rPr>
          <w:rFonts w:cs="Arial"/>
          <w:bCs/>
        </w:rPr>
        <w:t xml:space="preserve">la suma de </w:t>
      </w:r>
      <w:r w:rsidR="00CF6388">
        <w:rPr>
          <w:rFonts w:cs="Arial"/>
          <w:bCs/>
        </w:rPr>
        <w:t xml:space="preserve">                   </w:t>
      </w:r>
      <w:r w:rsidR="004D7FEF">
        <w:rPr>
          <w:rFonts w:cs="Arial"/>
          <w:bCs/>
        </w:rPr>
        <w:t>$ 52</w:t>
      </w:r>
      <w:r w:rsidR="00CF6388">
        <w:rPr>
          <w:rFonts w:cs="Arial"/>
          <w:bCs/>
        </w:rPr>
        <w:t>:</w:t>
      </w:r>
      <w:r w:rsidR="004D7FEF">
        <w:rPr>
          <w:rFonts w:cs="Arial"/>
          <w:bCs/>
        </w:rPr>
        <w:t>062.367, monto que corresponde a los créditos transferidos por el MGAP al MTOP</w:t>
      </w:r>
      <w:r w:rsidR="00CF6388">
        <w:rPr>
          <w:rFonts w:cs="Arial"/>
          <w:bCs/>
        </w:rPr>
        <w:t>,</w:t>
      </w:r>
      <w:r w:rsidR="004D7FEF">
        <w:rPr>
          <w:rFonts w:cs="Arial"/>
          <w:bCs/>
        </w:rPr>
        <w:t xml:space="preserve"> en el marco del acuerdo suscrito con anterioridad al presente; indicándose por parte del MGAP que es de interés de esa Secretaría de Estado que los fondos se apliquen para solventar los trabajos a los que refiere el presente, previa intervención de legalidad por parte de este Tribunal;</w:t>
      </w:r>
    </w:p>
    <w:p w:rsidR="004D7FEF" w:rsidRDefault="00D90ECF" w:rsidP="00CF6388">
      <w:pPr>
        <w:tabs>
          <w:tab w:val="left" w:pos="1800"/>
        </w:tabs>
        <w:spacing w:line="360" w:lineRule="auto"/>
        <w:ind w:firstLine="2552"/>
        <w:jc w:val="both"/>
        <w:rPr>
          <w:rFonts w:cs="Arial"/>
        </w:rPr>
      </w:pPr>
      <w:r>
        <w:rPr>
          <w:rFonts w:cs="Arial"/>
          <w:b/>
          <w:bCs/>
        </w:rPr>
        <w:t>7</w:t>
      </w:r>
      <w:r w:rsidR="004D7FEF" w:rsidRPr="00074844">
        <w:rPr>
          <w:rFonts w:cs="Arial"/>
          <w:b/>
          <w:bCs/>
        </w:rPr>
        <w:t xml:space="preserve">) </w:t>
      </w:r>
      <w:r w:rsidR="004D7FEF">
        <w:rPr>
          <w:rFonts w:cs="Arial"/>
          <w:bCs/>
        </w:rPr>
        <w:t xml:space="preserve">que este Tribunal en </w:t>
      </w:r>
      <w:r w:rsidR="00CF6388">
        <w:rPr>
          <w:rFonts w:cs="Arial"/>
          <w:bCs/>
        </w:rPr>
        <w:t>S</w:t>
      </w:r>
      <w:r w:rsidR="004D7FEF">
        <w:rPr>
          <w:rFonts w:cs="Arial"/>
          <w:bCs/>
        </w:rPr>
        <w:t xml:space="preserve">esión de fecha </w:t>
      </w:r>
      <w:r w:rsidR="00CF6388">
        <w:rPr>
          <w:rFonts w:cs="Arial"/>
          <w:bCs/>
        </w:rPr>
        <w:t>0</w:t>
      </w:r>
      <w:r w:rsidR="004D7FEF">
        <w:rPr>
          <w:rFonts w:cs="Arial"/>
          <w:bCs/>
        </w:rPr>
        <w:t>8</w:t>
      </w:r>
      <w:r w:rsidR="00CF6388">
        <w:rPr>
          <w:rFonts w:cs="Arial"/>
          <w:bCs/>
        </w:rPr>
        <w:t>/06/</w:t>
      </w:r>
      <w:r w:rsidR="004D7FEF">
        <w:rPr>
          <w:rFonts w:cs="Arial"/>
          <w:bCs/>
        </w:rPr>
        <w:t>16,  acordó n</w:t>
      </w:r>
      <w:r w:rsidR="004D7FEF">
        <w:rPr>
          <w:rFonts w:cs="Arial"/>
        </w:rPr>
        <w:t xml:space="preserve">o formular observaciones al </w:t>
      </w:r>
      <w:r w:rsidR="00CF6388">
        <w:rPr>
          <w:rFonts w:cs="Arial"/>
        </w:rPr>
        <w:t>C</w:t>
      </w:r>
      <w:r w:rsidR="004D7FEF">
        <w:rPr>
          <w:rFonts w:cs="Arial"/>
        </w:rPr>
        <w:t>onvenio</w:t>
      </w:r>
      <w:r>
        <w:rPr>
          <w:rFonts w:cs="Arial"/>
        </w:rPr>
        <w:t xml:space="preserve"> mencionado</w:t>
      </w:r>
      <w:r w:rsidR="004D7FEF">
        <w:rPr>
          <w:rFonts w:cs="Arial"/>
        </w:rPr>
        <w:t xml:space="preserve">, </w:t>
      </w:r>
      <w:r w:rsidR="008A55E5">
        <w:rPr>
          <w:rFonts w:cs="Arial"/>
        </w:rPr>
        <w:t xml:space="preserve">cometiendo al Contador Auditor destacado ante el MGAP una vez dictada </w:t>
      </w:r>
      <w:r w:rsidR="004D7FEF">
        <w:rPr>
          <w:rFonts w:cs="Arial"/>
        </w:rPr>
        <w:t>la Resolución por el Pode</w:t>
      </w:r>
      <w:r w:rsidR="008A55E5">
        <w:rPr>
          <w:rFonts w:cs="Arial"/>
        </w:rPr>
        <w:t xml:space="preserve">r Ejecutivo, </w:t>
      </w:r>
      <w:r w:rsidR="004D7FEF">
        <w:rPr>
          <w:rFonts w:cs="Arial"/>
        </w:rPr>
        <w:t>la intervención del gasto derivado de su implementación, previo control de su imputación con cargo a grupo adecuado con disponibilidad suficiente</w:t>
      </w:r>
      <w:r w:rsidR="004D7FEF">
        <w:t xml:space="preserve"> </w:t>
      </w:r>
      <w:r w:rsidR="004D7FEF">
        <w:rPr>
          <w:rFonts w:cs="Arial"/>
        </w:rPr>
        <w:t xml:space="preserve">y de la verificación de que las condiciones establecidas en la resolución definitiva coincidan con los antecedentes remitidos a este Tribunal; </w:t>
      </w:r>
    </w:p>
    <w:p w:rsidR="00CF6388" w:rsidRDefault="004D7FEF" w:rsidP="00CF6388">
      <w:pPr>
        <w:tabs>
          <w:tab w:val="left" w:pos="1800"/>
        </w:tabs>
        <w:spacing w:line="360" w:lineRule="auto"/>
        <w:ind w:firstLine="2410"/>
        <w:jc w:val="both"/>
        <w:rPr>
          <w:rFonts w:cs="Arial"/>
        </w:rPr>
      </w:pPr>
      <w:r w:rsidRPr="00D650BA">
        <w:rPr>
          <w:rFonts w:cs="Arial"/>
          <w:b/>
        </w:rPr>
        <w:t>10</w:t>
      </w:r>
      <w:r w:rsidR="00D650BA" w:rsidRPr="00D650BA">
        <w:rPr>
          <w:rFonts w:cs="Arial"/>
          <w:b/>
        </w:rPr>
        <w:t>)</w:t>
      </w:r>
      <w:r w:rsidR="00D650BA">
        <w:rPr>
          <w:rFonts w:cs="Arial"/>
        </w:rPr>
        <w:t xml:space="preserve"> que en esta oportunidad, el MTOP remite </w:t>
      </w:r>
      <w:r w:rsidR="00CF6388">
        <w:rPr>
          <w:rFonts w:cs="Arial"/>
        </w:rPr>
        <w:t xml:space="preserve">acuerdo complementario </w:t>
      </w:r>
      <w:r w:rsidR="00D75768">
        <w:rPr>
          <w:rFonts w:cs="Arial"/>
        </w:rPr>
        <w:t>celebrad</w:t>
      </w:r>
      <w:r w:rsidR="008A55E5">
        <w:rPr>
          <w:rFonts w:cs="Arial"/>
        </w:rPr>
        <w:t>o</w:t>
      </w:r>
      <w:r w:rsidR="00D650BA">
        <w:rPr>
          <w:rFonts w:cs="Arial"/>
        </w:rPr>
        <w:t xml:space="preserve"> con el MGAP</w:t>
      </w:r>
      <w:r w:rsidR="00D75768">
        <w:rPr>
          <w:rFonts w:cs="Arial"/>
        </w:rPr>
        <w:t xml:space="preserve"> el 25/11/16</w:t>
      </w:r>
      <w:r w:rsidR="00D650BA">
        <w:rPr>
          <w:rFonts w:cs="Arial"/>
        </w:rPr>
        <w:t>, cuyo objeto consiste</w:t>
      </w:r>
      <w:r w:rsidR="00D90ECF">
        <w:rPr>
          <w:rFonts w:cs="Arial"/>
        </w:rPr>
        <w:t xml:space="preserve"> en</w:t>
      </w:r>
      <w:r w:rsidR="00D650BA">
        <w:rPr>
          <w:rFonts w:cs="Arial"/>
        </w:rPr>
        <w:t xml:space="preserve"> la realización del proyecto ejecutivo y obras de adecuación de la infraestructura eléctrica de la </w:t>
      </w:r>
      <w:r w:rsidR="008A55E5">
        <w:rPr>
          <w:rFonts w:cs="Arial"/>
        </w:rPr>
        <w:t>D</w:t>
      </w:r>
      <w:r w:rsidR="00D650BA">
        <w:rPr>
          <w:rFonts w:cs="Arial"/>
        </w:rPr>
        <w:t xml:space="preserve">ivisión de </w:t>
      </w:r>
      <w:r w:rsidR="008A55E5">
        <w:rPr>
          <w:rFonts w:cs="Arial"/>
        </w:rPr>
        <w:t>L</w:t>
      </w:r>
      <w:r w:rsidR="00D650BA">
        <w:rPr>
          <w:rFonts w:cs="Arial"/>
        </w:rPr>
        <w:t xml:space="preserve">aboratorios </w:t>
      </w:r>
      <w:r w:rsidR="008A55E5">
        <w:rPr>
          <w:rFonts w:cs="Arial"/>
        </w:rPr>
        <w:t>V</w:t>
      </w:r>
      <w:r w:rsidR="00D650BA">
        <w:rPr>
          <w:rFonts w:cs="Arial"/>
        </w:rPr>
        <w:t>eteri</w:t>
      </w:r>
      <w:r w:rsidR="00CF6388">
        <w:rPr>
          <w:rFonts w:cs="Arial"/>
        </w:rPr>
        <w:t>narios (DILAVE), ubicado en la R</w:t>
      </w:r>
      <w:r w:rsidR="00D650BA">
        <w:rPr>
          <w:rFonts w:cs="Arial"/>
        </w:rPr>
        <w:t>uta 8 Km.17 del Departamento de Montevideo;</w:t>
      </w:r>
    </w:p>
    <w:p w:rsidR="000F3753" w:rsidRDefault="00D650BA" w:rsidP="000F3753">
      <w:pPr>
        <w:tabs>
          <w:tab w:val="left" w:pos="1800"/>
        </w:tabs>
        <w:spacing w:line="360" w:lineRule="auto"/>
        <w:ind w:firstLine="2410"/>
        <w:jc w:val="both"/>
        <w:rPr>
          <w:rFonts w:cs="Arial"/>
          <w:bCs/>
        </w:rPr>
      </w:pPr>
      <w:r w:rsidRPr="00D90ECF">
        <w:rPr>
          <w:rFonts w:cs="Arial"/>
          <w:b/>
          <w:bCs/>
        </w:rPr>
        <w:t>11</w:t>
      </w:r>
      <w:r w:rsidR="00FE1D52" w:rsidRPr="00D90ECF">
        <w:rPr>
          <w:rFonts w:cs="Arial"/>
          <w:b/>
          <w:bCs/>
        </w:rPr>
        <w:t>)</w:t>
      </w:r>
      <w:r w:rsidR="00FE1D52" w:rsidRPr="00AE1871">
        <w:rPr>
          <w:rFonts w:cs="Arial"/>
          <w:bCs/>
        </w:rPr>
        <w:t xml:space="preserve"> </w:t>
      </w:r>
      <w:r>
        <w:rPr>
          <w:rFonts w:cs="Arial"/>
          <w:bCs/>
        </w:rPr>
        <w:t>que el MTOP, por intermedi</w:t>
      </w:r>
      <w:r w:rsidR="008A55E5">
        <w:rPr>
          <w:rFonts w:cs="Arial"/>
          <w:bCs/>
        </w:rPr>
        <w:t>o</w:t>
      </w:r>
      <w:r>
        <w:rPr>
          <w:rFonts w:cs="Arial"/>
          <w:bCs/>
        </w:rPr>
        <w:t xml:space="preserve"> de la DNA</w:t>
      </w:r>
      <w:r w:rsidR="008A55E5">
        <w:rPr>
          <w:rFonts w:cs="Arial"/>
          <w:bCs/>
        </w:rPr>
        <w:t>,</w:t>
      </w:r>
      <w:r w:rsidR="00D75768">
        <w:rPr>
          <w:rFonts w:cs="Arial"/>
          <w:bCs/>
        </w:rPr>
        <w:t xml:space="preserve"> actuará en la obra bajo la modalidad de contrat</w:t>
      </w:r>
      <w:r w:rsidR="009E3FB7">
        <w:rPr>
          <w:rFonts w:cs="Arial"/>
          <w:bCs/>
        </w:rPr>
        <w:t>ació</w:t>
      </w:r>
      <w:r w:rsidR="00D75768">
        <w:rPr>
          <w:rFonts w:cs="Arial"/>
          <w:bCs/>
        </w:rPr>
        <w:t>n de obra p</w:t>
      </w:r>
      <w:r w:rsidR="009E3FB7">
        <w:rPr>
          <w:rFonts w:cs="Arial"/>
          <w:bCs/>
        </w:rPr>
        <w:t>ú</w:t>
      </w:r>
      <w:r w:rsidR="00D75768">
        <w:rPr>
          <w:rFonts w:cs="Arial"/>
          <w:bCs/>
        </w:rPr>
        <w:t>bli</w:t>
      </w:r>
      <w:r w:rsidR="009E3FB7">
        <w:rPr>
          <w:rFonts w:cs="Arial"/>
          <w:bCs/>
        </w:rPr>
        <w:t>c</w:t>
      </w:r>
      <w:r w:rsidR="00D75768">
        <w:rPr>
          <w:rFonts w:cs="Arial"/>
          <w:bCs/>
        </w:rPr>
        <w:t>a con privados</w:t>
      </w:r>
      <w:r>
        <w:rPr>
          <w:rFonts w:cs="Arial"/>
          <w:bCs/>
        </w:rPr>
        <w:t>, toma</w:t>
      </w:r>
      <w:r w:rsidR="009E3FB7">
        <w:rPr>
          <w:rFonts w:cs="Arial"/>
          <w:bCs/>
        </w:rPr>
        <w:t>ndo</w:t>
      </w:r>
      <w:r w:rsidR="00CF6388">
        <w:rPr>
          <w:rFonts w:cs="Arial"/>
          <w:bCs/>
        </w:rPr>
        <w:t xml:space="preserve"> a su cargo: </w:t>
      </w:r>
      <w:r w:rsidRPr="00CF6388">
        <w:rPr>
          <w:rFonts w:cs="Arial"/>
          <w:b/>
          <w:bCs/>
        </w:rPr>
        <w:t xml:space="preserve">a) </w:t>
      </w:r>
      <w:r>
        <w:rPr>
          <w:rFonts w:cs="Arial"/>
          <w:bCs/>
        </w:rPr>
        <w:t>la direcc</w:t>
      </w:r>
      <w:r w:rsidR="00CF6388">
        <w:rPr>
          <w:rFonts w:cs="Arial"/>
          <w:bCs/>
        </w:rPr>
        <w:t xml:space="preserve">ión de las obras; </w:t>
      </w:r>
      <w:r w:rsidRPr="00CF6388">
        <w:rPr>
          <w:rFonts w:cs="Arial"/>
          <w:b/>
          <w:bCs/>
        </w:rPr>
        <w:t>b)</w:t>
      </w:r>
      <w:r w:rsidR="009E3FB7">
        <w:rPr>
          <w:rFonts w:cs="Arial"/>
          <w:bCs/>
        </w:rPr>
        <w:t xml:space="preserve"> </w:t>
      </w:r>
      <w:r>
        <w:rPr>
          <w:rFonts w:cs="Arial"/>
          <w:bCs/>
        </w:rPr>
        <w:t xml:space="preserve">la </w:t>
      </w:r>
      <w:r w:rsidR="009E3FB7">
        <w:rPr>
          <w:rFonts w:cs="Arial"/>
          <w:bCs/>
        </w:rPr>
        <w:t>certificación</w:t>
      </w:r>
      <w:r>
        <w:rPr>
          <w:rFonts w:cs="Arial"/>
          <w:bCs/>
        </w:rPr>
        <w:t xml:space="preserve"> de lo</w:t>
      </w:r>
      <w:r w:rsidR="009E3FB7">
        <w:rPr>
          <w:rFonts w:cs="Arial"/>
          <w:bCs/>
        </w:rPr>
        <w:t>s</w:t>
      </w:r>
      <w:r>
        <w:rPr>
          <w:rFonts w:cs="Arial"/>
          <w:bCs/>
        </w:rPr>
        <w:t xml:space="preserve"> </w:t>
      </w:r>
      <w:r w:rsidR="009E3FB7">
        <w:rPr>
          <w:rFonts w:cs="Arial"/>
          <w:bCs/>
        </w:rPr>
        <w:t>avances</w:t>
      </w:r>
      <w:r w:rsidR="00CF6388">
        <w:rPr>
          <w:rFonts w:cs="Arial"/>
          <w:bCs/>
        </w:rPr>
        <w:t xml:space="preserve"> mensuales de la misma;</w:t>
      </w:r>
      <w:r>
        <w:rPr>
          <w:rFonts w:cs="Arial"/>
          <w:bCs/>
        </w:rPr>
        <w:t xml:space="preserve"> </w:t>
      </w:r>
      <w:r w:rsidRPr="00CF6388">
        <w:rPr>
          <w:rFonts w:cs="Arial"/>
          <w:b/>
          <w:bCs/>
        </w:rPr>
        <w:t>c)</w:t>
      </w:r>
      <w:r w:rsidR="009E3FB7">
        <w:rPr>
          <w:rFonts w:cs="Arial"/>
          <w:bCs/>
        </w:rPr>
        <w:t xml:space="preserve"> </w:t>
      </w:r>
      <w:r>
        <w:rPr>
          <w:rFonts w:cs="Arial"/>
          <w:bCs/>
        </w:rPr>
        <w:t>el cálculo de lo</w:t>
      </w:r>
      <w:r w:rsidR="009E3FB7">
        <w:rPr>
          <w:rFonts w:cs="Arial"/>
          <w:bCs/>
        </w:rPr>
        <w:t>s</w:t>
      </w:r>
      <w:r>
        <w:rPr>
          <w:rFonts w:cs="Arial"/>
          <w:bCs/>
        </w:rPr>
        <w:t xml:space="preserve"> </w:t>
      </w:r>
      <w:r w:rsidR="009E3FB7">
        <w:rPr>
          <w:rFonts w:cs="Arial"/>
          <w:bCs/>
        </w:rPr>
        <w:t>a</w:t>
      </w:r>
      <w:r>
        <w:rPr>
          <w:rFonts w:cs="Arial"/>
          <w:bCs/>
        </w:rPr>
        <w:t>justes paramé</w:t>
      </w:r>
      <w:r w:rsidR="00CF6388">
        <w:rPr>
          <w:rFonts w:cs="Arial"/>
          <w:bCs/>
        </w:rPr>
        <w:t xml:space="preserve">tricos por variación de precios; </w:t>
      </w:r>
      <w:r w:rsidRPr="00CF6388">
        <w:rPr>
          <w:rFonts w:cs="Arial"/>
          <w:b/>
          <w:bCs/>
        </w:rPr>
        <w:t>d)</w:t>
      </w:r>
      <w:r w:rsidR="009E3FB7">
        <w:rPr>
          <w:rFonts w:cs="Arial"/>
          <w:bCs/>
        </w:rPr>
        <w:t xml:space="preserve"> </w:t>
      </w:r>
      <w:r>
        <w:rPr>
          <w:rFonts w:cs="Arial"/>
          <w:bCs/>
        </w:rPr>
        <w:t>el control y verif</w:t>
      </w:r>
      <w:r w:rsidR="009E3FB7">
        <w:rPr>
          <w:rFonts w:cs="Arial"/>
          <w:bCs/>
        </w:rPr>
        <w:t>icación</w:t>
      </w:r>
      <w:r>
        <w:rPr>
          <w:rFonts w:cs="Arial"/>
          <w:bCs/>
        </w:rPr>
        <w:t xml:space="preserve"> de los aportes por con</w:t>
      </w:r>
      <w:r w:rsidR="009E3FB7">
        <w:rPr>
          <w:rFonts w:cs="Arial"/>
          <w:bCs/>
        </w:rPr>
        <w:t>c</w:t>
      </w:r>
      <w:r>
        <w:rPr>
          <w:rFonts w:cs="Arial"/>
          <w:bCs/>
        </w:rPr>
        <w:t>ep</w:t>
      </w:r>
      <w:r w:rsidR="009E3FB7">
        <w:rPr>
          <w:rFonts w:cs="Arial"/>
          <w:bCs/>
        </w:rPr>
        <w:t>to</w:t>
      </w:r>
      <w:r>
        <w:rPr>
          <w:rFonts w:cs="Arial"/>
          <w:bCs/>
        </w:rPr>
        <w:t xml:space="preserve"> de </w:t>
      </w:r>
      <w:r>
        <w:rPr>
          <w:rFonts w:cs="Arial"/>
          <w:bCs/>
        </w:rPr>
        <w:lastRenderedPageBreak/>
        <w:t>leyes soci</w:t>
      </w:r>
      <w:r w:rsidR="009E3FB7">
        <w:rPr>
          <w:rFonts w:cs="Arial"/>
          <w:bCs/>
        </w:rPr>
        <w:t>ales</w:t>
      </w:r>
      <w:r w:rsidR="00CF6388">
        <w:rPr>
          <w:rFonts w:cs="Arial"/>
          <w:bCs/>
        </w:rPr>
        <w:t>;</w:t>
      </w:r>
      <w:r w:rsidR="00D90ECF">
        <w:rPr>
          <w:rFonts w:cs="Arial"/>
          <w:bCs/>
        </w:rPr>
        <w:t xml:space="preserve"> y</w:t>
      </w:r>
      <w:r>
        <w:rPr>
          <w:rFonts w:cs="Arial"/>
          <w:bCs/>
        </w:rPr>
        <w:t xml:space="preserve"> </w:t>
      </w:r>
      <w:r w:rsidRPr="000F3753">
        <w:rPr>
          <w:rFonts w:cs="Arial"/>
          <w:b/>
          <w:bCs/>
        </w:rPr>
        <w:t>e)</w:t>
      </w:r>
      <w:r>
        <w:rPr>
          <w:rFonts w:cs="Arial"/>
          <w:bCs/>
        </w:rPr>
        <w:t xml:space="preserve"> la elabo</w:t>
      </w:r>
      <w:r w:rsidR="009E3FB7">
        <w:rPr>
          <w:rFonts w:cs="Arial"/>
          <w:bCs/>
        </w:rPr>
        <w:t>ració</w:t>
      </w:r>
      <w:r>
        <w:rPr>
          <w:rFonts w:cs="Arial"/>
          <w:bCs/>
        </w:rPr>
        <w:t>n de las correspon</w:t>
      </w:r>
      <w:r w:rsidR="009E3FB7">
        <w:rPr>
          <w:rFonts w:cs="Arial"/>
          <w:bCs/>
        </w:rPr>
        <w:t>d</w:t>
      </w:r>
      <w:r>
        <w:rPr>
          <w:rFonts w:cs="Arial"/>
          <w:bCs/>
        </w:rPr>
        <w:t>ientes rendi</w:t>
      </w:r>
      <w:r w:rsidR="009E3FB7">
        <w:rPr>
          <w:rFonts w:cs="Arial"/>
          <w:bCs/>
        </w:rPr>
        <w:t>ci</w:t>
      </w:r>
      <w:r>
        <w:rPr>
          <w:rFonts w:cs="Arial"/>
          <w:bCs/>
        </w:rPr>
        <w:t>ones de cue</w:t>
      </w:r>
      <w:r w:rsidR="009E3FB7">
        <w:rPr>
          <w:rFonts w:cs="Arial"/>
          <w:bCs/>
        </w:rPr>
        <w:t>n</w:t>
      </w:r>
      <w:r>
        <w:rPr>
          <w:rFonts w:cs="Arial"/>
          <w:bCs/>
        </w:rPr>
        <w:t>tas o inform</w:t>
      </w:r>
      <w:r w:rsidR="009E3FB7">
        <w:rPr>
          <w:rFonts w:cs="Arial"/>
          <w:bCs/>
        </w:rPr>
        <w:t>e</w:t>
      </w:r>
      <w:r>
        <w:rPr>
          <w:rFonts w:cs="Arial"/>
          <w:bCs/>
        </w:rPr>
        <w:t xml:space="preserve">s de </w:t>
      </w:r>
      <w:r w:rsidR="009E3FB7">
        <w:rPr>
          <w:rFonts w:cs="Arial"/>
          <w:bCs/>
        </w:rPr>
        <w:t>revisión</w:t>
      </w:r>
      <w:r>
        <w:rPr>
          <w:rFonts w:cs="Arial"/>
          <w:bCs/>
        </w:rPr>
        <w:t xml:space="preserve"> limitada</w:t>
      </w:r>
      <w:r w:rsidR="00D75768">
        <w:rPr>
          <w:rFonts w:cs="Arial"/>
          <w:bCs/>
        </w:rPr>
        <w:t>;</w:t>
      </w:r>
    </w:p>
    <w:p w:rsidR="000F3753" w:rsidRDefault="00D75768" w:rsidP="000F3753">
      <w:pPr>
        <w:tabs>
          <w:tab w:val="left" w:pos="1800"/>
        </w:tabs>
        <w:spacing w:line="360" w:lineRule="auto"/>
        <w:ind w:firstLine="2410"/>
        <w:jc w:val="both"/>
        <w:rPr>
          <w:rFonts w:cs="Arial"/>
          <w:bCs/>
        </w:rPr>
      </w:pPr>
      <w:r w:rsidRPr="009E3FB7">
        <w:rPr>
          <w:rFonts w:cs="Arial"/>
          <w:b/>
          <w:bCs/>
        </w:rPr>
        <w:t>12)</w:t>
      </w:r>
      <w:r>
        <w:rPr>
          <w:rFonts w:cs="Arial"/>
          <w:bCs/>
        </w:rPr>
        <w:t xml:space="preserve"> que el </w:t>
      </w:r>
      <w:r w:rsidR="00FE1D52">
        <w:rPr>
          <w:rFonts w:cs="Arial"/>
          <w:bCs/>
        </w:rPr>
        <w:t xml:space="preserve">MGAP se obliga a  transferir al MTOP la suma de $ </w:t>
      </w:r>
      <w:r w:rsidR="00D650BA">
        <w:rPr>
          <w:rFonts w:cs="Arial"/>
          <w:bCs/>
        </w:rPr>
        <w:t>31</w:t>
      </w:r>
      <w:r w:rsidR="00FE1D52">
        <w:rPr>
          <w:rFonts w:cs="Arial"/>
          <w:bCs/>
        </w:rPr>
        <w:t>:</w:t>
      </w:r>
      <w:r w:rsidR="00D650BA">
        <w:rPr>
          <w:rFonts w:cs="Arial"/>
          <w:bCs/>
        </w:rPr>
        <w:t>620</w:t>
      </w:r>
      <w:r w:rsidR="00FE1D52">
        <w:rPr>
          <w:rFonts w:cs="Arial"/>
          <w:bCs/>
        </w:rPr>
        <w:t>.000</w:t>
      </w:r>
      <w:r w:rsidR="00D650BA">
        <w:rPr>
          <w:rFonts w:cs="Arial"/>
          <w:bCs/>
        </w:rPr>
        <w:t xml:space="preserve"> para atender la obra referida ut supra</w:t>
      </w:r>
      <w:r w:rsidR="00FE1D52">
        <w:rPr>
          <w:rFonts w:cs="Arial"/>
          <w:bCs/>
        </w:rPr>
        <w:t>, realiza</w:t>
      </w:r>
      <w:r w:rsidR="00D650BA">
        <w:rPr>
          <w:rFonts w:cs="Arial"/>
          <w:bCs/>
        </w:rPr>
        <w:t>ndo</w:t>
      </w:r>
      <w:r w:rsidR="00FE1D52">
        <w:rPr>
          <w:rFonts w:cs="Arial"/>
          <w:bCs/>
        </w:rPr>
        <w:t xml:space="preserve"> los trámites correspondientes a los efectos de obtener los permisos requeridos;</w:t>
      </w:r>
    </w:p>
    <w:p w:rsidR="000F3753" w:rsidRDefault="000F3753" w:rsidP="000F3753">
      <w:pPr>
        <w:tabs>
          <w:tab w:val="left" w:pos="1800"/>
        </w:tabs>
        <w:spacing w:line="360" w:lineRule="auto"/>
        <w:ind w:firstLine="2410"/>
        <w:jc w:val="both"/>
        <w:rPr>
          <w:rFonts w:cs="Arial"/>
          <w:bCs/>
        </w:rPr>
      </w:pPr>
      <w:r>
        <w:rPr>
          <w:rFonts w:cs="Arial"/>
          <w:b/>
          <w:bCs/>
        </w:rPr>
        <w:t>1</w:t>
      </w:r>
      <w:r w:rsidR="00D75768" w:rsidRPr="009E3FB7">
        <w:rPr>
          <w:rFonts w:cs="Arial"/>
          <w:b/>
          <w:bCs/>
        </w:rPr>
        <w:t>3</w:t>
      </w:r>
      <w:r w:rsidR="00FE1D52" w:rsidRPr="009E3FB7">
        <w:rPr>
          <w:rFonts w:cs="Arial"/>
          <w:b/>
          <w:bCs/>
        </w:rPr>
        <w:t>)</w:t>
      </w:r>
      <w:r w:rsidR="00FE1D52">
        <w:rPr>
          <w:rFonts w:cs="Arial"/>
          <w:b/>
          <w:bCs/>
        </w:rPr>
        <w:t xml:space="preserve"> </w:t>
      </w:r>
      <w:r w:rsidR="00FE1D52">
        <w:rPr>
          <w:rFonts w:cs="Arial"/>
          <w:bCs/>
        </w:rPr>
        <w:t>que</w:t>
      </w:r>
      <w:r w:rsidR="00D75768">
        <w:rPr>
          <w:rFonts w:cs="Arial"/>
          <w:bCs/>
        </w:rPr>
        <w:t xml:space="preserve"> se </w:t>
      </w:r>
      <w:r w:rsidR="009E3FB7">
        <w:rPr>
          <w:rFonts w:cs="Arial"/>
          <w:bCs/>
        </w:rPr>
        <w:t xml:space="preserve">establece que la DNA </w:t>
      </w:r>
      <w:r w:rsidR="00D90ECF">
        <w:rPr>
          <w:rFonts w:cs="Arial"/>
          <w:bCs/>
        </w:rPr>
        <w:t>realizará</w:t>
      </w:r>
      <w:r w:rsidR="00D75768">
        <w:rPr>
          <w:rFonts w:cs="Arial"/>
          <w:bCs/>
        </w:rPr>
        <w:t xml:space="preserve"> el </w:t>
      </w:r>
      <w:r>
        <w:rPr>
          <w:rFonts w:cs="Arial"/>
          <w:bCs/>
        </w:rPr>
        <w:t>L</w:t>
      </w:r>
      <w:r w:rsidR="009E3FB7">
        <w:rPr>
          <w:rFonts w:cs="Arial"/>
          <w:bCs/>
        </w:rPr>
        <w:t>lamado</w:t>
      </w:r>
      <w:r w:rsidR="00D75768">
        <w:rPr>
          <w:rFonts w:cs="Arial"/>
          <w:bCs/>
        </w:rPr>
        <w:t xml:space="preserve"> a </w:t>
      </w:r>
      <w:r>
        <w:rPr>
          <w:rFonts w:cs="Arial"/>
          <w:bCs/>
        </w:rPr>
        <w:t>L</w:t>
      </w:r>
      <w:r w:rsidR="009E3FB7">
        <w:rPr>
          <w:rFonts w:cs="Arial"/>
          <w:bCs/>
        </w:rPr>
        <w:t>icitación</w:t>
      </w:r>
      <w:r>
        <w:rPr>
          <w:rFonts w:cs="Arial"/>
          <w:bCs/>
        </w:rPr>
        <w:t xml:space="preserve"> P</w:t>
      </w:r>
      <w:r w:rsidR="009E3FB7">
        <w:rPr>
          <w:rFonts w:cs="Arial"/>
          <w:bCs/>
        </w:rPr>
        <w:t>ú</w:t>
      </w:r>
      <w:r w:rsidR="00D75768">
        <w:rPr>
          <w:rFonts w:cs="Arial"/>
          <w:bCs/>
        </w:rPr>
        <w:t xml:space="preserve">blica aportando su infraestructura técnica. Realizado el acto de apertura de </w:t>
      </w:r>
      <w:r w:rsidR="009E3FB7">
        <w:rPr>
          <w:rFonts w:cs="Arial"/>
          <w:bCs/>
        </w:rPr>
        <w:t>ofertas, el MTOP creará</w:t>
      </w:r>
      <w:r w:rsidR="00D75768">
        <w:rPr>
          <w:rFonts w:cs="Arial"/>
          <w:bCs/>
        </w:rPr>
        <w:t xml:space="preserve"> una </w:t>
      </w:r>
      <w:r w:rsidR="009E3FB7">
        <w:rPr>
          <w:rFonts w:cs="Arial"/>
          <w:bCs/>
        </w:rPr>
        <w:t>Comisión</w:t>
      </w:r>
      <w:r w:rsidR="00D75768">
        <w:rPr>
          <w:rFonts w:cs="Arial"/>
          <w:bCs/>
        </w:rPr>
        <w:t xml:space="preserve"> </w:t>
      </w:r>
      <w:r w:rsidR="009E3FB7">
        <w:rPr>
          <w:rFonts w:cs="Arial"/>
          <w:bCs/>
        </w:rPr>
        <w:t>Asesora</w:t>
      </w:r>
      <w:r w:rsidR="00D75768">
        <w:rPr>
          <w:rFonts w:cs="Arial"/>
          <w:bCs/>
        </w:rPr>
        <w:t xml:space="preserve"> de Adjudicaciones, </w:t>
      </w:r>
      <w:r w:rsidR="009E3FB7">
        <w:rPr>
          <w:rFonts w:cs="Arial"/>
          <w:bCs/>
        </w:rPr>
        <w:t>integrada</w:t>
      </w:r>
      <w:r w:rsidR="00D75768">
        <w:rPr>
          <w:rFonts w:cs="Arial"/>
          <w:bCs/>
        </w:rPr>
        <w:t xml:space="preserve"> por </w:t>
      </w:r>
      <w:r w:rsidR="009E3FB7">
        <w:rPr>
          <w:rFonts w:cs="Arial"/>
          <w:bCs/>
        </w:rPr>
        <w:t>dos</w:t>
      </w:r>
      <w:r w:rsidR="00D75768">
        <w:rPr>
          <w:rFonts w:cs="Arial"/>
          <w:bCs/>
        </w:rPr>
        <w:t xml:space="preserve"> miembros nominados p</w:t>
      </w:r>
      <w:r w:rsidR="009E3FB7">
        <w:rPr>
          <w:rFonts w:cs="Arial"/>
          <w:bCs/>
        </w:rPr>
        <w:t>o</w:t>
      </w:r>
      <w:r w:rsidR="00D75768">
        <w:rPr>
          <w:rFonts w:cs="Arial"/>
          <w:bCs/>
        </w:rPr>
        <w:t>r el MGAP y tres por la DNA;</w:t>
      </w:r>
    </w:p>
    <w:p w:rsidR="000F3753" w:rsidRDefault="00D75768" w:rsidP="000F3753">
      <w:pPr>
        <w:tabs>
          <w:tab w:val="left" w:pos="1800"/>
        </w:tabs>
        <w:spacing w:line="360" w:lineRule="auto"/>
        <w:ind w:firstLine="2410"/>
        <w:jc w:val="both"/>
        <w:rPr>
          <w:rFonts w:cs="Arial"/>
          <w:bCs/>
        </w:rPr>
      </w:pPr>
      <w:r w:rsidRPr="009E3FB7">
        <w:rPr>
          <w:rFonts w:cs="Arial"/>
          <w:b/>
          <w:bCs/>
        </w:rPr>
        <w:t>14)</w:t>
      </w:r>
      <w:r>
        <w:rPr>
          <w:rFonts w:cs="Arial"/>
          <w:bCs/>
        </w:rPr>
        <w:t xml:space="preserve"> que se </w:t>
      </w:r>
      <w:r w:rsidR="009E3FB7">
        <w:rPr>
          <w:rFonts w:cs="Arial"/>
          <w:bCs/>
        </w:rPr>
        <w:t>establece</w:t>
      </w:r>
      <w:r>
        <w:rPr>
          <w:rFonts w:cs="Arial"/>
          <w:bCs/>
        </w:rPr>
        <w:t xml:space="preserve"> que el</w:t>
      </w:r>
      <w:r w:rsidR="009E3FB7">
        <w:rPr>
          <w:rFonts w:cs="Arial"/>
          <w:bCs/>
        </w:rPr>
        <w:t xml:space="preserve"> </w:t>
      </w:r>
      <w:r>
        <w:rPr>
          <w:rFonts w:cs="Arial"/>
          <w:bCs/>
        </w:rPr>
        <w:t>acuerdo se cel</w:t>
      </w:r>
      <w:r w:rsidR="009E3FB7">
        <w:rPr>
          <w:rFonts w:cs="Arial"/>
          <w:bCs/>
        </w:rPr>
        <w:t>e</w:t>
      </w:r>
      <w:r>
        <w:rPr>
          <w:rFonts w:cs="Arial"/>
          <w:bCs/>
        </w:rPr>
        <w:t>b</w:t>
      </w:r>
      <w:r w:rsidR="009E3FB7">
        <w:rPr>
          <w:rFonts w:cs="Arial"/>
          <w:bCs/>
        </w:rPr>
        <w:t>r</w:t>
      </w:r>
      <w:r>
        <w:rPr>
          <w:rFonts w:cs="Arial"/>
          <w:bCs/>
        </w:rPr>
        <w:t>a ad</w:t>
      </w:r>
      <w:r w:rsidR="009E3FB7">
        <w:rPr>
          <w:rFonts w:cs="Arial"/>
          <w:bCs/>
        </w:rPr>
        <w:t xml:space="preserve"> referéndum</w:t>
      </w:r>
      <w:r>
        <w:rPr>
          <w:rFonts w:cs="Arial"/>
          <w:bCs/>
        </w:rPr>
        <w:t xml:space="preserve"> de su aprobación del Poder </w:t>
      </w:r>
      <w:r w:rsidR="009E3FB7">
        <w:rPr>
          <w:rFonts w:cs="Arial"/>
          <w:bCs/>
        </w:rPr>
        <w:t>E</w:t>
      </w:r>
      <w:r>
        <w:rPr>
          <w:rFonts w:cs="Arial"/>
          <w:bCs/>
        </w:rPr>
        <w:t xml:space="preserve">jecutivo, </w:t>
      </w:r>
      <w:r w:rsidR="009E3FB7">
        <w:rPr>
          <w:rFonts w:cs="Arial"/>
          <w:bCs/>
        </w:rPr>
        <w:t>sometiéndose,</w:t>
      </w:r>
      <w:r>
        <w:rPr>
          <w:rFonts w:cs="Arial"/>
          <w:bCs/>
        </w:rPr>
        <w:t xml:space="preserve"> en forma previa a dicha </w:t>
      </w:r>
      <w:r w:rsidR="009E3FB7">
        <w:rPr>
          <w:rFonts w:cs="Arial"/>
          <w:bCs/>
        </w:rPr>
        <w:t>aprobación</w:t>
      </w:r>
      <w:r>
        <w:rPr>
          <w:rFonts w:cs="Arial"/>
          <w:bCs/>
        </w:rPr>
        <w:t xml:space="preserve">, a la </w:t>
      </w:r>
      <w:r w:rsidR="009E3FB7">
        <w:rPr>
          <w:rFonts w:cs="Arial"/>
          <w:bCs/>
        </w:rPr>
        <w:t>intervención</w:t>
      </w:r>
      <w:r>
        <w:rPr>
          <w:rFonts w:cs="Arial"/>
          <w:bCs/>
        </w:rPr>
        <w:t xml:space="preserve"> de </w:t>
      </w:r>
      <w:r w:rsidR="009E3FB7">
        <w:rPr>
          <w:rFonts w:cs="Arial"/>
          <w:bCs/>
        </w:rPr>
        <w:t>legalidad</w:t>
      </w:r>
      <w:r>
        <w:rPr>
          <w:rFonts w:cs="Arial"/>
          <w:bCs/>
        </w:rPr>
        <w:t xml:space="preserve"> por part</w:t>
      </w:r>
      <w:r w:rsidR="009E3FB7">
        <w:rPr>
          <w:rFonts w:cs="Arial"/>
          <w:bCs/>
        </w:rPr>
        <w:t>e</w:t>
      </w:r>
      <w:r>
        <w:rPr>
          <w:rFonts w:cs="Arial"/>
          <w:bCs/>
        </w:rPr>
        <w:t xml:space="preserve"> de est</w:t>
      </w:r>
      <w:r w:rsidR="009E3FB7">
        <w:rPr>
          <w:rFonts w:cs="Arial"/>
          <w:bCs/>
        </w:rPr>
        <w:t>e</w:t>
      </w:r>
      <w:r>
        <w:rPr>
          <w:rFonts w:cs="Arial"/>
          <w:bCs/>
        </w:rPr>
        <w:t xml:space="preserve"> Tribunal;</w:t>
      </w:r>
    </w:p>
    <w:p w:rsidR="00FE1D52" w:rsidRPr="00DD5F98" w:rsidRDefault="00FE1D52" w:rsidP="000F3753">
      <w:pPr>
        <w:tabs>
          <w:tab w:val="left" w:pos="1800"/>
        </w:tabs>
        <w:spacing w:line="360" w:lineRule="auto"/>
        <w:ind w:firstLine="2410"/>
        <w:jc w:val="both"/>
        <w:rPr>
          <w:rFonts w:cs="Arial"/>
          <w:b/>
          <w:bCs/>
        </w:rPr>
      </w:pPr>
      <w:r w:rsidRPr="009F77BA">
        <w:rPr>
          <w:rFonts w:cs="Arial"/>
          <w:b/>
          <w:bCs/>
        </w:rPr>
        <w:t>1</w:t>
      </w:r>
      <w:r w:rsidR="009E3FB7">
        <w:rPr>
          <w:rFonts w:cs="Arial"/>
          <w:b/>
          <w:bCs/>
        </w:rPr>
        <w:t>5</w:t>
      </w:r>
      <w:r w:rsidRPr="009F77BA">
        <w:rPr>
          <w:rFonts w:cs="Arial"/>
          <w:b/>
          <w:bCs/>
        </w:rPr>
        <w:t>)</w:t>
      </w:r>
      <w:r>
        <w:rPr>
          <w:rFonts w:cs="Arial"/>
          <w:bCs/>
        </w:rPr>
        <w:t xml:space="preserve"> que se remite </w:t>
      </w:r>
      <w:r w:rsidR="000F3753">
        <w:rPr>
          <w:rFonts w:cs="Arial"/>
          <w:bCs/>
        </w:rPr>
        <w:t xml:space="preserve">Proyecto de Resolución del Poder Ejecutivo, </w:t>
      </w:r>
      <w:r>
        <w:rPr>
          <w:rFonts w:cs="Arial"/>
          <w:bCs/>
        </w:rPr>
        <w:t xml:space="preserve">por el cual se aprueba el </w:t>
      </w:r>
      <w:r w:rsidR="00D75768">
        <w:rPr>
          <w:rFonts w:cs="Arial"/>
          <w:bCs/>
        </w:rPr>
        <w:t>a</w:t>
      </w:r>
      <w:r>
        <w:rPr>
          <w:rFonts w:cs="Arial"/>
          <w:bCs/>
        </w:rPr>
        <w:t xml:space="preserve">cuerdo </w:t>
      </w:r>
      <w:r w:rsidR="00D75768">
        <w:rPr>
          <w:rFonts w:cs="Arial"/>
          <w:bCs/>
        </w:rPr>
        <w:t>c</w:t>
      </w:r>
      <w:r>
        <w:rPr>
          <w:rFonts w:cs="Arial"/>
          <w:bCs/>
        </w:rPr>
        <w:t>omplementario</w:t>
      </w:r>
      <w:r w:rsidR="00D75768">
        <w:rPr>
          <w:rFonts w:cs="Arial"/>
          <w:bCs/>
        </w:rPr>
        <w:t xml:space="preserve"> referido</w:t>
      </w:r>
      <w:r>
        <w:rPr>
          <w:rFonts w:cs="Arial"/>
          <w:bCs/>
        </w:rPr>
        <w:t xml:space="preserve">, autorizando </w:t>
      </w:r>
      <w:r w:rsidR="00D75768">
        <w:rPr>
          <w:rFonts w:cs="Arial"/>
          <w:bCs/>
        </w:rPr>
        <w:t xml:space="preserve">a tales efectos </w:t>
      </w:r>
      <w:r>
        <w:rPr>
          <w:rFonts w:cs="Arial"/>
          <w:bCs/>
        </w:rPr>
        <w:t xml:space="preserve">la inversión de la suma de $ </w:t>
      </w:r>
      <w:r w:rsidR="00D75768">
        <w:rPr>
          <w:rFonts w:cs="Arial"/>
          <w:bCs/>
        </w:rPr>
        <w:t>31</w:t>
      </w:r>
      <w:r w:rsidR="000F3753">
        <w:rPr>
          <w:rFonts w:cs="Arial"/>
          <w:bCs/>
        </w:rPr>
        <w:t>:</w:t>
      </w:r>
      <w:r w:rsidR="00D75768">
        <w:rPr>
          <w:rFonts w:cs="Arial"/>
          <w:bCs/>
        </w:rPr>
        <w:t>620</w:t>
      </w:r>
      <w:r w:rsidR="000F3753">
        <w:rPr>
          <w:rFonts w:cs="Arial"/>
          <w:bCs/>
        </w:rPr>
        <w:t>.000;</w:t>
      </w:r>
    </w:p>
    <w:p w:rsidR="000F3753" w:rsidRDefault="00FE1D52" w:rsidP="000F3753">
      <w:pPr>
        <w:spacing w:line="360" w:lineRule="auto"/>
        <w:ind w:firstLine="709"/>
        <w:jc w:val="both"/>
        <w:rPr>
          <w:lang w:val="es-MX"/>
        </w:rPr>
      </w:pPr>
      <w:r>
        <w:rPr>
          <w:b/>
          <w:bCs/>
        </w:rPr>
        <w:t>CONSIDERANDO: 1)</w:t>
      </w:r>
      <w:r>
        <w:t xml:space="preserve"> </w:t>
      </w:r>
      <w:r>
        <w:rPr>
          <w:lang w:val="es-MX"/>
        </w:rPr>
        <w:t>que conforme dispone el Decreto 223/</w:t>
      </w:r>
      <w:r w:rsidR="000F3753">
        <w:rPr>
          <w:lang w:val="es-MX"/>
        </w:rPr>
        <w:t>1</w:t>
      </w:r>
      <w:r>
        <w:rPr>
          <w:lang w:val="es-MX"/>
        </w:rPr>
        <w:t>997</w:t>
      </w:r>
      <w:r w:rsidR="00DD7D5F">
        <w:rPr>
          <w:lang w:val="es-MX"/>
        </w:rPr>
        <w:t xml:space="preserve"> de</w:t>
      </w:r>
      <w:r w:rsidR="000F3753">
        <w:rPr>
          <w:lang w:val="es-MX"/>
        </w:rPr>
        <w:t>l</w:t>
      </w:r>
      <w:r w:rsidR="00DD7D5F">
        <w:rPr>
          <w:lang w:val="es-MX"/>
        </w:rPr>
        <w:t xml:space="preserve"> 27/06/97</w:t>
      </w:r>
      <w:r>
        <w:rPr>
          <w:lang w:val="es-MX"/>
        </w:rPr>
        <w:t xml:space="preserve">, constituye un cometido sustantivo del MTOP, </w:t>
      </w:r>
      <w:r>
        <w:rPr>
          <w:color w:val="000000"/>
          <w:szCs w:val="17"/>
        </w:rPr>
        <w:t>estudiar, proyectar, dirigir, ejecutar, o en su caso, controlar la ejecución de las obras púb</w:t>
      </w:r>
      <w:r w:rsidR="000F3753">
        <w:rPr>
          <w:color w:val="000000"/>
          <w:szCs w:val="17"/>
        </w:rPr>
        <w:t xml:space="preserve">licas de arquitectura así como </w:t>
      </w:r>
      <w:r>
        <w:rPr>
          <w:color w:val="000000"/>
          <w:szCs w:val="17"/>
        </w:rPr>
        <w:t xml:space="preserve">participar en la ejecución de obras, a través de </w:t>
      </w:r>
      <w:r w:rsidR="000F3753">
        <w:rPr>
          <w:color w:val="000000"/>
          <w:szCs w:val="17"/>
        </w:rPr>
        <w:t>c</w:t>
      </w:r>
      <w:r>
        <w:rPr>
          <w:color w:val="000000"/>
          <w:szCs w:val="17"/>
        </w:rPr>
        <w:t>onvenios promovidos por diferentes sectores de la comunidad nacional</w:t>
      </w:r>
      <w:r>
        <w:rPr>
          <w:lang w:val="es-MX"/>
        </w:rPr>
        <w:t>;</w:t>
      </w:r>
    </w:p>
    <w:p w:rsidR="000F3753" w:rsidRDefault="00FE1D52" w:rsidP="000F3753">
      <w:pPr>
        <w:spacing w:line="360" w:lineRule="auto"/>
        <w:ind w:firstLine="2835"/>
        <w:jc w:val="both"/>
        <w:rPr>
          <w:rFonts w:cs="Arial"/>
          <w:bCs/>
        </w:rPr>
      </w:pPr>
      <w:r>
        <w:rPr>
          <w:rFonts w:cs="Arial"/>
          <w:b/>
          <w:bCs/>
        </w:rPr>
        <w:t xml:space="preserve">2) </w:t>
      </w:r>
      <w:r w:rsidRPr="00AD160D">
        <w:rPr>
          <w:rFonts w:cs="Arial"/>
          <w:bCs/>
        </w:rPr>
        <w:t>qu</w:t>
      </w:r>
      <w:r>
        <w:rPr>
          <w:rFonts w:cs="Arial"/>
          <w:bCs/>
        </w:rPr>
        <w:t xml:space="preserve">e de acuerdo a lo dispuesto por el </w:t>
      </w:r>
      <w:r w:rsidR="000F3753">
        <w:rPr>
          <w:rFonts w:cs="Arial"/>
          <w:bCs/>
        </w:rPr>
        <w:t>A</w:t>
      </w:r>
      <w:r>
        <w:rPr>
          <w:rFonts w:cs="Arial"/>
          <w:bCs/>
        </w:rPr>
        <w:t>rtículo 325 de la Ley 16.736</w:t>
      </w:r>
      <w:r w:rsidR="000F3753">
        <w:rPr>
          <w:rFonts w:cs="Arial"/>
          <w:bCs/>
        </w:rPr>
        <w:t xml:space="preserve"> de 05/01/</w:t>
      </w:r>
      <w:r w:rsidR="00DD7D5F">
        <w:rPr>
          <w:rFonts w:cs="Arial"/>
          <w:bCs/>
        </w:rPr>
        <w:t>96</w:t>
      </w:r>
      <w:r>
        <w:rPr>
          <w:rFonts w:cs="Arial"/>
          <w:bCs/>
        </w:rPr>
        <w:t>, a</w:t>
      </w:r>
      <w:r w:rsidRPr="00AD160D">
        <w:rPr>
          <w:rFonts w:cs="Arial"/>
          <w:bCs/>
        </w:rPr>
        <w:t xml:space="preserve"> la Dirección Nacional de Arquitectura compete el estudio, proyecto, dirección superior, ejecución o, en su caso, contralor de la ejecución de las obras públicas de arquitectura  realizadas por el Estado, persona pública mayor, cuando el monto de las obras exceda el tope  fijado para la compra directa ampliada</w:t>
      </w:r>
      <w:r>
        <w:rPr>
          <w:rFonts w:cs="Arial"/>
          <w:bCs/>
        </w:rPr>
        <w:t>, previniéndose que a</w:t>
      </w:r>
      <w:r w:rsidRPr="00AD160D">
        <w:rPr>
          <w:rFonts w:cs="Arial"/>
          <w:bCs/>
        </w:rPr>
        <w:t xml:space="preserve"> los respectivos órganos y organismos integrantes del Presupuesto Nacional corresponderá todo lo relacionado con la planificación y programación de las obras y elección del </w:t>
      </w:r>
      <w:r w:rsidRPr="00AD160D">
        <w:rPr>
          <w:rFonts w:cs="Arial"/>
          <w:bCs/>
        </w:rPr>
        <w:lastRenderedPageBreak/>
        <w:t>modo de ejecución, por administración directa o por contrato con terceros, de las obras de que se trate</w:t>
      </w:r>
      <w:r>
        <w:rPr>
          <w:rFonts w:cs="Arial"/>
          <w:bCs/>
        </w:rPr>
        <w:t>;</w:t>
      </w:r>
    </w:p>
    <w:p w:rsidR="000F3753" w:rsidRDefault="00FE1D52" w:rsidP="000F3753">
      <w:pPr>
        <w:spacing w:line="360" w:lineRule="auto"/>
        <w:ind w:firstLine="2835"/>
        <w:jc w:val="both"/>
        <w:rPr>
          <w:rFonts w:cs="Arial"/>
          <w:lang w:val="es-UY"/>
        </w:rPr>
      </w:pPr>
      <w:r>
        <w:rPr>
          <w:rFonts w:cs="Arial"/>
          <w:b/>
        </w:rPr>
        <w:t>3</w:t>
      </w:r>
      <w:r w:rsidRPr="00827AFE">
        <w:rPr>
          <w:rFonts w:cs="Arial"/>
          <w:b/>
        </w:rPr>
        <w:t>)</w:t>
      </w:r>
      <w:r>
        <w:rPr>
          <w:rFonts w:cs="Arial"/>
          <w:b/>
        </w:rPr>
        <w:t xml:space="preserve"> </w:t>
      </w:r>
      <w:r w:rsidRPr="00827AFE">
        <w:rPr>
          <w:rFonts w:cs="Arial"/>
        </w:rPr>
        <w:t xml:space="preserve">que </w:t>
      </w:r>
      <w:r w:rsidR="000F3753">
        <w:rPr>
          <w:rFonts w:cs="Arial"/>
        </w:rPr>
        <w:t>en particular</w:t>
      </w:r>
      <w:r>
        <w:rPr>
          <w:rFonts w:cs="Arial"/>
        </w:rPr>
        <w:t xml:space="preserve"> </w:t>
      </w:r>
      <w:r w:rsidR="000F3753">
        <w:rPr>
          <w:rFonts w:cs="Arial"/>
        </w:rPr>
        <w:t>el A</w:t>
      </w:r>
      <w:r w:rsidRPr="00827AFE">
        <w:rPr>
          <w:rFonts w:cs="Arial"/>
        </w:rPr>
        <w:t>rtículo 97 de la Ley 15.851</w:t>
      </w:r>
      <w:r w:rsidR="00DD7D5F">
        <w:rPr>
          <w:rFonts w:cs="Arial"/>
        </w:rPr>
        <w:t xml:space="preserve"> de 24/12/1986</w:t>
      </w:r>
      <w:r>
        <w:rPr>
          <w:rFonts w:cs="Arial"/>
          <w:b/>
        </w:rPr>
        <w:t xml:space="preserve">, </w:t>
      </w:r>
      <w:r w:rsidRPr="00827AFE">
        <w:rPr>
          <w:rFonts w:cs="Arial"/>
          <w:lang w:val="es-UY"/>
        </w:rPr>
        <w:t>establ</w:t>
      </w:r>
      <w:r>
        <w:rPr>
          <w:rFonts w:cs="Arial"/>
          <w:lang w:val="es-UY"/>
        </w:rPr>
        <w:t>ece</w:t>
      </w:r>
      <w:r w:rsidRPr="00827AFE">
        <w:rPr>
          <w:rFonts w:cs="Arial"/>
          <w:lang w:val="es-UY"/>
        </w:rPr>
        <w:t xml:space="preserve"> que </w:t>
      </w:r>
      <w:r>
        <w:rPr>
          <w:rFonts w:cs="Arial"/>
          <w:i/>
          <w:lang w:val="es-UY"/>
        </w:rPr>
        <w:t>“</w:t>
      </w:r>
      <w:r w:rsidRPr="00827AFE">
        <w:rPr>
          <w:rFonts w:cs="Arial"/>
          <w:i/>
          <w:lang w:val="es-UY"/>
        </w:rPr>
        <w:t>en los casos en que el Poder Ejecutivo cometa, asignándole los recursos necesarios, la realización de obras por parte de la Dirección Nacional de Arquitectura, por el régimen de administración directa, dicha Dirección podrá contratar directamente y ordenar el gasto resultante de los servicios y suministros necesarios para la ejecución de las obras de que se trata. El contralo</w:t>
      </w:r>
      <w:r w:rsidR="000F3753">
        <w:rPr>
          <w:rFonts w:cs="Arial"/>
          <w:i/>
          <w:lang w:val="es-UY"/>
        </w:rPr>
        <w:t>r de legalidad a que refiere el L</w:t>
      </w:r>
      <w:r w:rsidRPr="00827AFE">
        <w:rPr>
          <w:rFonts w:cs="Arial"/>
          <w:i/>
          <w:lang w:val="es-UY"/>
        </w:rPr>
        <w:t xml:space="preserve">iteral B) del </w:t>
      </w:r>
      <w:r w:rsidR="000F3753">
        <w:rPr>
          <w:rFonts w:cs="Arial"/>
          <w:i/>
          <w:lang w:val="es-UY"/>
        </w:rPr>
        <w:t>A</w:t>
      </w:r>
      <w:r w:rsidRPr="00827AFE">
        <w:rPr>
          <w:rFonts w:cs="Arial"/>
          <w:i/>
          <w:lang w:val="es-UY"/>
        </w:rPr>
        <w:t>rtículo 211 de la Constitución de la República, se realizará únicamente previo a la autorización del gasto por parte del Poder Ejecutivo, sin perjuicio del contral</w:t>
      </w:r>
      <w:r w:rsidR="000F3753">
        <w:rPr>
          <w:rFonts w:cs="Arial"/>
          <w:i/>
          <w:lang w:val="es-UY"/>
        </w:rPr>
        <w:t>or posterior establecido en el L</w:t>
      </w:r>
      <w:r w:rsidRPr="00827AFE">
        <w:rPr>
          <w:rFonts w:cs="Arial"/>
          <w:i/>
          <w:lang w:val="es-UY"/>
        </w:rPr>
        <w:t>iteral C) del referido artículo</w:t>
      </w:r>
      <w:r>
        <w:rPr>
          <w:rFonts w:cs="Arial"/>
          <w:i/>
          <w:lang w:val="es-UY"/>
        </w:rPr>
        <w:t>”</w:t>
      </w:r>
      <w:r>
        <w:rPr>
          <w:rFonts w:cs="Arial"/>
          <w:lang w:val="es-UY"/>
        </w:rPr>
        <w:t>;</w:t>
      </w:r>
    </w:p>
    <w:p w:rsidR="000F3753" w:rsidRDefault="000F3753" w:rsidP="000F3753">
      <w:pPr>
        <w:spacing w:line="360" w:lineRule="auto"/>
        <w:ind w:firstLine="2835"/>
        <w:jc w:val="both"/>
        <w:rPr>
          <w:rFonts w:cs="Arial"/>
          <w:bCs/>
        </w:rPr>
      </w:pPr>
      <w:r>
        <w:rPr>
          <w:rFonts w:cs="Arial"/>
          <w:b/>
          <w:bCs/>
        </w:rPr>
        <w:t>4</w:t>
      </w:r>
      <w:r w:rsidR="00FE1D52" w:rsidRPr="00AD160D">
        <w:rPr>
          <w:rFonts w:cs="Arial"/>
          <w:b/>
          <w:bCs/>
        </w:rPr>
        <w:t>)</w:t>
      </w:r>
      <w:r w:rsidR="00FE1D52">
        <w:rPr>
          <w:rFonts w:cs="Arial"/>
          <w:bCs/>
        </w:rPr>
        <w:t xml:space="preserve"> que asimismo, el </w:t>
      </w:r>
      <w:r>
        <w:rPr>
          <w:rFonts w:cs="Arial"/>
          <w:bCs/>
        </w:rPr>
        <w:t>A</w:t>
      </w:r>
      <w:r w:rsidR="00FE1D52">
        <w:rPr>
          <w:rFonts w:cs="Arial"/>
          <w:bCs/>
        </w:rPr>
        <w:t>rtículo 175 de la Ley 18.834</w:t>
      </w:r>
      <w:r w:rsidR="00DD7D5F">
        <w:rPr>
          <w:rFonts w:cs="Arial"/>
          <w:bCs/>
        </w:rPr>
        <w:t xml:space="preserve"> de 04/11/2011</w:t>
      </w:r>
      <w:r w:rsidR="00FE1D52">
        <w:rPr>
          <w:rFonts w:cs="Arial"/>
          <w:bCs/>
        </w:rPr>
        <w:t>, autoriza</w:t>
      </w:r>
      <w:r w:rsidR="00FE1D52" w:rsidRPr="00AD160D">
        <w:rPr>
          <w:rFonts w:cs="Arial"/>
          <w:bCs/>
        </w:rPr>
        <w:t xml:space="preserve"> a la Dir</w:t>
      </w:r>
      <w:r w:rsidR="00FE1D52">
        <w:rPr>
          <w:rFonts w:cs="Arial"/>
          <w:bCs/>
        </w:rPr>
        <w:t>ección Nacional de Arquitectura</w:t>
      </w:r>
      <w:r w:rsidR="00FE1D52" w:rsidRPr="00AD160D">
        <w:rPr>
          <w:rFonts w:cs="Arial"/>
          <w:bCs/>
        </w:rPr>
        <w:t xml:space="preserve"> a percibir</w:t>
      </w:r>
      <w:r w:rsidR="00FE1D52">
        <w:rPr>
          <w:rFonts w:cs="Arial"/>
          <w:bCs/>
        </w:rPr>
        <w:t>,</w:t>
      </w:r>
      <w:r w:rsidR="00FE1D52" w:rsidRPr="00AD160D">
        <w:rPr>
          <w:rFonts w:cs="Arial"/>
          <w:bCs/>
        </w:rPr>
        <w:t xml:space="preserve"> de los organismos comitentes hasta el equivalente a un 2% del importe de los respectivos contratos que ejecute por la modalidad de contratación de obra pública con privados, con la finalidad de atender gastos de administración, excluidas las retribuciones personales, que </w:t>
      </w:r>
      <w:r w:rsidR="00FE1D52">
        <w:rPr>
          <w:rFonts w:cs="Arial"/>
          <w:bCs/>
        </w:rPr>
        <w:t xml:space="preserve">irroguen dichas contrataciones, considerándose los mismos como </w:t>
      </w:r>
      <w:r w:rsidR="00FE1D52" w:rsidRPr="00AD160D">
        <w:rPr>
          <w:rFonts w:cs="Arial"/>
          <w:bCs/>
        </w:rPr>
        <w:t>Recursos de Afectación Especial</w:t>
      </w:r>
      <w:r w:rsidR="00FE1D52">
        <w:rPr>
          <w:rFonts w:cs="Arial"/>
          <w:bCs/>
        </w:rPr>
        <w:t>;</w:t>
      </w:r>
    </w:p>
    <w:p w:rsidR="00FE1D52" w:rsidRPr="00827AFE" w:rsidRDefault="00FE1D52" w:rsidP="000F3753">
      <w:pPr>
        <w:spacing w:line="360" w:lineRule="auto"/>
        <w:ind w:firstLine="2835"/>
        <w:jc w:val="both"/>
        <w:rPr>
          <w:rFonts w:cs="Arial"/>
        </w:rPr>
      </w:pPr>
      <w:r>
        <w:rPr>
          <w:rFonts w:cs="Arial"/>
          <w:b/>
        </w:rPr>
        <w:t>5</w:t>
      </w:r>
      <w:r w:rsidRPr="00EB7A34">
        <w:rPr>
          <w:rFonts w:cs="Arial"/>
          <w:b/>
        </w:rPr>
        <w:t>)</w:t>
      </w:r>
      <w:r>
        <w:rPr>
          <w:rFonts w:cs="Arial"/>
          <w:b/>
        </w:rPr>
        <w:t xml:space="preserve"> </w:t>
      </w:r>
      <w:r>
        <w:rPr>
          <w:rFonts w:cs="Arial"/>
        </w:rPr>
        <w:t xml:space="preserve">que el procedimiento directo seguido para la selección del </w:t>
      </w:r>
      <w:proofErr w:type="spellStart"/>
      <w:r>
        <w:rPr>
          <w:rFonts w:cs="Arial"/>
        </w:rPr>
        <w:t>co</w:t>
      </w:r>
      <w:proofErr w:type="spellEnd"/>
      <w:r>
        <w:rPr>
          <w:rFonts w:cs="Arial"/>
        </w:rPr>
        <w:t xml:space="preserve">-contratante, atendiendo a la naturaleza jurídica de las partes del convenio, encuadra en lo dispuesto por el </w:t>
      </w:r>
      <w:r w:rsidR="000F3753">
        <w:rPr>
          <w:rFonts w:cs="Arial"/>
        </w:rPr>
        <w:t>Nume</w:t>
      </w:r>
      <w:r>
        <w:rPr>
          <w:rFonts w:cs="Arial"/>
        </w:rPr>
        <w:t xml:space="preserve">ral 1) del </w:t>
      </w:r>
      <w:r w:rsidR="000F3753">
        <w:rPr>
          <w:rFonts w:cs="Arial"/>
        </w:rPr>
        <w:t>L</w:t>
      </w:r>
      <w:r>
        <w:rPr>
          <w:rFonts w:cs="Arial"/>
        </w:rPr>
        <w:t>it</w:t>
      </w:r>
      <w:r w:rsidR="000F3753">
        <w:rPr>
          <w:rFonts w:cs="Arial"/>
        </w:rPr>
        <w:t>eral</w:t>
      </w:r>
      <w:r>
        <w:rPr>
          <w:rFonts w:cs="Arial"/>
        </w:rPr>
        <w:t xml:space="preserve"> </w:t>
      </w:r>
      <w:r w:rsidR="000F3753">
        <w:rPr>
          <w:rFonts w:cs="Arial"/>
        </w:rPr>
        <w:t>C</w:t>
      </w:r>
      <w:r>
        <w:rPr>
          <w:rFonts w:cs="Arial"/>
        </w:rPr>
        <w:t xml:space="preserve">) </w:t>
      </w:r>
      <w:r w:rsidR="000F3753">
        <w:rPr>
          <w:rFonts w:cs="Arial"/>
        </w:rPr>
        <w:t>A</w:t>
      </w:r>
      <w:r>
        <w:rPr>
          <w:rFonts w:cs="Arial"/>
        </w:rPr>
        <w:t>rt</w:t>
      </w:r>
      <w:r w:rsidR="000F3753">
        <w:rPr>
          <w:rFonts w:cs="Arial"/>
        </w:rPr>
        <w:t>ículo</w:t>
      </w:r>
      <w:r>
        <w:rPr>
          <w:rFonts w:cs="Arial"/>
        </w:rPr>
        <w:t xml:space="preserve"> 33 del TOCAF; </w:t>
      </w:r>
      <w:r>
        <w:t xml:space="preserve"> </w:t>
      </w:r>
    </w:p>
    <w:p w:rsidR="00FE1D52" w:rsidRDefault="00FE1D52" w:rsidP="000F3753">
      <w:pPr>
        <w:spacing w:line="360" w:lineRule="auto"/>
        <w:ind w:firstLine="709"/>
        <w:jc w:val="both"/>
        <w:rPr>
          <w:b/>
          <w:bCs/>
        </w:rPr>
      </w:pPr>
      <w:r>
        <w:rPr>
          <w:b/>
          <w:bCs/>
        </w:rPr>
        <w:t>ATENTO</w:t>
      </w:r>
      <w:r w:rsidR="000F3753">
        <w:t xml:space="preserve">: </w:t>
      </w:r>
      <w:r>
        <w:t>a lo precedentemente ex</w:t>
      </w:r>
      <w:r w:rsidR="000F3753">
        <w:t>puesto y a lo dispuesto por el Artículo 211 L</w:t>
      </w:r>
      <w:r>
        <w:t xml:space="preserve">iteral B) de la Constitución de la República; </w:t>
      </w:r>
    </w:p>
    <w:p w:rsidR="00FE1D52" w:rsidRDefault="00FE1D52" w:rsidP="000F3753">
      <w:pPr>
        <w:spacing w:line="360" w:lineRule="auto"/>
        <w:jc w:val="center"/>
        <w:rPr>
          <w:rFonts w:cs="Arial"/>
          <w:b/>
          <w:highlight w:val="yellow"/>
        </w:rPr>
      </w:pPr>
      <w:r>
        <w:rPr>
          <w:rFonts w:cs="Arial"/>
          <w:b/>
        </w:rPr>
        <w:t>EL TRIBUNAL ACUERDA</w:t>
      </w:r>
    </w:p>
    <w:p w:rsidR="00FE1D52" w:rsidRDefault="000F3753" w:rsidP="000F3753">
      <w:pPr>
        <w:spacing w:line="360" w:lineRule="auto"/>
        <w:ind w:left="284" w:hanging="284"/>
        <w:jc w:val="both"/>
        <w:rPr>
          <w:rFonts w:cs="Arial"/>
        </w:rPr>
      </w:pPr>
      <w:r>
        <w:rPr>
          <w:rFonts w:cs="Arial"/>
          <w:b/>
        </w:rPr>
        <w:t xml:space="preserve">1) </w:t>
      </w:r>
      <w:r w:rsidR="00FE1D52">
        <w:rPr>
          <w:rFonts w:cs="Arial"/>
        </w:rPr>
        <w:t xml:space="preserve">No formular observaciones al </w:t>
      </w:r>
      <w:r w:rsidR="008A55E5">
        <w:rPr>
          <w:rFonts w:cs="Arial"/>
        </w:rPr>
        <w:t>a</w:t>
      </w:r>
      <w:r w:rsidR="00FE1D52">
        <w:rPr>
          <w:rFonts w:cs="Arial"/>
        </w:rPr>
        <w:t xml:space="preserve">cuerdo </w:t>
      </w:r>
      <w:r w:rsidR="008A55E5">
        <w:rPr>
          <w:rFonts w:cs="Arial"/>
        </w:rPr>
        <w:t>c</w:t>
      </w:r>
      <w:r w:rsidR="00FE1D52">
        <w:rPr>
          <w:rFonts w:cs="Arial"/>
        </w:rPr>
        <w:t xml:space="preserve">omplementario suscrito entre el Ministerio de Ganadería, Agricultura y Pesca  y el </w:t>
      </w:r>
      <w:r w:rsidR="00FE1D52">
        <w:rPr>
          <w:rFonts w:cs="Arial"/>
          <w:lang w:val="es-MX"/>
        </w:rPr>
        <w:t>Ministerio de Transporte y Obras Públicas;</w:t>
      </w:r>
    </w:p>
    <w:p w:rsidR="00FE1D52" w:rsidRDefault="000F3753" w:rsidP="000F3753">
      <w:pPr>
        <w:spacing w:line="360" w:lineRule="auto"/>
        <w:ind w:left="284" w:hanging="284"/>
        <w:jc w:val="both"/>
        <w:rPr>
          <w:rFonts w:cs="Arial"/>
        </w:rPr>
      </w:pPr>
      <w:r>
        <w:rPr>
          <w:rFonts w:cs="Arial"/>
          <w:b/>
        </w:rPr>
        <w:lastRenderedPageBreak/>
        <w:t xml:space="preserve">2) </w:t>
      </w:r>
      <w:r w:rsidR="00FE1D52">
        <w:rPr>
          <w:rFonts w:cs="Arial"/>
        </w:rPr>
        <w:t>Dictada la Resolución por el Poder Ejecutivo, cometer al Contador Auditor destacado ante el Ministerio de Ganadería, Agricultura y Pesca  la intervención del gasto derivado de la implementación del presente acuerdo</w:t>
      </w:r>
      <w:r w:rsidR="008A55E5">
        <w:rPr>
          <w:rFonts w:cs="Arial"/>
        </w:rPr>
        <w:t xml:space="preserve"> por hasta la suma </w:t>
      </w:r>
      <w:r w:rsidR="008A55E5">
        <w:rPr>
          <w:rFonts w:cs="Arial"/>
          <w:bCs/>
        </w:rPr>
        <w:t>de $ 31.620.000</w:t>
      </w:r>
      <w:r w:rsidR="00FE1D52">
        <w:rPr>
          <w:rFonts w:cs="Arial"/>
        </w:rPr>
        <w:t>, previo control de su imputación con cargo a grupo adecuado con disponibilidad suficiente</w:t>
      </w:r>
      <w:r w:rsidR="00FE1D52">
        <w:t xml:space="preserve"> </w:t>
      </w:r>
      <w:r w:rsidR="00FE1D52">
        <w:rPr>
          <w:rFonts w:cs="Arial"/>
        </w:rPr>
        <w:t xml:space="preserve">y de la verificación de que las condiciones establecidas en la resolución definitiva coincidan con los antecedentes remitidos a este Tribunal; </w:t>
      </w:r>
    </w:p>
    <w:p w:rsidR="00FE1D52" w:rsidRDefault="000F3753" w:rsidP="000F3753">
      <w:pPr>
        <w:spacing w:line="360" w:lineRule="auto"/>
        <w:ind w:left="284" w:hanging="284"/>
        <w:jc w:val="both"/>
        <w:rPr>
          <w:rFonts w:cs="Arial"/>
          <w:lang w:val="es-MX"/>
        </w:rPr>
      </w:pPr>
      <w:r w:rsidRPr="000F3753">
        <w:rPr>
          <w:rFonts w:cs="Arial"/>
          <w:b/>
        </w:rPr>
        <w:t>3)</w:t>
      </w:r>
      <w:r>
        <w:rPr>
          <w:rFonts w:cs="Arial"/>
          <w:b/>
        </w:rPr>
        <w:t xml:space="preserve"> </w:t>
      </w:r>
      <w:r w:rsidR="00FE1D52">
        <w:rPr>
          <w:rFonts w:cs="Arial"/>
          <w:lang w:val="es-MX"/>
        </w:rPr>
        <w:t xml:space="preserve">Comunicar al Contador Auditor destacado ante el Ministerio </w:t>
      </w:r>
      <w:r w:rsidR="00FE1D52">
        <w:rPr>
          <w:rFonts w:cs="Arial"/>
        </w:rPr>
        <w:t>de Ganadería, Agricultura y Pesca y al destacado ante el Ministerio de Transporte y Obras Públicas</w:t>
      </w:r>
      <w:r w:rsidR="00FE1D52">
        <w:rPr>
          <w:rFonts w:cs="Arial"/>
          <w:lang w:val="es-MX"/>
        </w:rPr>
        <w:t xml:space="preserve">; </w:t>
      </w:r>
      <w:r>
        <w:rPr>
          <w:rFonts w:cs="Arial"/>
          <w:lang w:val="es-MX"/>
        </w:rPr>
        <w:t xml:space="preserve"> </w:t>
      </w:r>
      <w:r w:rsidR="00FE1D52">
        <w:rPr>
          <w:rFonts w:cs="Arial"/>
          <w:lang w:val="es-MX"/>
        </w:rPr>
        <w:t>y</w:t>
      </w:r>
    </w:p>
    <w:p w:rsidR="00FE1D52" w:rsidRDefault="000F3753" w:rsidP="000F3753">
      <w:pPr>
        <w:spacing w:line="360" w:lineRule="auto"/>
        <w:jc w:val="both"/>
        <w:rPr>
          <w:rFonts w:cs="Arial"/>
        </w:rPr>
      </w:pPr>
      <w:r>
        <w:rPr>
          <w:rFonts w:cs="Arial"/>
          <w:b/>
        </w:rPr>
        <w:t xml:space="preserve">4) </w:t>
      </w:r>
      <w:r w:rsidR="00FE1D52">
        <w:rPr>
          <w:rFonts w:cs="Arial"/>
        </w:rPr>
        <w:t>Devolver los antecedentes.</w:t>
      </w:r>
    </w:p>
    <w:p w:rsidR="007F5D8B" w:rsidRDefault="007F5D8B" w:rsidP="000F3753">
      <w:pPr>
        <w:spacing w:line="360" w:lineRule="auto"/>
        <w:jc w:val="both"/>
        <w:rPr>
          <w:rFonts w:cs="Arial"/>
        </w:rPr>
      </w:pPr>
    </w:p>
    <w:p w:rsidR="007F5D8B" w:rsidRDefault="007F5D8B" w:rsidP="000F3753">
      <w:pPr>
        <w:spacing w:line="360" w:lineRule="auto"/>
        <w:jc w:val="both"/>
        <w:rPr>
          <w:rFonts w:cs="Arial"/>
          <w:lang w:val="es-MX"/>
        </w:rPr>
      </w:pPr>
      <w:proofErr w:type="spellStart"/>
      <w:proofErr w:type="gramStart"/>
      <w:r>
        <w:rPr>
          <w:rFonts w:cs="Arial"/>
        </w:rPr>
        <w:t>lc</w:t>
      </w:r>
      <w:proofErr w:type="spellEnd"/>
      <w:proofErr w:type="gramEnd"/>
    </w:p>
    <w:sectPr w:rsidR="007F5D8B" w:rsidSect="00C95855">
      <w:footerReference w:type="default" r:id="rId8"/>
      <w:pgSz w:w="11906" w:h="16838" w:code="9"/>
      <w:pgMar w:top="3062" w:right="1701" w:bottom="1247"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753" w:rsidRDefault="000F3753" w:rsidP="000F3753">
      <w:r>
        <w:separator/>
      </w:r>
    </w:p>
  </w:endnote>
  <w:endnote w:type="continuationSeparator" w:id="0">
    <w:p w:rsidR="000F3753" w:rsidRDefault="000F3753" w:rsidP="000F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0598662"/>
      <w:docPartObj>
        <w:docPartGallery w:val="Page Numbers (Bottom of Page)"/>
        <w:docPartUnique/>
      </w:docPartObj>
    </w:sdtPr>
    <w:sdtContent>
      <w:p w:rsidR="000F3753" w:rsidRDefault="000F3753">
        <w:pPr>
          <w:pStyle w:val="Piedepgina"/>
          <w:jc w:val="center"/>
        </w:pPr>
        <w:r>
          <w:fldChar w:fldCharType="begin"/>
        </w:r>
        <w:r>
          <w:instrText>PAGE   \* MERGEFORMAT</w:instrText>
        </w:r>
        <w:r>
          <w:fldChar w:fldCharType="separate"/>
        </w:r>
        <w:r w:rsidR="00C95855">
          <w:rPr>
            <w:noProof/>
          </w:rPr>
          <w:t>1</w:t>
        </w:r>
        <w:r>
          <w:fldChar w:fldCharType="end"/>
        </w:r>
      </w:p>
    </w:sdtContent>
  </w:sdt>
  <w:p w:rsidR="000F3753" w:rsidRDefault="000F37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753" w:rsidRDefault="000F3753" w:rsidP="000F3753">
      <w:r>
        <w:separator/>
      </w:r>
    </w:p>
  </w:footnote>
  <w:footnote w:type="continuationSeparator" w:id="0">
    <w:p w:rsidR="000F3753" w:rsidRDefault="000F3753" w:rsidP="000F37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21480"/>
    <w:multiLevelType w:val="hybridMultilevel"/>
    <w:tmpl w:val="C33C914E"/>
    <w:lvl w:ilvl="0" w:tplc="DB5C1C2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52"/>
    <w:rsid w:val="000F3753"/>
    <w:rsid w:val="00100A1A"/>
    <w:rsid w:val="00130CB7"/>
    <w:rsid w:val="004D7FEF"/>
    <w:rsid w:val="005D5F62"/>
    <w:rsid w:val="0078149C"/>
    <w:rsid w:val="007F17CC"/>
    <w:rsid w:val="007F5D8B"/>
    <w:rsid w:val="008A55E5"/>
    <w:rsid w:val="009E3FB7"/>
    <w:rsid w:val="00AE70DF"/>
    <w:rsid w:val="00C95855"/>
    <w:rsid w:val="00CF6388"/>
    <w:rsid w:val="00D57965"/>
    <w:rsid w:val="00D650BA"/>
    <w:rsid w:val="00D75768"/>
    <w:rsid w:val="00D90ECF"/>
    <w:rsid w:val="00DD7D5F"/>
    <w:rsid w:val="00FE1D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5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E1D52"/>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1D52"/>
    <w:rPr>
      <w:rFonts w:ascii="Arial" w:eastAsia="Times New Roman" w:hAnsi="Arial" w:cs="Times New Roman"/>
      <w:b/>
      <w:bCs/>
      <w:sz w:val="24"/>
      <w:szCs w:val="24"/>
      <w:lang w:val="es-ES" w:eastAsia="es-ES"/>
    </w:rPr>
  </w:style>
  <w:style w:type="character" w:styleId="Hipervnculo">
    <w:name w:val="Hyperlink"/>
    <w:uiPriority w:val="99"/>
    <w:unhideWhenUsed/>
    <w:rsid w:val="00FE1D52"/>
    <w:rPr>
      <w:color w:val="0000FF"/>
      <w:u w:val="single"/>
    </w:rPr>
  </w:style>
  <w:style w:type="paragraph" w:styleId="Prrafodelista">
    <w:name w:val="List Paragraph"/>
    <w:basedOn w:val="Normal"/>
    <w:uiPriority w:val="34"/>
    <w:qFormat/>
    <w:rsid w:val="000F3753"/>
    <w:pPr>
      <w:ind w:left="720"/>
      <w:contextualSpacing/>
    </w:pPr>
  </w:style>
  <w:style w:type="paragraph" w:styleId="Encabezado">
    <w:name w:val="header"/>
    <w:basedOn w:val="Normal"/>
    <w:link w:val="EncabezadoCar"/>
    <w:uiPriority w:val="99"/>
    <w:unhideWhenUsed/>
    <w:rsid w:val="000F3753"/>
    <w:pPr>
      <w:tabs>
        <w:tab w:val="center" w:pos="4252"/>
        <w:tab w:val="right" w:pos="8504"/>
      </w:tabs>
    </w:pPr>
  </w:style>
  <w:style w:type="character" w:customStyle="1" w:styleId="EncabezadoCar">
    <w:name w:val="Encabezado Car"/>
    <w:basedOn w:val="Fuentedeprrafopredeter"/>
    <w:link w:val="Encabezado"/>
    <w:uiPriority w:val="99"/>
    <w:rsid w:val="000F375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0F3753"/>
    <w:pPr>
      <w:tabs>
        <w:tab w:val="center" w:pos="4252"/>
        <w:tab w:val="right" w:pos="8504"/>
      </w:tabs>
    </w:pPr>
  </w:style>
  <w:style w:type="character" w:customStyle="1" w:styleId="PiedepginaCar">
    <w:name w:val="Pie de página Car"/>
    <w:basedOn w:val="Fuentedeprrafopredeter"/>
    <w:link w:val="Piedepgina"/>
    <w:uiPriority w:val="99"/>
    <w:rsid w:val="000F3753"/>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C95855"/>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855"/>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52"/>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E1D52"/>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E1D52"/>
    <w:rPr>
      <w:rFonts w:ascii="Arial" w:eastAsia="Times New Roman" w:hAnsi="Arial" w:cs="Times New Roman"/>
      <w:b/>
      <w:bCs/>
      <w:sz w:val="24"/>
      <w:szCs w:val="24"/>
      <w:lang w:val="es-ES" w:eastAsia="es-ES"/>
    </w:rPr>
  </w:style>
  <w:style w:type="character" w:styleId="Hipervnculo">
    <w:name w:val="Hyperlink"/>
    <w:uiPriority w:val="99"/>
    <w:unhideWhenUsed/>
    <w:rsid w:val="00FE1D52"/>
    <w:rPr>
      <w:color w:val="0000FF"/>
      <w:u w:val="single"/>
    </w:rPr>
  </w:style>
  <w:style w:type="paragraph" w:styleId="Prrafodelista">
    <w:name w:val="List Paragraph"/>
    <w:basedOn w:val="Normal"/>
    <w:uiPriority w:val="34"/>
    <w:qFormat/>
    <w:rsid w:val="000F3753"/>
    <w:pPr>
      <w:ind w:left="720"/>
      <w:contextualSpacing/>
    </w:pPr>
  </w:style>
  <w:style w:type="paragraph" w:styleId="Encabezado">
    <w:name w:val="header"/>
    <w:basedOn w:val="Normal"/>
    <w:link w:val="EncabezadoCar"/>
    <w:uiPriority w:val="99"/>
    <w:unhideWhenUsed/>
    <w:rsid w:val="000F3753"/>
    <w:pPr>
      <w:tabs>
        <w:tab w:val="center" w:pos="4252"/>
        <w:tab w:val="right" w:pos="8504"/>
      </w:tabs>
    </w:pPr>
  </w:style>
  <w:style w:type="character" w:customStyle="1" w:styleId="EncabezadoCar">
    <w:name w:val="Encabezado Car"/>
    <w:basedOn w:val="Fuentedeprrafopredeter"/>
    <w:link w:val="Encabezado"/>
    <w:uiPriority w:val="99"/>
    <w:rsid w:val="000F375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0F3753"/>
    <w:pPr>
      <w:tabs>
        <w:tab w:val="center" w:pos="4252"/>
        <w:tab w:val="right" w:pos="8504"/>
      </w:tabs>
    </w:pPr>
  </w:style>
  <w:style w:type="character" w:customStyle="1" w:styleId="PiedepginaCar">
    <w:name w:val="Pie de página Car"/>
    <w:basedOn w:val="Fuentedeprrafopredeter"/>
    <w:link w:val="Piedepgina"/>
    <w:uiPriority w:val="99"/>
    <w:rsid w:val="000F3753"/>
    <w:rPr>
      <w:rFonts w:ascii="Arial" w:eastAsia="Times New Roman" w:hAnsi="Arial" w:cs="Times New Roman"/>
      <w:sz w:val="24"/>
      <w:szCs w:val="24"/>
      <w:lang w:val="es-ES" w:eastAsia="es-ES"/>
    </w:rPr>
  </w:style>
  <w:style w:type="paragraph" w:styleId="Textodeglobo">
    <w:name w:val="Balloon Text"/>
    <w:basedOn w:val="Normal"/>
    <w:link w:val="TextodegloboCar"/>
    <w:uiPriority w:val="99"/>
    <w:semiHidden/>
    <w:unhideWhenUsed/>
    <w:rsid w:val="00C95855"/>
    <w:rPr>
      <w:rFonts w:ascii="Tahoma" w:hAnsi="Tahoma" w:cs="Tahoma"/>
      <w:sz w:val="16"/>
      <w:szCs w:val="16"/>
    </w:rPr>
  </w:style>
  <w:style w:type="character" w:customStyle="1" w:styleId="TextodegloboCar">
    <w:name w:val="Texto de globo Car"/>
    <w:basedOn w:val="Fuentedeprrafopredeter"/>
    <w:link w:val="Textodeglobo"/>
    <w:uiPriority w:val="99"/>
    <w:semiHidden/>
    <w:rsid w:val="00C95855"/>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1246</Words>
  <Characters>6857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8087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Tribunal1</cp:lastModifiedBy>
  <cp:revision>4</cp:revision>
  <cp:lastPrinted>2017-12-19T19:33:00Z</cp:lastPrinted>
  <dcterms:created xsi:type="dcterms:W3CDTF">2017-12-19T19:00:00Z</dcterms:created>
  <dcterms:modified xsi:type="dcterms:W3CDTF">2017-12-19T19:34:00Z</dcterms:modified>
</cp:coreProperties>
</file>