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2F" w:rsidRPr="00D6082F" w:rsidRDefault="00D6082F" w:rsidP="00D6082F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r w:rsidRPr="00D6082F">
        <w:rPr>
          <w:rFonts w:ascii="Arial" w:hAnsi="Arial" w:cs="Arial"/>
          <w:color w:val="auto"/>
          <w:sz w:val="28"/>
          <w:szCs w:val="28"/>
          <w:lang w:val="es-ES_tradnl"/>
        </w:rPr>
        <w:t xml:space="preserve">RES. </w:t>
      </w:r>
      <w:r w:rsidR="004D08C7">
        <w:rPr>
          <w:rFonts w:ascii="Arial" w:hAnsi="Arial" w:cs="Arial"/>
          <w:color w:val="auto"/>
          <w:sz w:val="28"/>
          <w:szCs w:val="28"/>
          <w:lang w:val="es-ES_tradnl"/>
        </w:rPr>
        <w:t>373</w:t>
      </w:r>
      <w:r w:rsidRPr="00D6082F">
        <w:rPr>
          <w:rFonts w:ascii="Arial" w:hAnsi="Arial" w:cs="Arial"/>
          <w:color w:val="auto"/>
          <w:sz w:val="28"/>
          <w:szCs w:val="28"/>
          <w:lang w:val="es-ES_tradnl"/>
        </w:rPr>
        <w:t>/18</w:t>
      </w:r>
    </w:p>
    <w:p w:rsidR="00D6082F" w:rsidRPr="00D6082F" w:rsidRDefault="00D6082F" w:rsidP="00D6082F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 w:val="20"/>
          <w:lang w:val="es-ES_tradnl"/>
        </w:rPr>
      </w:pPr>
    </w:p>
    <w:p w:rsidR="00D6082F" w:rsidRPr="00D6082F" w:rsidRDefault="00D6082F" w:rsidP="00D6082F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D6082F">
        <w:rPr>
          <w:rFonts w:ascii="Arial" w:hAnsi="Arial" w:cs="Arial"/>
          <w:color w:val="auto"/>
          <w:szCs w:val="24"/>
          <w:lang w:val="es-ES_tradnl"/>
        </w:rPr>
        <w:t>RESOLUCION ADOPTADA POR EL</w:t>
      </w:r>
    </w:p>
    <w:p w:rsidR="00D6082F" w:rsidRPr="00D6082F" w:rsidRDefault="00D6082F" w:rsidP="00D6082F">
      <w:pPr>
        <w:tabs>
          <w:tab w:val="left" w:pos="-720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D6082F" w:rsidRPr="00D6082F" w:rsidRDefault="00D6082F" w:rsidP="00D6082F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D6082F">
        <w:rPr>
          <w:rFonts w:ascii="Arial" w:hAnsi="Arial" w:cs="Arial"/>
          <w:color w:val="auto"/>
          <w:szCs w:val="24"/>
          <w:lang w:val="es-ES_tradnl"/>
        </w:rPr>
        <w:t>TRIBUNAL DE CUENTAS</w:t>
      </w:r>
    </w:p>
    <w:p w:rsidR="00D6082F" w:rsidRPr="00D6082F" w:rsidRDefault="00D6082F" w:rsidP="00D6082F">
      <w:pPr>
        <w:tabs>
          <w:tab w:val="left" w:pos="-720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D6082F" w:rsidRPr="00D6082F" w:rsidRDefault="00D6082F" w:rsidP="00D6082F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D6082F">
        <w:rPr>
          <w:rFonts w:ascii="Arial" w:hAnsi="Arial" w:cs="Arial"/>
          <w:color w:val="auto"/>
          <w:szCs w:val="24"/>
          <w:lang w:val="es-ES_tradnl"/>
        </w:rPr>
        <w:t>EN SESION DE FECHA 24  DE ENERO DE 2018</w:t>
      </w:r>
    </w:p>
    <w:p w:rsidR="00D6082F" w:rsidRPr="00D6082F" w:rsidRDefault="00D6082F" w:rsidP="00D6082F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D6082F" w:rsidRPr="00D6082F" w:rsidRDefault="00D6082F" w:rsidP="00D6082F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</w:rPr>
      </w:pPr>
      <w:r w:rsidRPr="00D6082F">
        <w:rPr>
          <w:rFonts w:ascii="Arial" w:hAnsi="Arial" w:cs="Arial"/>
          <w:color w:val="auto"/>
          <w:szCs w:val="24"/>
        </w:rPr>
        <w:t>(E. E. Nº 201</w:t>
      </w:r>
      <w:r w:rsidR="004D08C7">
        <w:rPr>
          <w:rFonts w:ascii="Arial" w:hAnsi="Arial" w:cs="Arial"/>
          <w:color w:val="auto"/>
          <w:szCs w:val="24"/>
        </w:rPr>
        <w:t>7</w:t>
      </w:r>
      <w:r w:rsidRPr="00D6082F">
        <w:rPr>
          <w:rFonts w:ascii="Arial" w:hAnsi="Arial" w:cs="Arial"/>
          <w:color w:val="auto"/>
          <w:szCs w:val="24"/>
        </w:rPr>
        <w:t>-17-1-000</w:t>
      </w:r>
      <w:r w:rsidR="004D08C7">
        <w:rPr>
          <w:rFonts w:ascii="Arial" w:hAnsi="Arial" w:cs="Arial"/>
          <w:color w:val="auto"/>
          <w:szCs w:val="24"/>
        </w:rPr>
        <w:t>2653</w:t>
      </w:r>
      <w:r w:rsidRPr="00D6082F">
        <w:rPr>
          <w:rFonts w:ascii="Arial" w:hAnsi="Arial" w:cs="Arial"/>
          <w:color w:val="auto"/>
          <w:szCs w:val="24"/>
        </w:rPr>
        <w:t xml:space="preserve">, </w:t>
      </w:r>
      <w:proofErr w:type="spellStart"/>
      <w:r w:rsidRPr="00D6082F">
        <w:rPr>
          <w:rFonts w:ascii="Arial" w:hAnsi="Arial" w:cs="Arial"/>
          <w:color w:val="auto"/>
          <w:szCs w:val="24"/>
        </w:rPr>
        <w:t>Ent</w:t>
      </w:r>
      <w:proofErr w:type="spellEnd"/>
      <w:r w:rsidRPr="00D6082F">
        <w:rPr>
          <w:rFonts w:ascii="Arial" w:hAnsi="Arial" w:cs="Arial"/>
          <w:color w:val="auto"/>
          <w:szCs w:val="24"/>
        </w:rPr>
        <w:t xml:space="preserve">. N° </w:t>
      </w:r>
      <w:r w:rsidR="004D08C7">
        <w:rPr>
          <w:rFonts w:ascii="Arial" w:hAnsi="Arial" w:cs="Arial"/>
          <w:color w:val="auto"/>
          <w:szCs w:val="24"/>
        </w:rPr>
        <w:t>94</w:t>
      </w:r>
      <w:r w:rsidRPr="00D6082F">
        <w:rPr>
          <w:rFonts w:ascii="Arial" w:hAnsi="Arial" w:cs="Arial"/>
          <w:color w:val="auto"/>
          <w:szCs w:val="24"/>
        </w:rPr>
        <w:t>/</w:t>
      </w:r>
      <w:r w:rsidR="004D08C7">
        <w:rPr>
          <w:rFonts w:ascii="Arial" w:hAnsi="Arial" w:cs="Arial"/>
          <w:color w:val="auto"/>
          <w:szCs w:val="24"/>
        </w:rPr>
        <w:t>18</w:t>
      </w:r>
      <w:r w:rsidRPr="00D6082F">
        <w:rPr>
          <w:rFonts w:ascii="Arial" w:hAnsi="Arial" w:cs="Arial"/>
          <w:color w:val="auto"/>
          <w:szCs w:val="24"/>
        </w:rPr>
        <w:t>)</w:t>
      </w:r>
    </w:p>
    <w:p w:rsidR="00D6082F" w:rsidRPr="00D6082F" w:rsidRDefault="00D6082F" w:rsidP="00D6082F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</w:rPr>
      </w:pPr>
    </w:p>
    <w:p w:rsidR="005D67E4" w:rsidRPr="00D6082F" w:rsidRDefault="005D67E4">
      <w:pPr>
        <w:pStyle w:val="Ttulo2"/>
        <w:spacing w:line="360" w:lineRule="auto"/>
        <w:jc w:val="left"/>
        <w:rPr>
          <w:lang w:val="es-ES"/>
        </w:rPr>
      </w:pPr>
    </w:p>
    <w:p w:rsidR="005D67E4" w:rsidRDefault="005D67E4" w:rsidP="004D08C7">
      <w:pPr>
        <w:spacing w:line="360" w:lineRule="auto"/>
        <w:ind w:firstLine="851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 xml:space="preserve">VISTO: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las actuaciones remitidas por la Intendencia de Maldonado,  relacionadas con imputación de los montos para hacer frente a los meses de Enero y Febrero del presente ejercicio, correspondientes a la Licitación Pública Nº 33/2016, convocada para la contratación de servicios de mantenimiento de fajas laterales de dominio público en Camino del Cerro </w:t>
      </w:r>
      <w:proofErr w:type="spellStart"/>
      <w:r>
        <w:rPr>
          <w:rFonts w:ascii="Arial" w:hAnsi="Arial"/>
          <w:b w:val="0"/>
          <w:color w:val="auto"/>
          <w:szCs w:val="24"/>
          <w:lang w:val="es-UY"/>
        </w:rPr>
        <w:t>Eguzquiza</w:t>
      </w:r>
      <w:proofErr w:type="spellEnd"/>
      <w:r>
        <w:rPr>
          <w:rFonts w:ascii="Arial" w:hAnsi="Arial"/>
          <w:b w:val="0"/>
          <w:color w:val="auto"/>
          <w:szCs w:val="24"/>
          <w:lang w:val="es-UY"/>
        </w:rPr>
        <w:t xml:space="preserve">, </w:t>
      </w:r>
      <w:r w:rsidR="007B3C49">
        <w:rPr>
          <w:rFonts w:ascii="Arial" w:hAnsi="Arial"/>
          <w:b w:val="0"/>
          <w:color w:val="auto"/>
          <w:szCs w:val="24"/>
          <w:lang w:val="es-UY"/>
        </w:rPr>
        <w:t>C</w:t>
      </w:r>
      <w:r>
        <w:rPr>
          <w:rFonts w:ascii="Arial" w:hAnsi="Arial"/>
          <w:b w:val="0"/>
          <w:color w:val="auto"/>
          <w:szCs w:val="24"/>
          <w:lang w:val="es-UY"/>
        </w:rPr>
        <w:t>amino a Escuela Nº 24 y Ruta José Frade;</w:t>
      </w:r>
    </w:p>
    <w:p w:rsidR="005D67E4" w:rsidRDefault="005D67E4" w:rsidP="004D08C7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 w:cs="Arial"/>
          <w:lang w:val="es-UY"/>
        </w:rPr>
        <w:t>RESULTANDO: 1)</w:t>
      </w:r>
      <w:r>
        <w:rPr>
          <w:rFonts w:ascii="Arial" w:hAnsi="Arial" w:cs="Arial"/>
          <w:b w:val="0"/>
          <w:lang w:val="es-UY"/>
        </w:rPr>
        <w:t xml:space="preserve"> 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que por Resolución Nº 01553/2017 de fecha 02.03.17, el Intendente dispuso la adjudicación de la licitación, ad referéndum de la intervención de este Tribunal, a Darwin </w:t>
      </w:r>
      <w:proofErr w:type="spellStart"/>
      <w:r>
        <w:rPr>
          <w:rFonts w:ascii="Arial" w:hAnsi="Arial"/>
          <w:b w:val="0"/>
          <w:bCs/>
          <w:color w:val="auto"/>
          <w:szCs w:val="24"/>
          <w:lang w:val="es-UY"/>
        </w:rPr>
        <w:t>Esmir</w:t>
      </w:r>
      <w:proofErr w:type="spellEnd"/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Viera Mora, por un precio mensual de $</w:t>
      </w:r>
      <w:r w:rsidR="004D08C7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>
        <w:rPr>
          <w:rFonts w:ascii="Arial" w:hAnsi="Arial"/>
          <w:b w:val="0"/>
          <w:bCs/>
          <w:color w:val="auto"/>
          <w:szCs w:val="24"/>
          <w:lang w:val="es-UY"/>
        </w:rPr>
        <w:t>420.000 en alta temporada y $</w:t>
      </w:r>
      <w:r w:rsidR="004D08C7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359.107 en baja temporada, </w:t>
      </w:r>
      <w:r w:rsidR="00AF3604">
        <w:rPr>
          <w:rFonts w:ascii="Arial" w:hAnsi="Arial"/>
          <w:b w:val="0"/>
          <w:bCs/>
          <w:color w:val="auto"/>
          <w:szCs w:val="24"/>
          <w:lang w:val="es-UY"/>
        </w:rPr>
        <w:t xml:space="preserve">IVA </w:t>
      </w:r>
      <w:r>
        <w:rPr>
          <w:rFonts w:ascii="Arial" w:hAnsi="Arial"/>
          <w:b w:val="0"/>
          <w:bCs/>
          <w:color w:val="auto"/>
          <w:szCs w:val="24"/>
          <w:lang w:val="es-UY"/>
        </w:rPr>
        <w:t>incluido;</w:t>
      </w:r>
    </w:p>
    <w:p w:rsidR="00576230" w:rsidRDefault="005D67E4" w:rsidP="004D08C7">
      <w:pPr>
        <w:tabs>
          <w:tab w:val="left" w:pos="1985"/>
        </w:tabs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2) </w:t>
      </w:r>
      <w:r>
        <w:rPr>
          <w:rFonts w:ascii="Arial" w:hAnsi="Arial"/>
          <w:b w:val="0"/>
          <w:bCs/>
          <w:color w:val="auto"/>
          <w:szCs w:val="24"/>
          <w:lang w:val="es-UY"/>
        </w:rPr>
        <w:t>que este Tribunal</w:t>
      </w:r>
      <w:r w:rsidR="00AF3604">
        <w:rPr>
          <w:rFonts w:ascii="Arial" w:hAnsi="Arial"/>
          <w:b w:val="0"/>
          <w:bCs/>
          <w:color w:val="auto"/>
          <w:szCs w:val="24"/>
          <w:lang w:val="es-UY"/>
        </w:rPr>
        <w:t>,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en sesión de fecha 10.05.17</w:t>
      </w:r>
      <w:r w:rsidR="00AF3604">
        <w:rPr>
          <w:rFonts w:ascii="Arial" w:hAnsi="Arial"/>
          <w:b w:val="0"/>
          <w:bCs/>
          <w:color w:val="auto"/>
          <w:szCs w:val="24"/>
          <w:lang w:val="es-UY"/>
        </w:rPr>
        <w:t>,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 xml:space="preserve">acordó: </w:t>
      </w:r>
    </w:p>
    <w:p w:rsidR="007B3C49" w:rsidRDefault="007B3C49" w:rsidP="00576230">
      <w:pPr>
        <w:tabs>
          <w:tab w:val="left" w:pos="1985"/>
        </w:tabs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AF3604">
        <w:rPr>
          <w:rFonts w:ascii="Arial" w:hAnsi="Arial"/>
          <w:bCs/>
          <w:color w:val="auto"/>
          <w:szCs w:val="24"/>
          <w:lang w:val="es-UY"/>
        </w:rPr>
        <w:t>2.1)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>observ</w:t>
      </w:r>
      <w:r>
        <w:rPr>
          <w:rFonts w:ascii="Arial" w:hAnsi="Arial"/>
          <w:b w:val="0"/>
          <w:bCs/>
          <w:color w:val="auto"/>
          <w:szCs w:val="24"/>
          <w:lang w:val="es-UY"/>
        </w:rPr>
        <w:t>ar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 el gasto en 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razón 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de que el </w:t>
      </w:r>
      <w:r w:rsidR="004D08C7">
        <w:rPr>
          <w:rFonts w:ascii="Arial" w:hAnsi="Arial"/>
          <w:b w:val="0"/>
          <w:bCs/>
          <w:color w:val="auto"/>
          <w:szCs w:val="24"/>
          <w:lang w:val="es-UY"/>
        </w:rPr>
        <w:t>Artículo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 19 del Pliego de Condiciones, no</w:t>
      </w:r>
      <w:r w:rsidR="004D08C7">
        <w:rPr>
          <w:rFonts w:ascii="Arial" w:hAnsi="Arial"/>
          <w:b w:val="0"/>
          <w:bCs/>
          <w:color w:val="auto"/>
          <w:szCs w:val="24"/>
          <w:lang w:val="es-UY"/>
        </w:rPr>
        <w:t xml:space="preserve"> cumple con lo dispuesto por el Artículo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 48 </w:t>
      </w:r>
      <w:r w:rsidR="004D08C7">
        <w:rPr>
          <w:rFonts w:ascii="Arial" w:hAnsi="Arial"/>
          <w:b w:val="0"/>
          <w:bCs/>
          <w:color w:val="auto"/>
          <w:szCs w:val="24"/>
          <w:lang w:val="es-UY"/>
        </w:rPr>
        <w:t>L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>iteral C) del T.O.C.A.F, en tanto no se indican pautas objetivas para asignar los puntajes a las ofertas en cada uno de los factores, fijándose únicamente porcentajes máximos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y porque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 se contravino lo dispuesto por el </w:t>
      </w:r>
      <w:r w:rsidR="004D08C7">
        <w:rPr>
          <w:rFonts w:ascii="Arial" w:hAnsi="Arial"/>
          <w:b w:val="0"/>
          <w:bCs/>
          <w:color w:val="auto"/>
          <w:szCs w:val="24"/>
          <w:lang w:val="es-UY"/>
        </w:rPr>
        <w:t>Artículo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 15 del T.O.C.A.F. al comprometer</w:t>
      </w:r>
      <w:bookmarkStart w:id="0" w:name="_GoBack"/>
      <w:bookmarkEnd w:id="0"/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 un gasto sin disponibilidad presupuestal</w:t>
      </w:r>
      <w:r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5D67E4" w:rsidRDefault="007B3C49">
      <w:pPr>
        <w:tabs>
          <w:tab w:val="left" w:pos="1985"/>
        </w:tabs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AF3604">
        <w:rPr>
          <w:rFonts w:ascii="Arial" w:hAnsi="Arial"/>
          <w:bCs/>
          <w:color w:val="auto"/>
          <w:szCs w:val="24"/>
          <w:lang w:val="es-UY"/>
        </w:rPr>
        <w:t>2.2)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señalar que, 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>tratándose de gastos para el cumplimiento de cometidos</w:t>
      </w:r>
      <w:r w:rsidR="004D08C7">
        <w:rPr>
          <w:rFonts w:ascii="Arial" w:hAnsi="Arial"/>
          <w:b w:val="0"/>
          <w:bCs/>
          <w:color w:val="auto"/>
          <w:szCs w:val="24"/>
          <w:lang w:val="es-UY"/>
        </w:rPr>
        <w:t xml:space="preserve"> asignados al Municipio por la L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ey Nº 19.272, es a éste que corresponde hacer 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lastRenderedPageBreak/>
        <w:t>el uso de opción para prorrogar y no a la Intendencia</w:t>
      </w:r>
      <w:r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5D67E4">
        <w:rPr>
          <w:rFonts w:ascii="Arial" w:hAnsi="Arial"/>
          <w:b w:val="0"/>
          <w:bCs/>
          <w:color w:val="auto"/>
          <w:szCs w:val="24"/>
          <w:lang w:val="es-UY"/>
        </w:rPr>
        <w:t xml:space="preserve"> como se estableció en los artículos  1º del Pliego Particular y 2º de la Memoria Descriptiva;</w:t>
      </w:r>
    </w:p>
    <w:p w:rsidR="005D67E4" w:rsidRDefault="005D67E4" w:rsidP="00576230">
      <w:pPr>
        <w:tabs>
          <w:tab w:val="left" w:pos="1985"/>
        </w:tabs>
        <w:spacing w:line="360" w:lineRule="auto"/>
        <w:ind w:firstLine="2835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3) 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que el gasto fue reiterado por Resolución </w:t>
      </w:r>
      <w:r w:rsidR="00576230">
        <w:rPr>
          <w:rFonts w:ascii="Arial" w:hAnsi="Arial"/>
          <w:b w:val="0"/>
          <w:bCs/>
          <w:color w:val="auto"/>
          <w:szCs w:val="24"/>
          <w:lang w:val="es-UY"/>
        </w:rPr>
        <w:t xml:space="preserve">                       </w:t>
      </w:r>
      <w:r>
        <w:rPr>
          <w:rFonts w:ascii="Arial" w:hAnsi="Arial"/>
          <w:b w:val="0"/>
          <w:bCs/>
          <w:color w:val="auto"/>
          <w:szCs w:val="24"/>
          <w:lang w:val="es-UY"/>
        </w:rPr>
        <w:t>Nº 5238/17 de fecha 26.07.17 del Municipio de San Carlos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. E</w:t>
      </w:r>
      <w:r>
        <w:rPr>
          <w:rFonts w:ascii="Arial" w:hAnsi="Arial"/>
          <w:b w:val="0"/>
          <w:bCs/>
          <w:color w:val="auto"/>
          <w:szCs w:val="24"/>
          <w:lang w:val="es-UY"/>
        </w:rPr>
        <w:t>ste Tribunal en Sesión de fecha 20.09.17 acordó mantener la observación del gasto;</w:t>
      </w:r>
    </w:p>
    <w:p w:rsidR="005D67E4" w:rsidRDefault="005D67E4" w:rsidP="00576230">
      <w:pPr>
        <w:tabs>
          <w:tab w:val="left" w:pos="1985"/>
        </w:tabs>
        <w:spacing w:line="360" w:lineRule="auto"/>
        <w:ind w:firstLine="2835"/>
        <w:jc w:val="both"/>
        <w:rPr>
          <w:rFonts w:ascii="Arial" w:hAnsi="Arial" w:cs="Arial"/>
          <w:b w:val="0"/>
          <w:bCs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4) </w:t>
      </w:r>
      <w:r>
        <w:rPr>
          <w:rFonts w:ascii="Arial" w:hAnsi="Arial"/>
          <w:b w:val="0"/>
          <w:bCs/>
          <w:color w:val="auto"/>
          <w:szCs w:val="24"/>
          <w:lang w:val="es-UY"/>
        </w:rPr>
        <w:t>que con fecha 21.12.17 la División Contaduría informa que se im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putaron las sumas de $</w:t>
      </w:r>
      <w:r w:rsidR="0057623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840.000 (s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ervicio 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e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nero 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y f</w:t>
      </w:r>
      <w:r>
        <w:rPr>
          <w:rFonts w:ascii="Arial" w:hAnsi="Arial"/>
          <w:b w:val="0"/>
          <w:bCs/>
          <w:color w:val="auto"/>
          <w:szCs w:val="24"/>
          <w:lang w:val="es-UY"/>
        </w:rPr>
        <w:t>ebrero 2018) y $</w:t>
      </w:r>
      <w:r w:rsidR="00576230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>
        <w:rPr>
          <w:rFonts w:ascii="Arial" w:hAnsi="Arial"/>
          <w:b w:val="0"/>
          <w:bCs/>
          <w:color w:val="auto"/>
          <w:szCs w:val="24"/>
          <w:lang w:val="es-UY"/>
        </w:rPr>
        <w:t>80.000 (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a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juste 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e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nero y </w:t>
      </w:r>
      <w:r w:rsidR="007B3C49">
        <w:rPr>
          <w:rFonts w:ascii="Arial" w:hAnsi="Arial"/>
          <w:b w:val="0"/>
          <w:bCs/>
          <w:color w:val="auto"/>
          <w:szCs w:val="24"/>
          <w:lang w:val="es-UY"/>
        </w:rPr>
        <w:t>f</w:t>
      </w:r>
      <w:r>
        <w:rPr>
          <w:rFonts w:ascii="Arial" w:hAnsi="Arial"/>
          <w:b w:val="0"/>
          <w:bCs/>
          <w:color w:val="auto"/>
          <w:szCs w:val="24"/>
          <w:lang w:val="es-UY"/>
        </w:rPr>
        <w:t>ebrero 2018) al rubro 10109 – Municipio de San Carlos, 5278 – De limpieza, aseo y fumigación, en ambos casos con disponibilidad suficiente;</w:t>
      </w:r>
    </w:p>
    <w:p w:rsidR="005D67E4" w:rsidRDefault="005D67E4" w:rsidP="00576230">
      <w:pPr>
        <w:spacing w:line="360" w:lineRule="auto"/>
        <w:ind w:firstLine="851"/>
        <w:jc w:val="both"/>
        <w:rPr>
          <w:rFonts w:ascii="Arial" w:hAnsi="Arial" w:cs="Arial"/>
          <w:b w:val="0"/>
          <w:bCs/>
          <w:color w:val="auto"/>
        </w:rPr>
      </w:pPr>
      <w:r>
        <w:rPr>
          <w:rFonts w:ascii="Arial" w:hAnsi="Arial" w:cs="Arial"/>
          <w:bCs/>
          <w:color w:val="auto"/>
        </w:rPr>
        <w:t>CONSIDERANDO:</w:t>
      </w:r>
      <w:r>
        <w:rPr>
          <w:b w:val="0"/>
          <w:bCs/>
          <w:color w:val="auto"/>
        </w:rPr>
        <w:t xml:space="preserve"> </w:t>
      </w:r>
      <w:r w:rsidR="00467578" w:rsidRPr="00AF3604">
        <w:rPr>
          <w:rFonts w:ascii="Arial" w:hAnsi="Arial" w:cs="Arial"/>
          <w:bCs/>
          <w:color w:val="auto"/>
        </w:rPr>
        <w:t>1)</w:t>
      </w:r>
      <w:r w:rsidR="00467578">
        <w:rPr>
          <w:b w:val="0"/>
          <w:bCs/>
          <w:color w:val="auto"/>
        </w:rPr>
        <w:t xml:space="preserve"> </w:t>
      </w:r>
      <w:r>
        <w:rPr>
          <w:rFonts w:ascii="Arial" w:hAnsi="Arial" w:cs="Arial"/>
          <w:b w:val="0"/>
          <w:bCs/>
          <w:color w:val="auto"/>
        </w:rPr>
        <w:t xml:space="preserve">que </w:t>
      </w:r>
      <w:r w:rsidR="0003655D">
        <w:rPr>
          <w:rFonts w:ascii="Arial" w:hAnsi="Arial" w:cs="Arial"/>
          <w:b w:val="0"/>
          <w:bCs/>
          <w:color w:val="auto"/>
        </w:rPr>
        <w:t>las</w:t>
      </w:r>
      <w:r>
        <w:rPr>
          <w:rFonts w:ascii="Arial" w:hAnsi="Arial" w:cs="Arial"/>
          <w:b w:val="0"/>
          <w:bCs/>
          <w:color w:val="auto"/>
        </w:rPr>
        <w:t xml:space="preserve"> imputaciones remitidas</w:t>
      </w:r>
      <w:r w:rsidR="00AF3604">
        <w:rPr>
          <w:rFonts w:ascii="Arial" w:hAnsi="Arial" w:cs="Arial"/>
          <w:b w:val="0"/>
          <w:bCs/>
          <w:color w:val="auto"/>
        </w:rPr>
        <w:t>, al</w:t>
      </w:r>
      <w:r>
        <w:rPr>
          <w:rFonts w:ascii="Arial" w:hAnsi="Arial" w:cs="Arial"/>
          <w:b w:val="0"/>
          <w:bCs/>
          <w:color w:val="auto"/>
        </w:rPr>
        <w:t xml:space="preserve"> </w:t>
      </w:r>
      <w:r w:rsidR="0003655D">
        <w:rPr>
          <w:rFonts w:ascii="Arial" w:hAnsi="Arial" w:cs="Arial"/>
          <w:b w:val="0"/>
          <w:bCs/>
          <w:color w:val="auto"/>
        </w:rPr>
        <w:t xml:space="preserve">derivar </w:t>
      </w:r>
      <w:r>
        <w:rPr>
          <w:rFonts w:ascii="Arial" w:hAnsi="Arial" w:cs="Arial"/>
          <w:b w:val="0"/>
          <w:bCs/>
          <w:color w:val="auto"/>
        </w:rPr>
        <w:t xml:space="preserve">de un procedimiento oportunamente observado por razones de índole legal de carácter insubsanable, (con excepción </w:t>
      </w:r>
      <w:r w:rsidR="0003655D">
        <w:rPr>
          <w:rFonts w:ascii="Arial" w:hAnsi="Arial" w:cs="Arial"/>
          <w:b w:val="0"/>
          <w:bCs/>
          <w:color w:val="auto"/>
        </w:rPr>
        <w:t xml:space="preserve">del </w:t>
      </w:r>
      <w:r w:rsidR="00576230">
        <w:rPr>
          <w:rFonts w:ascii="Arial" w:hAnsi="Arial" w:cs="Arial"/>
          <w:b w:val="0"/>
          <w:bCs/>
          <w:color w:val="auto"/>
        </w:rPr>
        <w:t>Artículo</w:t>
      </w:r>
      <w:r w:rsidR="0003655D">
        <w:rPr>
          <w:rFonts w:ascii="Arial" w:hAnsi="Arial" w:cs="Arial"/>
          <w:b w:val="0"/>
          <w:bCs/>
          <w:color w:val="auto"/>
        </w:rPr>
        <w:t xml:space="preserve"> 15 del TOCAF, </w:t>
      </w:r>
      <w:r>
        <w:rPr>
          <w:rFonts w:ascii="Arial" w:hAnsi="Arial" w:cs="Arial"/>
          <w:b w:val="0"/>
          <w:bCs/>
          <w:color w:val="auto"/>
        </w:rPr>
        <w:t>falta de disponibilidad)</w:t>
      </w:r>
      <w:r w:rsidR="0003655D">
        <w:rPr>
          <w:rFonts w:ascii="Arial" w:hAnsi="Arial" w:cs="Arial"/>
          <w:b w:val="0"/>
          <w:bCs/>
          <w:color w:val="auto"/>
        </w:rPr>
        <w:t xml:space="preserve"> quedan afectadas por dicha observación</w:t>
      </w:r>
      <w:r>
        <w:rPr>
          <w:rFonts w:ascii="Arial" w:hAnsi="Arial" w:cs="Arial"/>
          <w:b w:val="0"/>
          <w:bCs/>
          <w:color w:val="auto"/>
        </w:rPr>
        <w:t>;</w:t>
      </w:r>
    </w:p>
    <w:p w:rsidR="00467578" w:rsidRDefault="00467578" w:rsidP="00576230">
      <w:pPr>
        <w:spacing w:line="360" w:lineRule="auto"/>
        <w:ind w:firstLine="3119"/>
        <w:jc w:val="both"/>
        <w:rPr>
          <w:rFonts w:ascii="Arial" w:hAnsi="Arial" w:cs="Arial"/>
          <w:b w:val="0"/>
          <w:bCs/>
          <w:color w:val="auto"/>
        </w:rPr>
      </w:pPr>
      <w:r w:rsidRPr="00A03E05">
        <w:rPr>
          <w:rFonts w:ascii="Arial" w:hAnsi="Arial" w:cs="Arial"/>
          <w:bCs/>
          <w:color w:val="auto"/>
        </w:rPr>
        <w:t>2)</w:t>
      </w:r>
      <w:r>
        <w:rPr>
          <w:rFonts w:ascii="Arial" w:hAnsi="Arial" w:cs="Arial"/>
          <w:b w:val="0"/>
          <w:bCs/>
          <w:color w:val="auto"/>
        </w:rPr>
        <w:t xml:space="preserve"> que </w:t>
      </w:r>
      <w:r w:rsidR="00D66D2C">
        <w:rPr>
          <w:rFonts w:ascii="Arial" w:hAnsi="Arial" w:cs="Arial"/>
          <w:b w:val="0"/>
          <w:bCs/>
          <w:color w:val="auto"/>
        </w:rPr>
        <w:t xml:space="preserve"> no obstante, habiendo sido reiterado el gasto en su totalidad, </w:t>
      </w:r>
      <w:r>
        <w:rPr>
          <w:rFonts w:ascii="Arial" w:hAnsi="Arial" w:cs="Arial"/>
          <w:b w:val="0"/>
          <w:bCs/>
          <w:color w:val="auto"/>
        </w:rPr>
        <w:t>conform</w:t>
      </w:r>
      <w:r w:rsidR="00D66D2C">
        <w:rPr>
          <w:rFonts w:ascii="Arial" w:hAnsi="Arial" w:cs="Arial"/>
          <w:b w:val="0"/>
          <w:bCs/>
          <w:color w:val="auto"/>
        </w:rPr>
        <w:t>e</w:t>
      </w:r>
      <w:r>
        <w:rPr>
          <w:rFonts w:ascii="Arial" w:hAnsi="Arial" w:cs="Arial"/>
          <w:b w:val="0"/>
          <w:bCs/>
          <w:color w:val="auto"/>
        </w:rPr>
        <w:t xml:space="preserve"> lo dispuesto por el </w:t>
      </w:r>
      <w:r w:rsidR="00576230">
        <w:rPr>
          <w:rFonts w:ascii="Arial" w:hAnsi="Arial" w:cs="Arial"/>
          <w:b w:val="0"/>
          <w:bCs/>
          <w:color w:val="auto"/>
        </w:rPr>
        <w:t>A</w:t>
      </w:r>
      <w:r w:rsidR="00D66D2C">
        <w:rPr>
          <w:rFonts w:ascii="Arial" w:hAnsi="Arial" w:cs="Arial"/>
          <w:b w:val="0"/>
          <w:bCs/>
          <w:color w:val="auto"/>
        </w:rPr>
        <w:t xml:space="preserve">rtículo 211 </w:t>
      </w:r>
      <w:r w:rsidR="00576230">
        <w:rPr>
          <w:rFonts w:ascii="Arial" w:hAnsi="Arial" w:cs="Arial"/>
          <w:b w:val="0"/>
          <w:bCs/>
          <w:color w:val="auto"/>
        </w:rPr>
        <w:t>L</w:t>
      </w:r>
      <w:r w:rsidR="00D66D2C">
        <w:rPr>
          <w:rFonts w:ascii="Arial" w:hAnsi="Arial" w:cs="Arial"/>
          <w:b w:val="0"/>
          <w:bCs/>
          <w:color w:val="auto"/>
        </w:rPr>
        <w:t>iteral B</w:t>
      </w:r>
      <w:r w:rsidR="00576230">
        <w:rPr>
          <w:rFonts w:ascii="Arial" w:hAnsi="Arial" w:cs="Arial"/>
          <w:b w:val="0"/>
          <w:bCs/>
          <w:color w:val="auto"/>
        </w:rPr>
        <w:t>)</w:t>
      </w:r>
      <w:r w:rsidR="00D66D2C">
        <w:rPr>
          <w:rFonts w:ascii="Arial" w:hAnsi="Arial" w:cs="Arial"/>
          <w:b w:val="0"/>
          <w:bCs/>
          <w:color w:val="auto"/>
        </w:rPr>
        <w:t xml:space="preserve"> de la Constitución </w:t>
      </w:r>
      <w:r w:rsidR="00576230">
        <w:rPr>
          <w:rFonts w:ascii="Arial" w:hAnsi="Arial" w:cs="Arial"/>
          <w:b w:val="0"/>
          <w:bCs/>
          <w:color w:val="auto"/>
        </w:rPr>
        <w:t xml:space="preserve">de la República </w:t>
      </w:r>
      <w:r w:rsidR="00D66D2C">
        <w:rPr>
          <w:rFonts w:ascii="Arial" w:hAnsi="Arial" w:cs="Arial"/>
          <w:b w:val="0"/>
          <w:bCs/>
          <w:color w:val="auto"/>
        </w:rPr>
        <w:t xml:space="preserve">y de acuerdo al </w:t>
      </w:r>
      <w:r w:rsidR="00576230">
        <w:rPr>
          <w:rFonts w:ascii="Arial" w:hAnsi="Arial" w:cs="Arial"/>
          <w:b w:val="0"/>
          <w:bCs/>
          <w:color w:val="auto"/>
        </w:rPr>
        <w:t>A</w:t>
      </w:r>
      <w:r>
        <w:rPr>
          <w:rFonts w:ascii="Arial" w:hAnsi="Arial" w:cs="Arial"/>
          <w:b w:val="0"/>
          <w:bCs/>
          <w:color w:val="auto"/>
        </w:rPr>
        <w:t xml:space="preserve">rtículo 24  de la Ordenanza </w:t>
      </w:r>
      <w:r w:rsidR="00576230">
        <w:rPr>
          <w:rFonts w:ascii="Arial" w:hAnsi="Arial" w:cs="Arial"/>
          <w:b w:val="0"/>
          <w:bCs/>
          <w:color w:val="auto"/>
        </w:rPr>
        <w:t xml:space="preserve">                 </w:t>
      </w:r>
      <w:r>
        <w:rPr>
          <w:rFonts w:ascii="Arial" w:hAnsi="Arial" w:cs="Arial"/>
          <w:b w:val="0"/>
          <w:bCs/>
          <w:color w:val="auto"/>
        </w:rPr>
        <w:t>Nº 64 de 2.3.1988</w:t>
      </w:r>
      <w:r w:rsidR="00D66D2C">
        <w:rPr>
          <w:rFonts w:ascii="Arial" w:hAnsi="Arial" w:cs="Arial"/>
          <w:b w:val="0"/>
          <w:bCs/>
          <w:color w:val="auto"/>
        </w:rPr>
        <w:t>,</w:t>
      </w:r>
      <w:r>
        <w:rPr>
          <w:rFonts w:ascii="Arial" w:hAnsi="Arial" w:cs="Arial"/>
          <w:b w:val="0"/>
          <w:bCs/>
          <w:color w:val="auto"/>
        </w:rPr>
        <w:t xml:space="preserve"> </w:t>
      </w:r>
      <w:r w:rsidR="00D84169">
        <w:rPr>
          <w:rFonts w:ascii="Arial" w:hAnsi="Arial" w:cs="Arial"/>
          <w:b w:val="0"/>
          <w:bCs/>
          <w:color w:val="auto"/>
        </w:rPr>
        <w:t>las afectaciones derivadas del mismo,</w:t>
      </w:r>
      <w:r>
        <w:rPr>
          <w:rFonts w:ascii="Arial" w:hAnsi="Arial" w:cs="Arial"/>
          <w:b w:val="0"/>
          <w:bCs/>
          <w:color w:val="auto"/>
        </w:rPr>
        <w:t xml:space="preserve"> deberán ser remitid</w:t>
      </w:r>
      <w:r w:rsidR="00D84169">
        <w:rPr>
          <w:rFonts w:ascii="Arial" w:hAnsi="Arial" w:cs="Arial"/>
          <w:b w:val="0"/>
          <w:bCs/>
          <w:color w:val="auto"/>
        </w:rPr>
        <w:t>a</w:t>
      </w:r>
      <w:r>
        <w:rPr>
          <w:rFonts w:ascii="Arial" w:hAnsi="Arial" w:cs="Arial"/>
          <w:b w:val="0"/>
          <w:bCs/>
          <w:color w:val="auto"/>
        </w:rPr>
        <w:t xml:space="preserve">s al Contador Delegado, quien procederá a su intervención </w:t>
      </w:r>
      <w:r w:rsidR="00D66D2C">
        <w:rPr>
          <w:rFonts w:ascii="Arial" w:hAnsi="Arial" w:cs="Arial"/>
          <w:b w:val="0"/>
          <w:bCs/>
          <w:color w:val="auto"/>
        </w:rPr>
        <w:t>por reiteración</w:t>
      </w:r>
      <w:r>
        <w:rPr>
          <w:rFonts w:ascii="Arial" w:hAnsi="Arial" w:cs="Arial"/>
          <w:b w:val="0"/>
          <w:bCs/>
          <w:color w:val="auto"/>
        </w:rPr>
        <w:t xml:space="preserve">; </w:t>
      </w:r>
    </w:p>
    <w:p w:rsidR="005D67E4" w:rsidRDefault="005D67E4" w:rsidP="00576230">
      <w:pPr>
        <w:spacing w:line="360" w:lineRule="auto"/>
        <w:ind w:firstLine="851"/>
        <w:jc w:val="both"/>
        <w:rPr>
          <w:rFonts w:ascii="Arial" w:hAnsi="Arial"/>
          <w:color w:val="auto"/>
          <w:szCs w:val="24"/>
          <w:lang w:val="es-UY"/>
        </w:rPr>
      </w:pPr>
      <w:r>
        <w:rPr>
          <w:rFonts w:ascii="Arial" w:hAnsi="Arial" w:cs="Arial"/>
          <w:lang w:val="es-UY"/>
        </w:rPr>
        <w:t xml:space="preserve">ATENTO: </w:t>
      </w:r>
      <w:r>
        <w:rPr>
          <w:rFonts w:ascii="Arial" w:hAnsi="Arial" w:cs="Arial"/>
          <w:b w:val="0"/>
          <w:bCs/>
          <w:lang w:val="es-UY"/>
        </w:rPr>
        <w:t xml:space="preserve">a lo precedentemente expuesto y a lo establecido en el </w:t>
      </w:r>
      <w:r w:rsidR="00576230">
        <w:rPr>
          <w:rFonts w:ascii="Arial" w:hAnsi="Arial" w:cs="Arial"/>
          <w:b w:val="0"/>
          <w:bCs/>
          <w:lang w:val="es-UY"/>
        </w:rPr>
        <w:t>A</w:t>
      </w:r>
      <w:r>
        <w:rPr>
          <w:rFonts w:ascii="Arial" w:hAnsi="Arial" w:cs="Arial"/>
          <w:b w:val="0"/>
          <w:bCs/>
          <w:lang w:val="es-UY"/>
        </w:rPr>
        <w:t xml:space="preserve">rtículo 211 </w:t>
      </w:r>
      <w:r w:rsidR="00576230">
        <w:rPr>
          <w:rFonts w:ascii="Arial" w:hAnsi="Arial" w:cs="Arial"/>
          <w:b w:val="0"/>
          <w:bCs/>
          <w:lang w:val="es-UY"/>
        </w:rPr>
        <w:t>L</w:t>
      </w:r>
      <w:r>
        <w:rPr>
          <w:rFonts w:ascii="Arial" w:hAnsi="Arial" w:cs="Arial"/>
          <w:b w:val="0"/>
          <w:bCs/>
          <w:lang w:val="es-UY"/>
        </w:rPr>
        <w:t>iteral B) de la Constitución de la República;</w:t>
      </w:r>
    </w:p>
    <w:p w:rsidR="005D67E4" w:rsidRPr="00A03E05" w:rsidRDefault="005D67E4">
      <w:pPr>
        <w:spacing w:line="360" w:lineRule="auto"/>
        <w:ind w:firstLine="708"/>
        <w:jc w:val="center"/>
        <w:rPr>
          <w:rFonts w:ascii="Arial" w:hAnsi="Arial"/>
          <w:color w:val="auto"/>
          <w:szCs w:val="24"/>
          <w:lang w:val="es-UY"/>
        </w:rPr>
      </w:pPr>
      <w:r w:rsidRPr="00A03E05">
        <w:rPr>
          <w:rFonts w:ascii="Arial" w:hAnsi="Arial"/>
          <w:color w:val="auto"/>
          <w:szCs w:val="24"/>
          <w:lang w:val="es-UY"/>
        </w:rPr>
        <w:t>EL TRIBUNAL ACUERDA</w:t>
      </w:r>
    </w:p>
    <w:p w:rsidR="005D67E4" w:rsidRDefault="0046757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  <w:lang w:val="es-UY"/>
        </w:rPr>
        <w:t>Expedirse en los términos de</w:t>
      </w:r>
      <w:r w:rsidR="00A03E05">
        <w:rPr>
          <w:rFonts w:ascii="Arial" w:hAnsi="Arial" w:cs="Arial"/>
          <w:b w:val="0"/>
          <w:bCs/>
          <w:lang w:val="es-UY"/>
        </w:rPr>
        <w:t xml:space="preserve"> </w:t>
      </w:r>
      <w:r>
        <w:rPr>
          <w:rFonts w:ascii="Arial" w:hAnsi="Arial" w:cs="Arial"/>
          <w:b w:val="0"/>
          <w:bCs/>
          <w:lang w:val="es-UY"/>
        </w:rPr>
        <w:t>l</w:t>
      </w:r>
      <w:r w:rsidR="00A03E05">
        <w:rPr>
          <w:rFonts w:ascii="Arial" w:hAnsi="Arial" w:cs="Arial"/>
          <w:b w:val="0"/>
          <w:bCs/>
          <w:lang w:val="es-UY"/>
        </w:rPr>
        <w:t>os</w:t>
      </w:r>
      <w:r>
        <w:rPr>
          <w:rFonts w:ascii="Arial" w:hAnsi="Arial" w:cs="Arial"/>
          <w:b w:val="0"/>
          <w:bCs/>
          <w:lang w:val="es-UY"/>
        </w:rPr>
        <w:t xml:space="preserve"> Considerando</w:t>
      </w:r>
      <w:r w:rsidR="00A03E05">
        <w:rPr>
          <w:rFonts w:ascii="Arial" w:hAnsi="Arial" w:cs="Arial"/>
          <w:b w:val="0"/>
          <w:bCs/>
          <w:lang w:val="es-UY"/>
        </w:rPr>
        <w:t>s</w:t>
      </w:r>
      <w:r>
        <w:rPr>
          <w:rFonts w:ascii="Arial" w:hAnsi="Arial" w:cs="Arial"/>
          <w:b w:val="0"/>
          <w:bCs/>
          <w:lang w:val="es-UY"/>
        </w:rPr>
        <w:t xml:space="preserve"> precedente</w:t>
      </w:r>
      <w:r w:rsidR="00A03E05">
        <w:rPr>
          <w:rFonts w:ascii="Arial" w:hAnsi="Arial" w:cs="Arial"/>
          <w:b w:val="0"/>
          <w:bCs/>
          <w:lang w:val="es-UY"/>
        </w:rPr>
        <w:t>s</w:t>
      </w:r>
      <w:r w:rsidR="005D67E4">
        <w:rPr>
          <w:rFonts w:ascii="Arial" w:hAnsi="Arial" w:cs="Arial"/>
          <w:b w:val="0"/>
          <w:bCs/>
          <w:lang w:val="es-UY"/>
        </w:rPr>
        <w:t>;</w:t>
      </w:r>
    </w:p>
    <w:p w:rsidR="005D67E4" w:rsidRDefault="005D67E4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  <w:lang w:val="es-UY"/>
        </w:rPr>
        <w:t>Comunicar al Contador Delegado ante la Intendencia  de Maldonado;</w:t>
      </w:r>
    </w:p>
    <w:p w:rsidR="005D67E4" w:rsidRDefault="005D67E4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 w:val="0"/>
          <w:bCs/>
        </w:rPr>
        <w:t>Devolver las actuaciones.</w:t>
      </w:r>
    </w:p>
    <w:p w:rsidR="005D67E4" w:rsidRDefault="005D67E4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5D67E4" w:rsidRPr="00576230" w:rsidRDefault="00576230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ES_tradnl"/>
        </w:rPr>
      </w:pPr>
      <w:proofErr w:type="spellStart"/>
      <w:proofErr w:type="gramStart"/>
      <w:r w:rsidRPr="00576230">
        <w:rPr>
          <w:rFonts w:ascii="Arial" w:hAnsi="Arial" w:cs="Arial"/>
          <w:b w:val="0"/>
          <w:bCs/>
          <w:szCs w:val="24"/>
          <w:lang w:val="es-ES_tradnl"/>
        </w:rPr>
        <w:t>ag</w:t>
      </w:r>
      <w:proofErr w:type="spellEnd"/>
      <w:proofErr w:type="gramEnd"/>
    </w:p>
    <w:sectPr w:rsidR="005D67E4" w:rsidRPr="00576230" w:rsidSect="00261668">
      <w:footerReference w:type="default" r:id="rId8"/>
      <w:pgSz w:w="11906" w:h="16838" w:code="9"/>
      <w:pgMar w:top="3289" w:right="1701" w:bottom="1418" w:left="170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71" w:rsidRDefault="006B6571">
      <w:r>
        <w:separator/>
      </w:r>
    </w:p>
  </w:endnote>
  <w:endnote w:type="continuationSeparator" w:id="0">
    <w:p w:rsidR="006B6571" w:rsidRDefault="006B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A5" w:rsidRDefault="00AB04A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61668">
      <w:rPr>
        <w:noProof/>
      </w:rPr>
      <w:t>1</w:t>
    </w:r>
    <w:r>
      <w:fldChar w:fldCharType="end"/>
    </w:r>
  </w:p>
  <w:p w:rsidR="00AB04A5" w:rsidRDefault="00AB04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71" w:rsidRDefault="006B6571">
      <w:r>
        <w:separator/>
      </w:r>
    </w:p>
  </w:footnote>
  <w:footnote w:type="continuationSeparator" w:id="0">
    <w:p w:rsidR="006B6571" w:rsidRDefault="006B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75A402F"/>
    <w:multiLevelType w:val="hybridMultilevel"/>
    <w:tmpl w:val="2F2ADDCC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C3C35DA"/>
    <w:multiLevelType w:val="hybridMultilevel"/>
    <w:tmpl w:val="AECC44A8"/>
    <w:lvl w:ilvl="0" w:tplc="06BE1EB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D22285"/>
    <w:multiLevelType w:val="hybridMultilevel"/>
    <w:tmpl w:val="2F2ADDCC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3"/>
  </w:num>
  <w:num w:numId="7">
    <w:abstractNumId w:val="17"/>
  </w:num>
  <w:num w:numId="8">
    <w:abstractNumId w:val="6"/>
  </w:num>
  <w:num w:numId="9">
    <w:abstractNumId w:val="3"/>
  </w:num>
  <w:num w:numId="10">
    <w:abstractNumId w:val="11"/>
  </w:num>
  <w:num w:numId="11">
    <w:abstractNumId w:val="20"/>
  </w:num>
  <w:num w:numId="12">
    <w:abstractNumId w:val="22"/>
  </w:num>
  <w:num w:numId="13">
    <w:abstractNumId w:val="25"/>
  </w:num>
  <w:num w:numId="14">
    <w:abstractNumId w:val="5"/>
  </w:num>
  <w:num w:numId="15">
    <w:abstractNumId w:val="16"/>
  </w:num>
  <w:num w:numId="16">
    <w:abstractNumId w:val="18"/>
  </w:num>
  <w:num w:numId="17">
    <w:abstractNumId w:val="21"/>
  </w:num>
  <w:num w:numId="18">
    <w:abstractNumId w:val="9"/>
  </w:num>
  <w:num w:numId="19">
    <w:abstractNumId w:val="10"/>
  </w:num>
  <w:num w:numId="20">
    <w:abstractNumId w:val="7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24"/>
  </w:num>
  <w:num w:numId="25">
    <w:abstractNumId w:val="12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5D"/>
    <w:rsid w:val="0003655D"/>
    <w:rsid w:val="00261668"/>
    <w:rsid w:val="00310BB7"/>
    <w:rsid w:val="00467578"/>
    <w:rsid w:val="004D08C7"/>
    <w:rsid w:val="00561CAF"/>
    <w:rsid w:val="00576230"/>
    <w:rsid w:val="005D67E4"/>
    <w:rsid w:val="006B6571"/>
    <w:rsid w:val="00712AB7"/>
    <w:rsid w:val="007217AF"/>
    <w:rsid w:val="007B3C49"/>
    <w:rsid w:val="0081678E"/>
    <w:rsid w:val="008D7921"/>
    <w:rsid w:val="00A03E05"/>
    <w:rsid w:val="00AB04A5"/>
    <w:rsid w:val="00AF3604"/>
    <w:rsid w:val="00B93073"/>
    <w:rsid w:val="00D6082F"/>
    <w:rsid w:val="00D66D2C"/>
    <w:rsid w:val="00D8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8</cp:revision>
  <cp:lastPrinted>2018-01-30T17:41:00Z</cp:lastPrinted>
  <dcterms:created xsi:type="dcterms:W3CDTF">2018-01-30T14:28:00Z</dcterms:created>
  <dcterms:modified xsi:type="dcterms:W3CDTF">2018-01-30T17:41:00Z</dcterms:modified>
</cp:coreProperties>
</file>