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AE" w:rsidRPr="00786EEB" w:rsidRDefault="005374A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213/18</w:t>
      </w:r>
    </w:p>
    <w:p w:rsidR="005374AE" w:rsidRDefault="005374A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374AE" w:rsidRPr="005374AE" w:rsidRDefault="005374A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374A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374AE" w:rsidRPr="005374AE" w:rsidRDefault="005374A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374A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374AE" w:rsidRPr="005374AE" w:rsidRDefault="005374A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374AE">
        <w:rPr>
          <w:rFonts w:ascii="Arial" w:hAnsi="Arial" w:cs="Arial"/>
          <w:b/>
          <w:sz w:val="24"/>
          <w:szCs w:val="24"/>
          <w:lang w:val="es-ES_tradnl"/>
        </w:rPr>
        <w:t xml:space="preserve">EN SESION DE FECHA 17 DE ENERO </w:t>
      </w:r>
      <w:r w:rsidRPr="005374AE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5374AE" w:rsidRPr="005374AE" w:rsidRDefault="005374A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5374AE">
        <w:rPr>
          <w:rFonts w:ascii="Arial" w:hAnsi="Arial" w:cs="Arial"/>
          <w:b/>
          <w:sz w:val="24"/>
          <w:szCs w:val="24"/>
          <w:lang w:val="es-UY"/>
        </w:rPr>
        <w:t xml:space="preserve">(E. E. Nº 2017-17-1-0006170, </w:t>
      </w:r>
      <w:proofErr w:type="spellStart"/>
      <w:r w:rsidRPr="005374AE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5374AE">
        <w:rPr>
          <w:rFonts w:ascii="Arial" w:hAnsi="Arial" w:cs="Arial"/>
          <w:b/>
          <w:sz w:val="24"/>
          <w:szCs w:val="24"/>
          <w:lang w:val="es-UY"/>
        </w:rPr>
        <w:t>. N° 6946/17)</w:t>
      </w:r>
    </w:p>
    <w:p w:rsidR="005374AE" w:rsidRPr="005374AE" w:rsidRDefault="005374A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C708DE" w:rsidRPr="00085AE4" w:rsidRDefault="005374AE" w:rsidP="005374AE">
      <w:pPr>
        <w:pStyle w:val="Ttulo"/>
        <w:ind w:firstLine="708"/>
        <w:jc w:val="both"/>
        <w:rPr>
          <w:u w:val="none"/>
        </w:rPr>
      </w:pPr>
      <w:r>
        <w:rPr>
          <w:u w:val="none"/>
        </w:rPr>
        <w:t>V</w:t>
      </w:r>
      <w:r w:rsidR="00C708DE" w:rsidRPr="00085AE4">
        <w:rPr>
          <w:u w:val="none"/>
        </w:rPr>
        <w:t xml:space="preserve">ISTO: </w:t>
      </w:r>
      <w:r w:rsidR="00474B75" w:rsidRPr="00085AE4">
        <w:rPr>
          <w:b w:val="0"/>
          <w:bCs w:val="0"/>
          <w:u w:val="none"/>
        </w:rPr>
        <w:t>el oficio Nº 569/2017 de fecha 20.12.1</w:t>
      </w:r>
      <w:r w:rsidR="009C5152">
        <w:rPr>
          <w:b w:val="0"/>
          <w:bCs w:val="0"/>
          <w:u w:val="none"/>
        </w:rPr>
        <w:t>7</w:t>
      </w:r>
      <w:bookmarkStart w:id="0" w:name="_GoBack"/>
      <w:bookmarkEnd w:id="0"/>
      <w:r w:rsidR="00474B75" w:rsidRPr="00085AE4">
        <w:rPr>
          <w:b w:val="0"/>
          <w:bCs w:val="0"/>
          <w:u w:val="none"/>
        </w:rPr>
        <w:t xml:space="preserve"> de la Intendencia de Tacuarembó, por el cual se remite la Resolución Nº 2434/2017 de fecha 20.12.17, que reitera el procedimiento de la Licitación Abreviada Nº16/2017, convocada para la explotación de los servicios del Parador “Los Médanos” en la Ciudad de San Gregorio de Polanco;</w:t>
      </w:r>
    </w:p>
    <w:p w:rsidR="00E47292" w:rsidRPr="00085AE4" w:rsidRDefault="00C708DE" w:rsidP="005374AE">
      <w:pPr>
        <w:pStyle w:val="Ttulo"/>
        <w:ind w:firstLine="709"/>
        <w:jc w:val="both"/>
        <w:rPr>
          <w:b w:val="0"/>
          <w:bCs w:val="0"/>
          <w:u w:val="none"/>
        </w:rPr>
      </w:pPr>
      <w:r w:rsidRPr="00085AE4">
        <w:rPr>
          <w:u w:val="none"/>
        </w:rPr>
        <w:t xml:space="preserve">RESULTANDO: 1) </w:t>
      </w:r>
      <w:r w:rsidRPr="00085AE4">
        <w:rPr>
          <w:b w:val="0"/>
          <w:bCs w:val="0"/>
          <w:u w:val="none"/>
        </w:rPr>
        <w:t xml:space="preserve">que </w:t>
      </w:r>
      <w:r w:rsidR="00474B75" w:rsidRPr="00085AE4">
        <w:rPr>
          <w:b w:val="0"/>
          <w:bCs w:val="0"/>
          <w:u w:val="none"/>
        </w:rPr>
        <w:t xml:space="preserve">la adjudicación </w:t>
      </w:r>
      <w:r w:rsidR="00E47292" w:rsidRPr="00085AE4">
        <w:rPr>
          <w:b w:val="0"/>
          <w:bCs w:val="0"/>
          <w:u w:val="none"/>
        </w:rPr>
        <w:t xml:space="preserve">del Parador referido </w:t>
      </w:r>
      <w:r w:rsidR="00474B75" w:rsidRPr="00085AE4">
        <w:rPr>
          <w:b w:val="0"/>
          <w:bCs w:val="0"/>
          <w:u w:val="none"/>
        </w:rPr>
        <w:t xml:space="preserve">se realizó a favor </w:t>
      </w:r>
      <w:r w:rsidR="005374AE">
        <w:rPr>
          <w:b w:val="0"/>
          <w:bCs w:val="0"/>
          <w:u w:val="none"/>
        </w:rPr>
        <w:t xml:space="preserve">  </w:t>
      </w:r>
      <w:r w:rsidR="00474B75" w:rsidRPr="00085AE4">
        <w:rPr>
          <w:b w:val="0"/>
          <w:bCs w:val="0"/>
          <w:u w:val="none"/>
        </w:rPr>
        <w:t xml:space="preserve">de </w:t>
      </w:r>
      <w:r w:rsidR="005374AE">
        <w:rPr>
          <w:b w:val="0"/>
          <w:bCs w:val="0"/>
          <w:u w:val="none"/>
        </w:rPr>
        <w:t xml:space="preserve">  </w:t>
      </w:r>
      <w:r w:rsidR="00474B75" w:rsidRPr="00085AE4">
        <w:rPr>
          <w:b w:val="0"/>
          <w:bCs w:val="0"/>
          <w:u w:val="none"/>
        </w:rPr>
        <w:t xml:space="preserve">la </w:t>
      </w:r>
      <w:r w:rsidR="005374AE">
        <w:rPr>
          <w:b w:val="0"/>
          <w:bCs w:val="0"/>
          <w:u w:val="none"/>
        </w:rPr>
        <w:t xml:space="preserve">  </w:t>
      </w:r>
      <w:r w:rsidR="00474B75" w:rsidRPr="00085AE4">
        <w:rPr>
          <w:b w:val="0"/>
          <w:bCs w:val="0"/>
          <w:u w:val="none"/>
        </w:rPr>
        <w:t xml:space="preserve">empresa </w:t>
      </w:r>
      <w:r w:rsidR="005374AE">
        <w:rPr>
          <w:b w:val="0"/>
          <w:bCs w:val="0"/>
          <w:u w:val="none"/>
        </w:rPr>
        <w:t xml:space="preserve"> </w:t>
      </w:r>
      <w:r w:rsidR="00474B75" w:rsidRPr="00085AE4">
        <w:rPr>
          <w:b w:val="0"/>
          <w:bCs w:val="0"/>
          <w:u w:val="none"/>
        </w:rPr>
        <w:t xml:space="preserve">Carlos </w:t>
      </w:r>
      <w:r w:rsidR="005374AE">
        <w:rPr>
          <w:b w:val="0"/>
          <w:bCs w:val="0"/>
          <w:u w:val="none"/>
        </w:rPr>
        <w:t xml:space="preserve"> </w:t>
      </w:r>
      <w:r w:rsidR="00474B75" w:rsidRPr="00085AE4">
        <w:rPr>
          <w:b w:val="0"/>
          <w:bCs w:val="0"/>
          <w:u w:val="none"/>
        </w:rPr>
        <w:t>An</w:t>
      </w:r>
      <w:r w:rsidR="00D831BC">
        <w:rPr>
          <w:b w:val="0"/>
          <w:bCs w:val="0"/>
          <w:u w:val="none"/>
        </w:rPr>
        <w:t>í</w:t>
      </w:r>
      <w:r w:rsidR="00474B75" w:rsidRPr="00085AE4">
        <w:rPr>
          <w:b w:val="0"/>
          <w:bCs w:val="0"/>
          <w:u w:val="none"/>
        </w:rPr>
        <w:t>bal</w:t>
      </w:r>
      <w:r w:rsidR="005374AE">
        <w:rPr>
          <w:b w:val="0"/>
          <w:bCs w:val="0"/>
          <w:u w:val="none"/>
        </w:rPr>
        <w:t xml:space="preserve"> </w:t>
      </w:r>
      <w:r w:rsidR="00474B75" w:rsidRPr="00085AE4">
        <w:rPr>
          <w:b w:val="0"/>
          <w:bCs w:val="0"/>
          <w:u w:val="none"/>
        </w:rPr>
        <w:t xml:space="preserve"> </w:t>
      </w:r>
      <w:proofErr w:type="spellStart"/>
      <w:r w:rsidR="00474B75" w:rsidRPr="00085AE4">
        <w:rPr>
          <w:b w:val="0"/>
          <w:bCs w:val="0"/>
          <w:u w:val="none"/>
        </w:rPr>
        <w:t>Texeira</w:t>
      </w:r>
      <w:proofErr w:type="spellEnd"/>
      <w:r w:rsidR="00474B75" w:rsidRPr="00085AE4">
        <w:rPr>
          <w:b w:val="0"/>
          <w:bCs w:val="0"/>
          <w:u w:val="none"/>
        </w:rPr>
        <w:t xml:space="preserve"> </w:t>
      </w:r>
      <w:proofErr w:type="spellStart"/>
      <w:r w:rsidR="00474B75" w:rsidRPr="00085AE4">
        <w:rPr>
          <w:b w:val="0"/>
          <w:bCs w:val="0"/>
          <w:u w:val="none"/>
        </w:rPr>
        <w:t>Juliani</w:t>
      </w:r>
      <w:proofErr w:type="spellEnd"/>
      <w:r w:rsidR="00474B75" w:rsidRPr="00085AE4">
        <w:rPr>
          <w:b w:val="0"/>
          <w:bCs w:val="0"/>
          <w:u w:val="none"/>
        </w:rPr>
        <w:t xml:space="preserve"> por un costo mensual de $</w:t>
      </w:r>
      <w:r w:rsidR="00D831BC">
        <w:rPr>
          <w:b w:val="0"/>
          <w:bCs w:val="0"/>
          <w:u w:val="none"/>
        </w:rPr>
        <w:t xml:space="preserve"> </w:t>
      </w:r>
      <w:r w:rsidR="00474B75" w:rsidRPr="00085AE4">
        <w:rPr>
          <w:b w:val="0"/>
          <w:bCs w:val="0"/>
          <w:u w:val="none"/>
        </w:rPr>
        <w:t xml:space="preserve">10.000 en temporada </w:t>
      </w:r>
      <w:r w:rsidR="00E47292" w:rsidRPr="00085AE4">
        <w:rPr>
          <w:b w:val="0"/>
          <w:bCs w:val="0"/>
          <w:u w:val="none"/>
        </w:rPr>
        <w:t>alta y $</w:t>
      </w:r>
      <w:r w:rsidR="00D831BC">
        <w:rPr>
          <w:b w:val="0"/>
          <w:bCs w:val="0"/>
          <w:u w:val="none"/>
        </w:rPr>
        <w:t xml:space="preserve"> </w:t>
      </w:r>
      <w:r w:rsidR="00E47292" w:rsidRPr="00085AE4">
        <w:rPr>
          <w:b w:val="0"/>
          <w:bCs w:val="0"/>
          <w:u w:val="none"/>
        </w:rPr>
        <w:t>5.500 en temporada baja;</w:t>
      </w:r>
    </w:p>
    <w:p w:rsidR="00675C00" w:rsidRPr="00085AE4" w:rsidRDefault="00E47292" w:rsidP="005374AE">
      <w:pPr>
        <w:pStyle w:val="Ttulo"/>
        <w:tabs>
          <w:tab w:val="left" w:pos="1843"/>
        </w:tabs>
        <w:ind w:firstLine="2552"/>
        <w:jc w:val="both"/>
        <w:rPr>
          <w:b w:val="0"/>
          <w:bCs w:val="0"/>
          <w:u w:val="none"/>
        </w:rPr>
      </w:pPr>
      <w:r w:rsidRPr="00085AE4">
        <w:rPr>
          <w:bCs w:val="0"/>
          <w:u w:val="none"/>
        </w:rPr>
        <w:t>2)</w:t>
      </w:r>
      <w:r w:rsidRPr="00085AE4">
        <w:rPr>
          <w:b w:val="0"/>
          <w:bCs w:val="0"/>
          <w:u w:val="none"/>
        </w:rPr>
        <w:t xml:space="preserve"> que e</w:t>
      </w:r>
      <w:r w:rsidR="00474B75" w:rsidRPr="00085AE4">
        <w:rPr>
          <w:b w:val="0"/>
          <w:bCs w:val="0"/>
          <w:u w:val="none"/>
        </w:rPr>
        <w:t>ste Tribunal</w:t>
      </w:r>
      <w:r w:rsidR="00D831BC">
        <w:rPr>
          <w:b w:val="0"/>
          <w:bCs w:val="0"/>
          <w:u w:val="none"/>
        </w:rPr>
        <w:t>,</w:t>
      </w:r>
      <w:r w:rsidR="00474B75" w:rsidRPr="00085AE4">
        <w:rPr>
          <w:b w:val="0"/>
          <w:bCs w:val="0"/>
          <w:u w:val="none"/>
        </w:rPr>
        <w:t xml:space="preserve"> en Sesión de fecha 06</w:t>
      </w:r>
      <w:r w:rsidR="00366847" w:rsidRPr="00085AE4">
        <w:rPr>
          <w:b w:val="0"/>
          <w:bCs w:val="0"/>
          <w:u w:val="none"/>
        </w:rPr>
        <w:t>.12.17</w:t>
      </w:r>
      <w:r w:rsidR="00D831BC">
        <w:rPr>
          <w:b w:val="0"/>
          <w:bCs w:val="0"/>
          <w:u w:val="none"/>
        </w:rPr>
        <w:t>,</w:t>
      </w:r>
      <w:r w:rsidR="00366847" w:rsidRPr="00085AE4">
        <w:rPr>
          <w:b w:val="0"/>
          <w:bCs w:val="0"/>
          <w:u w:val="none"/>
        </w:rPr>
        <w:t xml:space="preserve"> observó el procedimiento, por haberse contravenido en el mismo el </w:t>
      </w:r>
      <w:r w:rsidR="005374AE">
        <w:rPr>
          <w:b w:val="0"/>
          <w:bCs w:val="0"/>
          <w:u w:val="none"/>
        </w:rPr>
        <w:t>A</w:t>
      </w:r>
      <w:r w:rsidR="00366847" w:rsidRPr="00085AE4">
        <w:rPr>
          <w:b w:val="0"/>
          <w:bCs w:val="0"/>
          <w:u w:val="none"/>
        </w:rPr>
        <w:t xml:space="preserve">rtículo 48 </w:t>
      </w:r>
      <w:r w:rsidR="005374AE">
        <w:rPr>
          <w:b w:val="0"/>
          <w:bCs w:val="0"/>
          <w:u w:val="none"/>
        </w:rPr>
        <w:t>L</w:t>
      </w:r>
      <w:r w:rsidR="00366847" w:rsidRPr="00085AE4">
        <w:rPr>
          <w:b w:val="0"/>
          <w:bCs w:val="0"/>
          <w:u w:val="none"/>
        </w:rPr>
        <w:t xml:space="preserve">iteral C) del T.O.C.A.F, al no establecer en el Pliego Particular de Condiciones, la ponderación de cada uno de los factores que se tendrán en </w:t>
      </w:r>
      <w:proofErr w:type="gramStart"/>
      <w:r w:rsidR="00366847" w:rsidRPr="00085AE4">
        <w:rPr>
          <w:b w:val="0"/>
          <w:bCs w:val="0"/>
          <w:u w:val="none"/>
        </w:rPr>
        <w:t>cuenta</w:t>
      </w:r>
      <w:proofErr w:type="gramEnd"/>
      <w:r w:rsidR="00366847" w:rsidRPr="00085AE4">
        <w:rPr>
          <w:b w:val="0"/>
          <w:bCs w:val="0"/>
          <w:u w:val="none"/>
        </w:rPr>
        <w:t xml:space="preserve"> para evaluar las ofertas;</w:t>
      </w:r>
    </w:p>
    <w:p w:rsidR="00085AE4" w:rsidRPr="00085AE4" w:rsidRDefault="00366847" w:rsidP="005374AE">
      <w:pPr>
        <w:pStyle w:val="Ttulo"/>
        <w:tabs>
          <w:tab w:val="left" w:pos="1843"/>
        </w:tabs>
        <w:ind w:firstLine="2552"/>
        <w:jc w:val="both"/>
        <w:rPr>
          <w:b w:val="0"/>
          <w:bCs w:val="0"/>
          <w:u w:val="none"/>
        </w:rPr>
      </w:pPr>
      <w:r w:rsidRPr="00085AE4">
        <w:rPr>
          <w:bCs w:val="0"/>
          <w:u w:val="none"/>
        </w:rPr>
        <w:t xml:space="preserve">3) </w:t>
      </w:r>
      <w:r w:rsidRPr="00085AE4">
        <w:rPr>
          <w:b w:val="0"/>
          <w:bCs w:val="0"/>
          <w:u w:val="none"/>
        </w:rPr>
        <w:t xml:space="preserve">que en la Resolución relacionada en el Visto del presente, el Intendente señala que se reiteran los procedimientos efectuados en el llamado a licitación, ya que se entiende que el Sr. </w:t>
      </w:r>
      <w:proofErr w:type="spellStart"/>
      <w:r w:rsidRPr="00085AE4">
        <w:rPr>
          <w:b w:val="0"/>
          <w:bCs w:val="0"/>
          <w:u w:val="none"/>
        </w:rPr>
        <w:t>Texeira</w:t>
      </w:r>
      <w:proofErr w:type="spellEnd"/>
      <w:r w:rsidRPr="00085AE4">
        <w:rPr>
          <w:b w:val="0"/>
          <w:bCs w:val="0"/>
          <w:u w:val="none"/>
        </w:rPr>
        <w:t xml:space="preserve"> actual concesionario, ha brindado en el Parador un servicio por demás satisfactorio;</w:t>
      </w:r>
    </w:p>
    <w:p w:rsidR="00085AE4" w:rsidRPr="00085AE4" w:rsidRDefault="002855C2" w:rsidP="005374AE">
      <w:pPr>
        <w:pStyle w:val="Ttulo"/>
        <w:tabs>
          <w:tab w:val="left" w:pos="1843"/>
        </w:tabs>
        <w:ind w:firstLine="709"/>
        <w:jc w:val="both"/>
        <w:rPr>
          <w:b w:val="0"/>
          <w:bCs w:val="0"/>
          <w:u w:val="none"/>
          <w:lang w:val="es-ES_tradnl"/>
        </w:rPr>
      </w:pPr>
      <w:r w:rsidRPr="00085AE4">
        <w:rPr>
          <w:bCs w:val="0"/>
          <w:u w:val="none"/>
        </w:rPr>
        <w:t>CONSIDERANDO:</w:t>
      </w:r>
      <w:r w:rsidRPr="00085AE4">
        <w:rPr>
          <w:u w:val="none"/>
        </w:rPr>
        <w:t xml:space="preserve"> </w:t>
      </w:r>
      <w:r w:rsidRPr="00085AE4">
        <w:rPr>
          <w:bCs w:val="0"/>
          <w:u w:val="none"/>
          <w:lang w:val="es-MX"/>
        </w:rPr>
        <w:t>1)</w:t>
      </w:r>
      <w:r w:rsidRPr="00085AE4">
        <w:rPr>
          <w:u w:val="none"/>
          <w:lang w:val="es-MX"/>
        </w:rPr>
        <w:t xml:space="preserve"> </w:t>
      </w:r>
      <w:r w:rsidR="00085AE4" w:rsidRPr="00085AE4">
        <w:rPr>
          <w:b w:val="0"/>
          <w:bCs w:val="0"/>
          <w:u w:val="none"/>
          <w:lang w:val="es-MX"/>
        </w:rPr>
        <w:t>que tratándose de la percepción de un canon, no resulta de aplicación lo dispuesto por el Art</w:t>
      </w:r>
      <w:r w:rsidR="005374AE">
        <w:rPr>
          <w:b w:val="0"/>
          <w:bCs w:val="0"/>
          <w:u w:val="none"/>
          <w:lang w:val="es-MX"/>
        </w:rPr>
        <w:t>ículo</w:t>
      </w:r>
      <w:r w:rsidR="00085AE4" w:rsidRPr="00085AE4">
        <w:rPr>
          <w:b w:val="0"/>
          <w:bCs w:val="0"/>
          <w:u w:val="none"/>
          <w:lang w:val="es-MX"/>
        </w:rPr>
        <w:t xml:space="preserve"> 211 </w:t>
      </w:r>
      <w:r w:rsidR="005374AE">
        <w:rPr>
          <w:b w:val="0"/>
          <w:bCs w:val="0"/>
          <w:u w:val="none"/>
          <w:lang w:val="es-MX"/>
        </w:rPr>
        <w:t>L</w:t>
      </w:r>
      <w:r w:rsidR="00085AE4" w:rsidRPr="00085AE4">
        <w:rPr>
          <w:b w:val="0"/>
          <w:bCs w:val="0"/>
          <w:u w:val="none"/>
          <w:lang w:val="es-MX"/>
        </w:rPr>
        <w:t>iteral B) de la Constitución de la República ni el Art</w:t>
      </w:r>
      <w:r w:rsidR="005374AE">
        <w:rPr>
          <w:b w:val="0"/>
          <w:bCs w:val="0"/>
          <w:u w:val="none"/>
          <w:lang w:val="es-MX"/>
        </w:rPr>
        <w:t>ículo</w:t>
      </w:r>
      <w:r w:rsidR="00085AE4" w:rsidRPr="00085AE4">
        <w:rPr>
          <w:b w:val="0"/>
          <w:bCs w:val="0"/>
          <w:u w:val="none"/>
          <w:lang w:val="es-MX"/>
        </w:rPr>
        <w:t xml:space="preserve"> 114 del TOCAF, normas previstas </w:t>
      </w:r>
      <w:r w:rsidR="00085AE4" w:rsidRPr="00085AE4">
        <w:rPr>
          <w:b w:val="0"/>
          <w:bCs w:val="0"/>
          <w:u w:val="none"/>
          <w:lang w:val="es-MX"/>
        </w:rPr>
        <w:lastRenderedPageBreak/>
        <w:t>para las hipótesis de reiteración de gastos o pagos, los cuales no se pueden extender de forma analógica para los casos de ingresos para la Administración;</w:t>
      </w:r>
    </w:p>
    <w:p w:rsidR="00085AE4" w:rsidRPr="00085AE4" w:rsidRDefault="00085AE4" w:rsidP="005374A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 w:rsidRPr="00085AE4">
        <w:rPr>
          <w:rFonts w:ascii="Arial" w:hAnsi="Arial"/>
          <w:b/>
          <w:bCs/>
          <w:sz w:val="24"/>
          <w:szCs w:val="24"/>
          <w:lang w:val="es-MX"/>
        </w:rPr>
        <w:t>2)</w:t>
      </w:r>
      <w:r w:rsidRPr="00085AE4">
        <w:rPr>
          <w:rFonts w:ascii="Arial" w:hAnsi="Arial"/>
          <w:bCs/>
          <w:sz w:val="24"/>
          <w:szCs w:val="24"/>
          <w:lang w:val="es-MX"/>
        </w:rPr>
        <w:t xml:space="preserve"> que, asimismo, la observación del procedimiento formulada oportunamente tiene carácter insubsanable, </w:t>
      </w:r>
      <w:r w:rsidRPr="00085AE4">
        <w:rPr>
          <w:rFonts w:ascii="Arial" w:hAnsi="Arial"/>
          <w:sz w:val="24"/>
          <w:szCs w:val="24"/>
          <w:lang w:val="es-MX"/>
        </w:rPr>
        <w:t xml:space="preserve">manteniéndose </w:t>
      </w:r>
      <w:r>
        <w:rPr>
          <w:rFonts w:ascii="Arial" w:hAnsi="Arial"/>
          <w:sz w:val="24"/>
          <w:szCs w:val="24"/>
          <w:lang w:val="es-MX"/>
        </w:rPr>
        <w:t xml:space="preserve">por tanto </w:t>
      </w:r>
      <w:r w:rsidRPr="00085AE4">
        <w:rPr>
          <w:rFonts w:ascii="Arial" w:hAnsi="Arial"/>
          <w:sz w:val="24"/>
          <w:szCs w:val="24"/>
          <w:lang w:val="es-MX"/>
        </w:rPr>
        <w:t xml:space="preserve">incambiadas las circunstancias que </w:t>
      </w:r>
      <w:r w:rsidRPr="00085AE4">
        <w:rPr>
          <w:rFonts w:ascii="Arial" w:hAnsi="Arial" w:cs="Arial"/>
          <w:sz w:val="24"/>
          <w:szCs w:val="24"/>
          <w:lang w:val="es-MX"/>
        </w:rPr>
        <w:t xml:space="preserve">ameritaron la </w:t>
      </w:r>
      <w:r w:rsidR="00544381">
        <w:rPr>
          <w:rFonts w:ascii="Arial" w:hAnsi="Arial" w:cs="Arial"/>
          <w:sz w:val="24"/>
          <w:szCs w:val="24"/>
          <w:lang w:val="es-MX"/>
        </w:rPr>
        <w:t>Resolución</w:t>
      </w:r>
      <w:r w:rsidRPr="00085AE4">
        <w:rPr>
          <w:rFonts w:ascii="Arial" w:hAnsi="Arial" w:cs="Arial"/>
          <w:sz w:val="24"/>
          <w:szCs w:val="24"/>
          <w:lang w:val="es-MX"/>
        </w:rPr>
        <w:t xml:space="preserve"> de este Tribunal de fecha  06.12.17;</w:t>
      </w:r>
    </w:p>
    <w:p w:rsidR="002855C2" w:rsidRDefault="002855C2" w:rsidP="005374A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085AE4">
        <w:rPr>
          <w:rFonts w:ascii="Arial" w:hAnsi="Arial" w:cs="Arial"/>
          <w:b/>
          <w:bCs/>
          <w:sz w:val="24"/>
          <w:szCs w:val="24"/>
          <w:lang w:eastAsia="es-ES"/>
        </w:rPr>
        <w:t xml:space="preserve">ATENTO: </w:t>
      </w:r>
      <w:r w:rsidRPr="00085AE4">
        <w:rPr>
          <w:rFonts w:ascii="Arial" w:hAnsi="Arial" w:cs="Arial"/>
          <w:sz w:val="24"/>
          <w:szCs w:val="24"/>
          <w:lang w:eastAsia="es-ES"/>
        </w:rPr>
        <w:t>a lo expuesto y a lo disp</w:t>
      </w:r>
      <w:r w:rsidR="00544381">
        <w:rPr>
          <w:rFonts w:ascii="Arial" w:hAnsi="Arial" w:cs="Arial"/>
          <w:sz w:val="24"/>
          <w:szCs w:val="24"/>
          <w:lang w:eastAsia="es-ES"/>
        </w:rPr>
        <w:t>uesto por los Art</w:t>
      </w:r>
      <w:r w:rsidR="005374AE">
        <w:rPr>
          <w:rFonts w:ascii="Arial" w:hAnsi="Arial" w:cs="Arial"/>
          <w:sz w:val="24"/>
          <w:szCs w:val="24"/>
          <w:lang w:eastAsia="es-ES"/>
        </w:rPr>
        <w:t>ículo</w:t>
      </w:r>
      <w:r w:rsidR="00544381">
        <w:rPr>
          <w:rFonts w:ascii="Arial" w:hAnsi="Arial" w:cs="Arial"/>
          <w:sz w:val="24"/>
          <w:szCs w:val="24"/>
          <w:lang w:eastAsia="es-ES"/>
        </w:rPr>
        <w:t xml:space="preserve"> 211 </w:t>
      </w:r>
      <w:r w:rsidR="005374AE">
        <w:rPr>
          <w:rFonts w:ascii="Arial" w:hAnsi="Arial" w:cs="Arial"/>
          <w:sz w:val="24"/>
          <w:szCs w:val="24"/>
          <w:lang w:eastAsia="es-ES"/>
        </w:rPr>
        <w:t>L</w:t>
      </w:r>
      <w:r w:rsidR="00544381">
        <w:rPr>
          <w:rFonts w:ascii="Arial" w:hAnsi="Arial" w:cs="Arial"/>
          <w:sz w:val="24"/>
          <w:szCs w:val="24"/>
          <w:lang w:eastAsia="es-ES"/>
        </w:rPr>
        <w:t>iteral E</w:t>
      </w:r>
      <w:r w:rsidRPr="00085AE4">
        <w:rPr>
          <w:rFonts w:ascii="Arial" w:hAnsi="Arial" w:cs="Arial"/>
          <w:sz w:val="24"/>
          <w:szCs w:val="24"/>
          <w:lang w:eastAsia="es-ES"/>
        </w:rPr>
        <w:t>) de la Constitución de la República</w:t>
      </w:r>
      <w:r w:rsidR="005374AE"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2855C2" w:rsidRPr="005374AE" w:rsidRDefault="002855C2" w:rsidP="005374AE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 w:rsidRPr="005374AE"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  <w:r w:rsidR="00085AE4" w:rsidRPr="005374AE">
        <w:rPr>
          <w:rFonts w:ascii="Arial" w:hAnsi="Arial" w:cs="Arial"/>
          <w:b/>
          <w:bCs/>
          <w:sz w:val="24"/>
          <w:szCs w:val="24"/>
          <w:lang w:val="es-MX" w:eastAsia="es-ES"/>
        </w:rPr>
        <w:t>:</w:t>
      </w:r>
    </w:p>
    <w:p w:rsidR="002855C2" w:rsidRPr="00085AE4" w:rsidRDefault="00085AE4" w:rsidP="005374A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Estar a lo dispuesto en sesión de fecha 06.12.17;</w:t>
      </w:r>
      <w:r w:rsidR="005374AE">
        <w:rPr>
          <w:rFonts w:ascii="Arial" w:hAnsi="Arial" w:cs="Arial"/>
          <w:sz w:val="24"/>
          <w:szCs w:val="24"/>
          <w:lang w:val="es-MX" w:eastAsia="es-ES"/>
        </w:rPr>
        <w:t xml:space="preserve"> y</w:t>
      </w:r>
    </w:p>
    <w:p w:rsidR="002855C2" w:rsidRDefault="00C0433F" w:rsidP="005374A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Oficiar.</w:t>
      </w:r>
      <w:r w:rsidR="00EB3648">
        <w:rPr>
          <w:rFonts w:ascii="Arial" w:hAnsi="Arial" w:cs="Arial"/>
          <w:sz w:val="24"/>
          <w:szCs w:val="24"/>
          <w:lang w:val="es-MX" w:eastAsia="es-ES"/>
        </w:rPr>
        <w:t>”</w:t>
      </w:r>
    </w:p>
    <w:p w:rsidR="00EB3648" w:rsidRPr="00085AE4" w:rsidRDefault="00EB3648" w:rsidP="00EB3648">
      <w:pPr>
        <w:spacing w:after="0" w:line="360" w:lineRule="auto"/>
        <w:ind w:left="360"/>
        <w:rPr>
          <w:rFonts w:ascii="Arial" w:hAnsi="Arial" w:cs="Arial"/>
          <w:sz w:val="24"/>
          <w:szCs w:val="24"/>
          <w:lang w:val="es-MX" w:eastAsia="es-ES"/>
        </w:rPr>
      </w:pPr>
    </w:p>
    <w:p w:rsidR="00C708DE" w:rsidRDefault="00C708DE" w:rsidP="005374AE">
      <w:pPr>
        <w:pStyle w:val="Ttulo"/>
        <w:widowControl w:val="0"/>
        <w:ind w:firstLine="709"/>
        <w:jc w:val="both"/>
        <w:rPr>
          <w:b w:val="0"/>
          <w:bCs w:val="0"/>
          <w:u w:val="none"/>
          <w:lang w:val="es-ES_tradnl"/>
        </w:rPr>
      </w:pPr>
      <w:r w:rsidRPr="00085AE4">
        <w:rPr>
          <w:b w:val="0"/>
          <w:bCs w:val="0"/>
          <w:u w:val="none"/>
          <w:lang w:val="es-ES_tradnl"/>
        </w:rPr>
        <w:t xml:space="preserve"> </w:t>
      </w:r>
    </w:p>
    <w:p w:rsidR="00544381" w:rsidRDefault="00544381" w:rsidP="00544381">
      <w:pPr>
        <w:pStyle w:val="Ttulo"/>
        <w:widowControl w:val="0"/>
        <w:jc w:val="both"/>
        <w:rPr>
          <w:b w:val="0"/>
          <w:bCs w:val="0"/>
          <w:u w:val="none"/>
          <w:lang w:val="es-ES_tradnl"/>
        </w:rPr>
      </w:pPr>
    </w:p>
    <w:p w:rsidR="00544381" w:rsidRDefault="005374AE" w:rsidP="00544381">
      <w:pPr>
        <w:pStyle w:val="Ttulo"/>
        <w:widowControl w:val="0"/>
        <w:jc w:val="both"/>
        <w:rPr>
          <w:b w:val="0"/>
          <w:bCs w:val="0"/>
          <w:u w:val="none"/>
          <w:lang w:val="es-ES_tradnl"/>
        </w:rPr>
      </w:pPr>
      <w:proofErr w:type="spellStart"/>
      <w:proofErr w:type="gramStart"/>
      <w:r>
        <w:rPr>
          <w:b w:val="0"/>
          <w:bCs w:val="0"/>
          <w:u w:val="none"/>
          <w:lang w:val="es-ES_tradnl"/>
        </w:rPr>
        <w:t>cr</w:t>
      </w:r>
      <w:proofErr w:type="spellEnd"/>
      <w:proofErr w:type="gramEnd"/>
    </w:p>
    <w:sectPr w:rsidR="00544381" w:rsidSect="00A064E6">
      <w:pgSz w:w="11906" w:h="16838" w:code="9"/>
      <w:pgMar w:top="3402" w:right="1701" w:bottom="1418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DEAC2D3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DE"/>
    <w:rsid w:val="0008404B"/>
    <w:rsid w:val="00085AE4"/>
    <w:rsid w:val="00112F47"/>
    <w:rsid w:val="001F0552"/>
    <w:rsid w:val="00222589"/>
    <w:rsid w:val="002855C2"/>
    <w:rsid w:val="002B3783"/>
    <w:rsid w:val="002C1A9A"/>
    <w:rsid w:val="00366847"/>
    <w:rsid w:val="00373761"/>
    <w:rsid w:val="003F5585"/>
    <w:rsid w:val="00422665"/>
    <w:rsid w:val="00465BB4"/>
    <w:rsid w:val="00474B75"/>
    <w:rsid w:val="0047785D"/>
    <w:rsid w:val="00510069"/>
    <w:rsid w:val="005158FC"/>
    <w:rsid w:val="005374AE"/>
    <w:rsid w:val="00544381"/>
    <w:rsid w:val="00570B6F"/>
    <w:rsid w:val="005845CC"/>
    <w:rsid w:val="005D19F2"/>
    <w:rsid w:val="00640CA0"/>
    <w:rsid w:val="00675C00"/>
    <w:rsid w:val="006D7265"/>
    <w:rsid w:val="00772C27"/>
    <w:rsid w:val="007A7EEF"/>
    <w:rsid w:val="008F0821"/>
    <w:rsid w:val="00910831"/>
    <w:rsid w:val="00954516"/>
    <w:rsid w:val="00962441"/>
    <w:rsid w:val="00964CD3"/>
    <w:rsid w:val="009A3ACD"/>
    <w:rsid w:val="009B7763"/>
    <w:rsid w:val="009C5152"/>
    <w:rsid w:val="00A064E6"/>
    <w:rsid w:val="00A324B0"/>
    <w:rsid w:val="00AA0B36"/>
    <w:rsid w:val="00AF2AC6"/>
    <w:rsid w:val="00BC4CF5"/>
    <w:rsid w:val="00C0220D"/>
    <w:rsid w:val="00C0433F"/>
    <w:rsid w:val="00C3303C"/>
    <w:rsid w:val="00C50024"/>
    <w:rsid w:val="00C520F1"/>
    <w:rsid w:val="00C708DE"/>
    <w:rsid w:val="00CE3D3F"/>
    <w:rsid w:val="00D831BC"/>
    <w:rsid w:val="00D93914"/>
    <w:rsid w:val="00DA3A70"/>
    <w:rsid w:val="00E47292"/>
    <w:rsid w:val="00E560C3"/>
    <w:rsid w:val="00EB3648"/>
    <w:rsid w:val="00F02C7E"/>
    <w:rsid w:val="00F774D0"/>
    <w:rsid w:val="00FB49BE"/>
    <w:rsid w:val="00FD2620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373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373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BB13-C80C-478F-9C26-295E02C6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336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2014-17-1-0008777</vt:lpstr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2014-17-1-0008777</dc:title>
  <dc:creator>ANDREA AREOSO USHER</dc:creator>
  <cp:lastModifiedBy>Tribunal1</cp:lastModifiedBy>
  <cp:revision>6</cp:revision>
  <cp:lastPrinted>2018-01-24T17:35:00Z</cp:lastPrinted>
  <dcterms:created xsi:type="dcterms:W3CDTF">2018-01-23T17:28:00Z</dcterms:created>
  <dcterms:modified xsi:type="dcterms:W3CDTF">2018-01-24T17:35:00Z</dcterms:modified>
</cp:coreProperties>
</file>