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A29" w:rsidRPr="00382A29" w:rsidRDefault="00382A29" w:rsidP="00382A29">
      <w:pPr>
        <w:tabs>
          <w:tab w:val="center" w:pos="4253"/>
        </w:tabs>
        <w:suppressAutoHyphens/>
        <w:jc w:val="right"/>
        <w:rPr>
          <w:rFonts w:cs="Arial"/>
          <w:b/>
          <w:color w:val="000000"/>
          <w:sz w:val="28"/>
          <w:szCs w:val="28"/>
          <w:lang w:val="es-ES_tradnl"/>
        </w:rPr>
      </w:pPr>
      <w:r w:rsidRPr="00382A29">
        <w:rPr>
          <w:rFonts w:cs="Arial"/>
          <w:b/>
          <w:color w:val="000000"/>
          <w:sz w:val="28"/>
          <w:szCs w:val="28"/>
          <w:lang w:val="es-ES_tradnl"/>
        </w:rPr>
        <w:t>RES. 13</w:t>
      </w:r>
      <w:r w:rsidR="001D690A">
        <w:rPr>
          <w:rFonts w:cs="Arial"/>
          <w:b/>
          <w:color w:val="000000"/>
          <w:sz w:val="28"/>
          <w:szCs w:val="28"/>
          <w:lang w:val="es-ES_tradnl"/>
        </w:rPr>
        <w:t>4</w:t>
      </w:r>
      <w:r w:rsidRPr="00382A29">
        <w:rPr>
          <w:rFonts w:cs="Arial"/>
          <w:b/>
          <w:color w:val="000000"/>
          <w:sz w:val="28"/>
          <w:szCs w:val="28"/>
          <w:lang w:val="es-ES_tradnl"/>
        </w:rPr>
        <w:t>/18</w:t>
      </w:r>
    </w:p>
    <w:p w:rsidR="00382A29" w:rsidRPr="00382A29" w:rsidRDefault="00382A29" w:rsidP="00382A29">
      <w:pPr>
        <w:tabs>
          <w:tab w:val="center" w:pos="4253"/>
        </w:tabs>
        <w:suppressAutoHyphens/>
        <w:jc w:val="center"/>
        <w:rPr>
          <w:rFonts w:cs="Arial"/>
          <w:b/>
          <w:color w:val="000000"/>
          <w:szCs w:val="20"/>
          <w:lang w:val="es-ES_tradnl"/>
        </w:rPr>
      </w:pPr>
    </w:p>
    <w:p w:rsidR="00382A29" w:rsidRPr="00382A29" w:rsidRDefault="00382A29" w:rsidP="00382A29">
      <w:pPr>
        <w:tabs>
          <w:tab w:val="center" w:pos="4253"/>
        </w:tabs>
        <w:suppressAutoHyphens/>
        <w:jc w:val="center"/>
        <w:rPr>
          <w:rFonts w:ascii="Helvetica" w:hAnsi="Helvetica"/>
          <w:b/>
          <w:color w:val="000000"/>
          <w:szCs w:val="20"/>
          <w:lang w:val="es-ES_tradnl"/>
        </w:rPr>
      </w:pPr>
      <w:r w:rsidRPr="00382A29">
        <w:rPr>
          <w:rFonts w:ascii="Helvetica" w:hAnsi="Helvetica"/>
          <w:b/>
          <w:color w:val="000000"/>
          <w:szCs w:val="20"/>
          <w:lang w:val="es-ES_tradnl"/>
        </w:rPr>
        <w:t>RESOLUCION ADOPTADA POR EL</w:t>
      </w:r>
    </w:p>
    <w:p w:rsidR="00382A29" w:rsidRPr="00382A29" w:rsidRDefault="00382A29" w:rsidP="00382A29">
      <w:pPr>
        <w:tabs>
          <w:tab w:val="left" w:pos="-720"/>
        </w:tabs>
        <w:suppressAutoHyphens/>
        <w:jc w:val="center"/>
        <w:rPr>
          <w:rFonts w:ascii="Helvetica" w:hAnsi="Helvetica"/>
          <w:b/>
          <w:color w:val="000000"/>
          <w:szCs w:val="20"/>
          <w:lang w:val="es-ES_tradnl"/>
        </w:rPr>
      </w:pPr>
    </w:p>
    <w:p w:rsidR="00382A29" w:rsidRPr="00382A29" w:rsidRDefault="00382A29" w:rsidP="00382A29">
      <w:pPr>
        <w:tabs>
          <w:tab w:val="center" w:pos="4253"/>
        </w:tabs>
        <w:suppressAutoHyphens/>
        <w:jc w:val="center"/>
        <w:rPr>
          <w:rFonts w:ascii="Helvetica" w:hAnsi="Helvetica"/>
          <w:b/>
          <w:color w:val="000000"/>
          <w:szCs w:val="20"/>
          <w:lang w:val="es-ES_tradnl"/>
        </w:rPr>
      </w:pPr>
      <w:r w:rsidRPr="00382A29">
        <w:rPr>
          <w:rFonts w:ascii="Helvetica" w:hAnsi="Helvetica"/>
          <w:b/>
          <w:color w:val="000000"/>
          <w:szCs w:val="20"/>
          <w:lang w:val="es-ES_tradnl"/>
        </w:rPr>
        <w:t>TRIBUNAL DE CUENTAS</w:t>
      </w:r>
    </w:p>
    <w:p w:rsidR="00382A29" w:rsidRPr="00382A29" w:rsidRDefault="00382A29" w:rsidP="00382A29">
      <w:pPr>
        <w:tabs>
          <w:tab w:val="left" w:pos="-720"/>
        </w:tabs>
        <w:suppressAutoHyphens/>
        <w:jc w:val="center"/>
        <w:rPr>
          <w:rFonts w:ascii="Helvetica" w:hAnsi="Helvetica"/>
          <w:b/>
          <w:color w:val="000000"/>
          <w:szCs w:val="20"/>
          <w:lang w:val="es-ES_tradnl"/>
        </w:rPr>
      </w:pPr>
    </w:p>
    <w:p w:rsidR="00382A29" w:rsidRPr="00382A29" w:rsidRDefault="00382A29" w:rsidP="00382A29">
      <w:pPr>
        <w:tabs>
          <w:tab w:val="center" w:pos="4253"/>
        </w:tabs>
        <w:suppressAutoHyphens/>
        <w:jc w:val="center"/>
        <w:rPr>
          <w:rFonts w:ascii="Helvetica" w:hAnsi="Helvetica"/>
          <w:b/>
          <w:color w:val="000000"/>
          <w:szCs w:val="20"/>
          <w:lang w:val="es-ES_tradnl"/>
        </w:rPr>
      </w:pPr>
      <w:r w:rsidRPr="00382A29">
        <w:rPr>
          <w:rFonts w:ascii="Helvetica" w:hAnsi="Helvetica"/>
          <w:b/>
          <w:color w:val="000000"/>
          <w:szCs w:val="20"/>
          <w:lang w:val="es-ES_tradnl"/>
        </w:rPr>
        <w:t xml:space="preserve">EN SESION DE FECHA 10 </w:t>
      </w:r>
      <w:r w:rsidRPr="00382A29">
        <w:rPr>
          <w:rFonts w:cs="Arial"/>
          <w:b/>
          <w:color w:val="000000"/>
          <w:szCs w:val="20"/>
          <w:lang w:val="es-ES_tradnl"/>
        </w:rPr>
        <w:t xml:space="preserve">DE ENERO </w:t>
      </w:r>
      <w:r w:rsidRPr="00382A29">
        <w:rPr>
          <w:rFonts w:ascii="Helvetica" w:hAnsi="Helvetica"/>
          <w:b/>
          <w:color w:val="000000"/>
          <w:szCs w:val="20"/>
          <w:lang w:val="es-ES_tradnl"/>
        </w:rPr>
        <w:t>DE 2018</w:t>
      </w:r>
    </w:p>
    <w:p w:rsidR="00382A29" w:rsidRPr="00382A29" w:rsidRDefault="00382A29" w:rsidP="00382A29">
      <w:pPr>
        <w:tabs>
          <w:tab w:val="center" w:pos="4253"/>
        </w:tabs>
        <w:suppressAutoHyphens/>
        <w:jc w:val="center"/>
        <w:rPr>
          <w:rFonts w:ascii="Helvetica" w:hAnsi="Helvetica"/>
          <w:b/>
          <w:color w:val="000000"/>
          <w:szCs w:val="20"/>
          <w:lang w:val="es-ES_tradnl"/>
        </w:rPr>
      </w:pPr>
    </w:p>
    <w:p w:rsidR="00382A29" w:rsidRPr="00382A29" w:rsidRDefault="00382A29" w:rsidP="00382A29">
      <w:pPr>
        <w:tabs>
          <w:tab w:val="center" w:pos="4253"/>
        </w:tabs>
        <w:suppressAutoHyphens/>
        <w:jc w:val="center"/>
        <w:rPr>
          <w:rFonts w:ascii="Helvetica" w:hAnsi="Helvetica"/>
          <w:b/>
          <w:color w:val="000000"/>
          <w:szCs w:val="20"/>
          <w:lang w:val="es-UY"/>
        </w:rPr>
      </w:pPr>
      <w:r w:rsidRPr="00382A29">
        <w:rPr>
          <w:rFonts w:ascii="Helvetica" w:hAnsi="Helvetica"/>
          <w:b/>
          <w:color w:val="000000"/>
          <w:szCs w:val="20"/>
          <w:lang w:val="es-UY"/>
        </w:rPr>
        <w:t>(E. E. Nº 201</w:t>
      </w:r>
      <w:r w:rsidR="000F28B0">
        <w:rPr>
          <w:rFonts w:ascii="Helvetica" w:hAnsi="Helvetica"/>
          <w:b/>
          <w:color w:val="000000"/>
          <w:szCs w:val="20"/>
          <w:lang w:val="es-UY"/>
        </w:rPr>
        <w:t>2</w:t>
      </w:r>
      <w:r w:rsidRPr="00382A29">
        <w:rPr>
          <w:rFonts w:ascii="Helvetica" w:hAnsi="Helvetica"/>
          <w:b/>
          <w:color w:val="000000"/>
          <w:szCs w:val="20"/>
          <w:lang w:val="es-UY"/>
        </w:rPr>
        <w:t>-17-1-000</w:t>
      </w:r>
      <w:r w:rsidR="000F28B0">
        <w:rPr>
          <w:rFonts w:ascii="Helvetica" w:hAnsi="Helvetica"/>
          <w:b/>
          <w:color w:val="000000"/>
          <w:szCs w:val="20"/>
          <w:lang w:val="es-UY"/>
        </w:rPr>
        <w:t>2812</w:t>
      </w:r>
      <w:r w:rsidRPr="00382A29">
        <w:rPr>
          <w:rFonts w:ascii="Helvetica" w:hAnsi="Helvetica"/>
          <w:b/>
          <w:color w:val="000000"/>
          <w:szCs w:val="20"/>
          <w:lang w:val="es-UY"/>
        </w:rPr>
        <w:t xml:space="preserve">, </w:t>
      </w:r>
      <w:proofErr w:type="spellStart"/>
      <w:r w:rsidRPr="00382A29">
        <w:rPr>
          <w:rFonts w:ascii="Helvetica" w:hAnsi="Helvetica"/>
          <w:b/>
          <w:color w:val="000000"/>
          <w:szCs w:val="20"/>
          <w:lang w:val="es-UY"/>
        </w:rPr>
        <w:t>Ent</w:t>
      </w:r>
      <w:proofErr w:type="spellEnd"/>
      <w:r w:rsidRPr="00382A29">
        <w:rPr>
          <w:rFonts w:ascii="Helvetica" w:hAnsi="Helvetica"/>
          <w:b/>
          <w:color w:val="000000"/>
          <w:szCs w:val="20"/>
          <w:lang w:val="es-UY"/>
        </w:rPr>
        <w:t>. N° 6</w:t>
      </w:r>
      <w:r w:rsidR="000F28B0">
        <w:rPr>
          <w:rFonts w:ascii="Helvetica" w:hAnsi="Helvetica"/>
          <w:b/>
          <w:color w:val="000000"/>
          <w:szCs w:val="20"/>
          <w:lang w:val="es-UY"/>
        </w:rPr>
        <w:t>748</w:t>
      </w:r>
      <w:r w:rsidRPr="00382A29">
        <w:rPr>
          <w:rFonts w:ascii="Helvetica" w:hAnsi="Helvetica"/>
          <w:b/>
          <w:color w:val="000000"/>
          <w:szCs w:val="20"/>
          <w:lang w:val="es-UY"/>
        </w:rPr>
        <w:t>/17)</w:t>
      </w:r>
    </w:p>
    <w:p w:rsidR="00382A29" w:rsidRDefault="00382A29" w:rsidP="00FA66AC">
      <w:pPr>
        <w:suppressAutoHyphens/>
        <w:spacing w:line="360" w:lineRule="auto"/>
        <w:jc w:val="both"/>
        <w:rPr>
          <w:b/>
          <w:spacing w:val="-3"/>
          <w:lang w:val="es-ES_tradnl"/>
        </w:rPr>
      </w:pPr>
      <w:r>
        <w:rPr>
          <w:b/>
          <w:spacing w:val="-3"/>
          <w:lang w:val="es-ES_tradnl"/>
        </w:rPr>
        <w:tab/>
      </w:r>
    </w:p>
    <w:p w:rsidR="00382A29" w:rsidRDefault="00382A29" w:rsidP="00FA66AC">
      <w:pPr>
        <w:suppressAutoHyphens/>
        <w:spacing w:line="360" w:lineRule="auto"/>
        <w:jc w:val="both"/>
        <w:rPr>
          <w:b/>
          <w:spacing w:val="-3"/>
          <w:lang w:val="es-ES_tradnl"/>
        </w:rPr>
      </w:pPr>
    </w:p>
    <w:p w:rsidR="00FA66AC" w:rsidRDefault="00FA66AC" w:rsidP="002C4B3D">
      <w:pPr>
        <w:tabs>
          <w:tab w:val="left" w:pos="-720"/>
          <w:tab w:val="left" w:pos="993"/>
        </w:tabs>
        <w:suppressAutoHyphens/>
        <w:spacing w:line="360" w:lineRule="auto"/>
        <w:ind w:firstLine="851"/>
        <w:jc w:val="both"/>
        <w:rPr>
          <w:spacing w:val="-3"/>
          <w:lang w:val="es-ES_tradnl"/>
        </w:rPr>
      </w:pPr>
      <w:r>
        <w:rPr>
          <w:b/>
          <w:spacing w:val="-3"/>
          <w:lang w:val="es-ES_tradnl"/>
        </w:rPr>
        <w:t>VISTO:</w:t>
      </w:r>
      <w:r>
        <w:rPr>
          <w:spacing w:val="-3"/>
          <w:lang w:val="es-ES_tradnl"/>
        </w:rPr>
        <w:t xml:space="preserve"> estos antecedentes remitidos por el Ministerio de Economía y Finanzas</w:t>
      </w:r>
      <w:r w:rsidR="00F47655">
        <w:rPr>
          <w:spacing w:val="-3"/>
          <w:lang w:val="es-ES_tradnl"/>
        </w:rPr>
        <w:t xml:space="preserve"> (MEF)</w:t>
      </w:r>
      <w:r>
        <w:rPr>
          <w:spacing w:val="-3"/>
          <w:lang w:val="es-ES_tradnl"/>
        </w:rPr>
        <w:t>, relacionados con</w:t>
      </w:r>
      <w:r w:rsidR="00F47655">
        <w:rPr>
          <w:spacing w:val="-3"/>
          <w:lang w:val="es-ES_tradnl"/>
        </w:rPr>
        <w:t xml:space="preserve"> el gasto para atender el pago de</w:t>
      </w:r>
      <w:r>
        <w:rPr>
          <w:spacing w:val="-3"/>
          <w:lang w:val="es-ES_tradnl"/>
        </w:rPr>
        <w:t xml:space="preserve"> la indemnización a la Cooperativa Agraria Limitada para Irrigación de Caña de Azúcar (CALPICA), por los perjuicios ocasionados a los sistemas de riego en predios de su propiedad, a consecuencia de la servidumbre de apoyo del embalse de la represa de Salto Grande; </w:t>
      </w:r>
    </w:p>
    <w:p w:rsidR="00FA66AC" w:rsidRDefault="00FA66AC" w:rsidP="002C4B3D">
      <w:pPr>
        <w:tabs>
          <w:tab w:val="left" w:pos="-720"/>
        </w:tabs>
        <w:suppressAutoHyphens/>
        <w:spacing w:line="360" w:lineRule="auto"/>
        <w:ind w:firstLine="851"/>
        <w:jc w:val="both"/>
        <w:rPr>
          <w:bCs/>
        </w:rPr>
      </w:pPr>
      <w:r>
        <w:rPr>
          <w:b/>
        </w:rPr>
        <w:t xml:space="preserve">RESULTANDO: 1) </w:t>
      </w:r>
      <w:r>
        <w:rPr>
          <w:bCs/>
        </w:rPr>
        <w:t>que con fecha 30 de marzo de 2001, por Acta 164/01</w:t>
      </w:r>
      <w:r w:rsidR="00F47655">
        <w:rPr>
          <w:bCs/>
        </w:rPr>
        <w:t>,</w:t>
      </w:r>
      <w:r>
        <w:rPr>
          <w:bCs/>
        </w:rPr>
        <w:t xml:space="preserve"> la Comisión Honoraria</w:t>
      </w:r>
      <w:r w:rsidR="000B2577">
        <w:rPr>
          <w:bCs/>
        </w:rPr>
        <w:t xml:space="preserve"> del MGAP,</w:t>
      </w:r>
      <w:r>
        <w:rPr>
          <w:bCs/>
        </w:rPr>
        <w:t xml:space="preserve"> creada por la Ley Nº 15.845 de</w:t>
      </w:r>
      <w:r w:rsidR="000B2577">
        <w:rPr>
          <w:bCs/>
        </w:rPr>
        <w:t xml:space="preserve"> 15/12/86, fijó</w:t>
      </w:r>
      <w:r>
        <w:rPr>
          <w:bCs/>
        </w:rPr>
        <w:t xml:space="preserve"> los siguientes criterios para la indemnización de los sistemas de riego afectados por Servidumbre: </w:t>
      </w:r>
    </w:p>
    <w:p w:rsidR="00FA66AC" w:rsidRDefault="00FA66AC" w:rsidP="00FA66AC">
      <w:pPr>
        <w:tabs>
          <w:tab w:val="left" w:pos="-720"/>
        </w:tabs>
        <w:suppressAutoHyphens/>
        <w:spacing w:line="360" w:lineRule="auto"/>
        <w:jc w:val="both"/>
        <w:rPr>
          <w:bCs/>
        </w:rPr>
      </w:pPr>
      <w:r w:rsidRPr="00FC6729">
        <w:rPr>
          <w:b/>
          <w:bCs/>
        </w:rPr>
        <w:t>a</w:t>
      </w:r>
      <w:r>
        <w:rPr>
          <w:bCs/>
        </w:rPr>
        <w:t>) Los sistemas deben ser remodelados y quedar en condiciones de operar para el área que quede por encima de la línea de servidumbre;</w:t>
      </w:r>
    </w:p>
    <w:p w:rsidR="00FA66AC" w:rsidRDefault="00FA66AC" w:rsidP="00FA66AC">
      <w:pPr>
        <w:tabs>
          <w:tab w:val="left" w:pos="-720"/>
        </w:tabs>
        <w:suppressAutoHyphens/>
        <w:spacing w:line="360" w:lineRule="auto"/>
        <w:jc w:val="both"/>
        <w:rPr>
          <w:bCs/>
        </w:rPr>
      </w:pPr>
      <w:r w:rsidRPr="00FC6729">
        <w:rPr>
          <w:b/>
          <w:bCs/>
        </w:rPr>
        <w:t>b</w:t>
      </w:r>
      <w:r>
        <w:rPr>
          <w:bCs/>
        </w:rPr>
        <w:t>) No necesariamente tiene que ser un reacondicionamiento del sistema anterior, puede constituirse un nuevo sistema que sustituya el original;</w:t>
      </w:r>
      <w:r>
        <w:rPr>
          <w:bCs/>
        </w:rPr>
        <w:br/>
      </w:r>
      <w:r w:rsidRPr="00FC6729">
        <w:rPr>
          <w:b/>
          <w:bCs/>
        </w:rPr>
        <w:t>c</w:t>
      </w:r>
      <w:r>
        <w:rPr>
          <w:bCs/>
        </w:rPr>
        <w:t>) En caso de sustituirse el sistema por otro, el costo tiene que ser igual o menor al de remodelar el sistema original;</w:t>
      </w:r>
    </w:p>
    <w:p w:rsidR="00FA66AC" w:rsidRDefault="00FA66AC" w:rsidP="00FA66AC">
      <w:pPr>
        <w:tabs>
          <w:tab w:val="left" w:pos="-720"/>
        </w:tabs>
        <w:suppressAutoHyphens/>
        <w:spacing w:line="360" w:lineRule="auto"/>
        <w:jc w:val="both"/>
        <w:rPr>
          <w:bCs/>
        </w:rPr>
      </w:pPr>
      <w:r w:rsidRPr="00FC6729">
        <w:rPr>
          <w:b/>
          <w:bCs/>
        </w:rPr>
        <w:t>d</w:t>
      </w:r>
      <w:r>
        <w:rPr>
          <w:bCs/>
        </w:rPr>
        <w:t xml:space="preserve">) En aquellos casos en que el propietario del sistema compruebe con la documentación correspondiente, que tiene que atender con riego padrones linderos que antes de la imposición de la servidumbre no lo hacía, también deberá tenerse en cuenta a los efectos de los nuevos proyectos; </w:t>
      </w:r>
    </w:p>
    <w:p w:rsidR="00FA66AC" w:rsidRDefault="00FA66AC" w:rsidP="00FA66AC">
      <w:pPr>
        <w:tabs>
          <w:tab w:val="left" w:pos="-720"/>
        </w:tabs>
        <w:suppressAutoHyphens/>
        <w:spacing w:line="360" w:lineRule="auto"/>
        <w:jc w:val="both"/>
        <w:rPr>
          <w:bCs/>
        </w:rPr>
      </w:pPr>
      <w:r w:rsidRPr="00FC6729">
        <w:rPr>
          <w:b/>
          <w:bCs/>
        </w:rPr>
        <w:t>e</w:t>
      </w:r>
      <w:r>
        <w:rPr>
          <w:bCs/>
        </w:rPr>
        <w:t xml:space="preserve">) No teniendo área que justifique un sistema de riego por encima de la línea de </w:t>
      </w:r>
      <w:r w:rsidR="00A845C3">
        <w:rPr>
          <w:bCs/>
        </w:rPr>
        <w:t>servidumbre,</w:t>
      </w:r>
      <w:r>
        <w:rPr>
          <w:bCs/>
        </w:rPr>
        <w:t xml:space="preserve"> el propietario podrá presentarse en un expediente a fin de que </w:t>
      </w:r>
      <w:r>
        <w:rPr>
          <w:bCs/>
        </w:rPr>
        <w:lastRenderedPageBreak/>
        <w:t xml:space="preserve">se lo indemnice como una mejora incorporada al padrón, fijando la Comisión Honoraria los criterios para la tasación; </w:t>
      </w:r>
    </w:p>
    <w:p w:rsidR="00FA66AC" w:rsidRDefault="00FA66AC" w:rsidP="00FA66AC">
      <w:pPr>
        <w:tabs>
          <w:tab w:val="left" w:pos="-720"/>
        </w:tabs>
        <w:suppressAutoHyphens/>
        <w:spacing w:line="360" w:lineRule="auto"/>
        <w:jc w:val="both"/>
        <w:rPr>
          <w:bCs/>
        </w:rPr>
      </w:pPr>
      <w:r w:rsidRPr="00FC6729">
        <w:rPr>
          <w:b/>
          <w:bCs/>
        </w:rPr>
        <w:t>f</w:t>
      </w:r>
      <w:r>
        <w:rPr>
          <w:bCs/>
        </w:rPr>
        <w:t xml:space="preserve">) Los casos que no se encuentren contemplados en los numerales anteriores, por su especificidad, serán resueltos en base a criterios de razonabilidad;  </w:t>
      </w:r>
    </w:p>
    <w:p w:rsidR="00FA66AC" w:rsidRDefault="00FA66AC" w:rsidP="002C4B3D">
      <w:pPr>
        <w:tabs>
          <w:tab w:val="left" w:pos="-720"/>
        </w:tabs>
        <w:suppressAutoHyphens/>
        <w:spacing w:line="360" w:lineRule="auto"/>
        <w:ind w:firstLine="2835"/>
        <w:jc w:val="both"/>
        <w:rPr>
          <w:spacing w:val="-3"/>
          <w:lang w:val="es-ES_tradnl"/>
        </w:rPr>
      </w:pPr>
      <w:r>
        <w:rPr>
          <w:b/>
          <w:bCs/>
          <w:spacing w:val="-3"/>
        </w:rPr>
        <w:t xml:space="preserve">2) </w:t>
      </w:r>
      <w:r>
        <w:rPr>
          <w:spacing w:val="-3"/>
          <w:lang w:val="es-ES_tradnl"/>
        </w:rPr>
        <w:t>que en julio de 2002 CALPICA presentó ante la Comisi</w:t>
      </w:r>
      <w:r w:rsidR="000B2577">
        <w:rPr>
          <w:spacing w:val="-3"/>
          <w:lang w:val="es-ES_tradnl"/>
        </w:rPr>
        <w:t>ón Honoraria creada por la Ley Nº 15.845</w:t>
      </w:r>
      <w:r>
        <w:rPr>
          <w:spacing w:val="-3"/>
          <w:lang w:val="es-ES_tradnl"/>
        </w:rPr>
        <w:t xml:space="preserve">, un informe técnico con el objetivo de evaluar los perjuicios ocasionados a sus sistemas de riego por el manejo de la represa de Salto Grande y una propuesta de resarcimiento  equivalente a la suma de U$S 1.550.707 con la construcción de embalse o </w:t>
      </w:r>
      <w:r w:rsidR="002C4B3D">
        <w:rPr>
          <w:spacing w:val="-3"/>
          <w:lang w:val="es-ES_tradnl"/>
        </w:rPr>
        <w:t xml:space="preserve">                  </w:t>
      </w:r>
      <w:r>
        <w:rPr>
          <w:spacing w:val="-3"/>
          <w:lang w:val="es-ES_tradnl"/>
        </w:rPr>
        <w:t xml:space="preserve">U$S 1.549.596 con adquisición de embalse, adjuntando la documentación probatoria correspondiente; </w:t>
      </w:r>
    </w:p>
    <w:p w:rsidR="00FA66AC" w:rsidRDefault="00FA66AC" w:rsidP="002C4B3D">
      <w:pPr>
        <w:tabs>
          <w:tab w:val="left" w:pos="-720"/>
          <w:tab w:val="left" w:pos="1843"/>
        </w:tabs>
        <w:suppressAutoHyphens/>
        <w:spacing w:line="360" w:lineRule="auto"/>
        <w:ind w:firstLine="2835"/>
        <w:jc w:val="both"/>
        <w:rPr>
          <w:spacing w:val="-3"/>
          <w:lang w:val="es-ES_tradnl"/>
        </w:rPr>
      </w:pPr>
      <w:r>
        <w:rPr>
          <w:b/>
          <w:bCs/>
          <w:spacing w:val="-3"/>
          <w:lang w:val="es-ES_tradnl"/>
        </w:rPr>
        <w:t xml:space="preserve">3) </w:t>
      </w:r>
      <w:r>
        <w:rPr>
          <w:spacing w:val="-3"/>
          <w:lang w:val="es-ES_tradnl"/>
        </w:rPr>
        <w:t xml:space="preserve">que por informe de fecha 9 de noviembre de 2012, los Ingenieros Agrimensores Alfredo Altamirano y Carlos </w:t>
      </w:r>
      <w:proofErr w:type="spellStart"/>
      <w:r>
        <w:rPr>
          <w:spacing w:val="-3"/>
          <w:lang w:val="es-ES_tradnl"/>
        </w:rPr>
        <w:t>Batello</w:t>
      </w:r>
      <w:proofErr w:type="spellEnd"/>
      <w:r>
        <w:rPr>
          <w:spacing w:val="-3"/>
          <w:lang w:val="es-ES_tradnl"/>
        </w:rPr>
        <w:t xml:space="preserve">, integrantes de la Comisión Honoraria de la Ley 15.845 estimaron la indemnización en la suma de U$S 1.168.991; </w:t>
      </w:r>
    </w:p>
    <w:p w:rsidR="00FC6729" w:rsidRDefault="00FA66AC" w:rsidP="002C4B3D">
      <w:pPr>
        <w:tabs>
          <w:tab w:val="left" w:pos="-720"/>
          <w:tab w:val="left" w:pos="1843"/>
        </w:tabs>
        <w:suppressAutoHyphens/>
        <w:spacing w:line="360" w:lineRule="auto"/>
        <w:ind w:firstLine="2835"/>
        <w:jc w:val="both"/>
      </w:pPr>
      <w:r>
        <w:rPr>
          <w:b/>
          <w:bCs/>
        </w:rPr>
        <w:t>4)</w:t>
      </w:r>
      <w:r>
        <w:t xml:space="preserve"> que teniendo en cuenta lo expuesto, en su oportunidad se remitió </w:t>
      </w:r>
      <w:r w:rsidR="00732DD6">
        <w:t>a este Tribunal un proyecto de R</w:t>
      </w:r>
      <w:r>
        <w:t xml:space="preserve">esolución de la Comisión Honoraria de la Ley Nº 15.845, por intermedio del cual se resolvía: </w:t>
      </w:r>
      <w:r w:rsidR="002C4B3D">
        <w:t xml:space="preserve">                </w:t>
      </w:r>
      <w:r w:rsidRPr="00FC6729">
        <w:rPr>
          <w:b/>
        </w:rPr>
        <w:t>a</w:t>
      </w:r>
      <w:r>
        <w:t>) fijar la indemnizació</w:t>
      </w:r>
      <w:r w:rsidR="000B2577">
        <w:t>n a CALPICA por</w:t>
      </w:r>
      <w:r>
        <w:t xml:space="preserve"> los perjuicios sufridos por su </w:t>
      </w:r>
      <w:r w:rsidR="00732DD6">
        <w:t>s</w:t>
      </w:r>
      <w:r>
        <w:t xml:space="preserve">istema de </w:t>
      </w:r>
      <w:r w:rsidR="00732DD6">
        <w:t>r</w:t>
      </w:r>
      <w:r w:rsidR="00FC6729">
        <w:t>iego en la suma de U$S 1.1</w:t>
      </w:r>
      <w:r>
        <w:t>68.991, debiendo acreditar CALPICA previo al pago su legitimación para el cobro d</w:t>
      </w:r>
      <w:r w:rsidR="000B2577">
        <w:t>e la misma</w:t>
      </w:r>
      <w:r w:rsidR="00FC6729">
        <w:t>, y</w:t>
      </w:r>
    </w:p>
    <w:p w:rsidR="00FA66AC" w:rsidRDefault="00FC6729" w:rsidP="00FC6729">
      <w:pPr>
        <w:tabs>
          <w:tab w:val="left" w:pos="-720"/>
          <w:tab w:val="left" w:pos="1843"/>
        </w:tabs>
        <w:suppressAutoHyphens/>
        <w:spacing w:line="360" w:lineRule="auto"/>
        <w:jc w:val="both"/>
      </w:pPr>
      <w:r>
        <w:t xml:space="preserve"> </w:t>
      </w:r>
      <w:r w:rsidR="000B2577" w:rsidRPr="00FC6729">
        <w:rPr>
          <w:b/>
        </w:rPr>
        <w:t>b</w:t>
      </w:r>
      <w:r w:rsidR="000B2577">
        <w:t>) elevar al MGAP el expediente a</w:t>
      </w:r>
      <w:r w:rsidR="00FA66AC">
        <w:t xml:space="preserve"> fin de notificar la resolución al interesado y consentida</w:t>
      </w:r>
      <w:r w:rsidR="000B2577">
        <w:t xml:space="preserve"> la misma</w:t>
      </w:r>
      <w:r w:rsidR="00FA66AC">
        <w:t xml:space="preserve">, siga al Ministerio de Economía y Finanzas a los efectos de su pago; </w:t>
      </w:r>
    </w:p>
    <w:p w:rsidR="00FA66AC" w:rsidRDefault="00FA66AC" w:rsidP="002C4B3D">
      <w:pPr>
        <w:tabs>
          <w:tab w:val="left" w:pos="-720"/>
          <w:tab w:val="left" w:pos="1843"/>
        </w:tabs>
        <w:suppressAutoHyphens/>
        <w:spacing w:line="360" w:lineRule="auto"/>
        <w:ind w:firstLine="2835"/>
        <w:jc w:val="both"/>
      </w:pPr>
      <w:r w:rsidRPr="00D40782">
        <w:rPr>
          <w:b/>
        </w:rPr>
        <w:t>5)</w:t>
      </w:r>
      <w:r>
        <w:t xml:space="preserve"> que </w:t>
      </w:r>
      <w:r w:rsidR="00D40782">
        <w:t xml:space="preserve">por Resolución adoptada con fecha 27 de diciembre de 2012, este Tribunal </w:t>
      </w:r>
      <w:r w:rsidR="00B26456">
        <w:t>dispuso, teniendo en cuenta que la indemnización encuadraba en la normativa aplicable al cas</w:t>
      </w:r>
      <w:r w:rsidR="000B2577">
        <w:t>o y en los criterios</w:t>
      </w:r>
      <w:r w:rsidR="00B26456">
        <w:t xml:space="preserve"> fijados por la Com</w:t>
      </w:r>
      <w:r w:rsidR="000B2577">
        <w:t>isión Honoraria</w:t>
      </w:r>
      <w:r w:rsidR="00B26456">
        <w:t xml:space="preserve">, en su Acta Nº 164/01 del 30/03/01, que cuando el </w:t>
      </w:r>
      <w:r w:rsidR="00FC6729">
        <w:t>O</w:t>
      </w:r>
      <w:r w:rsidR="00B26456">
        <w:t>rdenador competente dispusiera el gasto en la forma propuesta, se cometía a la Contadora Au</w:t>
      </w:r>
      <w:r w:rsidR="000B2577">
        <w:t>ditora la intervención del mismo por la suma equivalente a</w:t>
      </w:r>
      <w:r w:rsidR="00B26456">
        <w:t xml:space="preserve"> U$S 1.168.991, previo control de la imputación efectuada con </w:t>
      </w:r>
      <w:r w:rsidR="00B26456">
        <w:lastRenderedPageBreak/>
        <w:t>cargo a</w:t>
      </w:r>
      <w:r w:rsidR="00732DD6">
        <w:t xml:space="preserve"> </w:t>
      </w:r>
      <w:r w:rsidR="00EC7DCB">
        <w:t>G</w:t>
      </w:r>
      <w:r w:rsidR="00B26456">
        <w:t>rupo adecuado con disponibilidad sufic</w:t>
      </w:r>
      <w:r w:rsidR="0041584F">
        <w:t>ie</w:t>
      </w:r>
      <w:r w:rsidR="00B26456">
        <w:t>nte</w:t>
      </w:r>
      <w:r w:rsidR="00EC7DCB">
        <w:t>,</w:t>
      </w:r>
      <w:r w:rsidR="00B26456">
        <w:t xml:space="preserve"> y la verificación de qu</w:t>
      </w:r>
      <w:r w:rsidR="000B2577">
        <w:t>e la Resolución definitiva concordara</w:t>
      </w:r>
      <w:r w:rsidR="00B26456">
        <w:t xml:space="preserve"> con las condiciones de la contratación </w:t>
      </w:r>
      <w:r w:rsidR="0041584F">
        <w:t>sometidas</w:t>
      </w:r>
      <w:r w:rsidR="00B26456">
        <w:t xml:space="preserve"> a este Tribunal (</w:t>
      </w:r>
      <w:r w:rsidR="002C4B3D">
        <w:t>A</w:t>
      </w:r>
      <w:r w:rsidR="00B26456">
        <w:t>rtículo 8 de la Orden</w:t>
      </w:r>
      <w:r w:rsidR="0041584F">
        <w:t>a</w:t>
      </w:r>
      <w:r w:rsidR="00B26456">
        <w:t>nza Nº 27 del 22/5/58</w:t>
      </w:r>
      <w:r w:rsidR="0041584F">
        <w:t xml:space="preserve"> en la redacción sustitutiva dispuesta por la Resolución del 16/6/10);</w:t>
      </w:r>
      <w:r w:rsidR="00B26456">
        <w:t xml:space="preserve"> </w:t>
      </w:r>
      <w:r w:rsidR="00D40782">
        <w:t xml:space="preserve"> </w:t>
      </w:r>
    </w:p>
    <w:p w:rsidR="0041584F" w:rsidRDefault="0041584F" w:rsidP="002C4B3D">
      <w:pPr>
        <w:tabs>
          <w:tab w:val="left" w:pos="-720"/>
          <w:tab w:val="left" w:pos="1843"/>
        </w:tabs>
        <w:suppressAutoHyphens/>
        <w:spacing w:line="360" w:lineRule="auto"/>
        <w:ind w:firstLine="2835"/>
        <w:jc w:val="both"/>
      </w:pPr>
      <w:r w:rsidRPr="0041584F">
        <w:rPr>
          <w:b/>
        </w:rPr>
        <w:t>6)</w:t>
      </w:r>
      <w:r>
        <w:t xml:space="preserve"> que co</w:t>
      </w:r>
      <w:r w:rsidR="00EC7DCB">
        <w:t xml:space="preserve">n fecha 19 de febrero de 2013, </w:t>
      </w:r>
      <w:r>
        <w:t>la Comisión Honoraria de la Ley Nº 15.845, dispuso fijar la indemnización a CALPICA por los perjuicios sufridos en su sistema de riego en la suma de</w:t>
      </w:r>
      <w:r w:rsidR="000B2577">
        <w:t xml:space="preserve"> </w:t>
      </w:r>
      <w:r w:rsidR="002C4B3D">
        <w:t xml:space="preserve">                   </w:t>
      </w:r>
      <w:r w:rsidR="0009253A">
        <w:t xml:space="preserve">      </w:t>
      </w:r>
      <w:bookmarkStart w:id="0" w:name="_GoBack"/>
      <w:bookmarkEnd w:id="0"/>
      <w:r w:rsidR="000B2577">
        <w:t>U$S 1.168.991, supeditando el pago de la misma a la</w:t>
      </w:r>
      <w:r>
        <w:t xml:space="preserve"> condici</w:t>
      </w:r>
      <w:r w:rsidR="00732DD6">
        <w:t>ón</w:t>
      </w:r>
      <w:r w:rsidR="000B2577">
        <w:t xml:space="preserve"> de que CALPICA acreditara </w:t>
      </w:r>
      <w:r>
        <w:t xml:space="preserve"> legitimación par</w:t>
      </w:r>
      <w:r w:rsidR="00732DD6">
        <w:t>a</w:t>
      </w:r>
      <w:r w:rsidR="000B2577">
        <w:t xml:space="preserve"> su cobro</w:t>
      </w:r>
      <w:r>
        <w:t>;</w:t>
      </w:r>
    </w:p>
    <w:p w:rsidR="007E7060" w:rsidRDefault="00273B9E" w:rsidP="002C4B3D">
      <w:pPr>
        <w:tabs>
          <w:tab w:val="left" w:pos="-720"/>
          <w:tab w:val="left" w:pos="1843"/>
        </w:tabs>
        <w:suppressAutoHyphens/>
        <w:spacing w:line="360" w:lineRule="auto"/>
        <w:ind w:firstLine="2835"/>
        <w:jc w:val="both"/>
      </w:pPr>
      <w:r w:rsidRPr="00B845CE">
        <w:rPr>
          <w:b/>
        </w:rPr>
        <w:t>7)</w:t>
      </w:r>
      <w:r>
        <w:t xml:space="preserve"> que </w:t>
      </w:r>
      <w:r w:rsidR="00CD2791">
        <w:t>a partir de la</w:t>
      </w:r>
      <w:r>
        <w:t xml:space="preserve"> remi</w:t>
      </w:r>
      <w:r w:rsidR="00CD2791">
        <w:t>sión de</w:t>
      </w:r>
      <w:r>
        <w:t xml:space="preserve"> las actuaciones al MEF para instrumentar el pago de la indemnización </w:t>
      </w:r>
      <w:r w:rsidR="000B2577">
        <w:t>referida, se produjeron</w:t>
      </w:r>
      <w:r w:rsidR="00CD2791">
        <w:t xml:space="preserve"> un</w:t>
      </w:r>
      <w:r w:rsidR="006152EC">
        <w:t>a</w:t>
      </w:r>
      <w:r w:rsidR="00CD2791">
        <w:t xml:space="preserve"> serie de </w:t>
      </w:r>
      <w:r w:rsidR="00B845CE">
        <w:t>intercambios</w:t>
      </w:r>
      <w:r w:rsidR="00CD2791">
        <w:t xml:space="preserve"> entre la </w:t>
      </w:r>
      <w:r w:rsidR="00B845CE">
        <w:t>Asesoría</w:t>
      </w:r>
      <w:r w:rsidR="00CD2791">
        <w:t xml:space="preserve"> </w:t>
      </w:r>
      <w:r w:rsidR="00B845CE">
        <w:t>Jurídica</w:t>
      </w:r>
      <w:r w:rsidR="00CD2791">
        <w:t xml:space="preserve"> de  dicho Ministerio </w:t>
      </w:r>
      <w:r w:rsidR="006152EC">
        <w:t>-</w:t>
      </w:r>
      <w:r w:rsidR="000B2577">
        <w:t xml:space="preserve">la cual cuestionaba  la resolución adoptada </w:t>
      </w:r>
      <w:r w:rsidR="00CD2791">
        <w:t xml:space="preserve"> (informes del 14/8/13</w:t>
      </w:r>
      <w:r w:rsidR="007E7060">
        <w:t xml:space="preserve"> y </w:t>
      </w:r>
      <w:r w:rsidR="00732DD6">
        <w:t xml:space="preserve">el </w:t>
      </w:r>
      <w:r w:rsidR="007E7060">
        <w:t>16/5/14)</w:t>
      </w:r>
      <w:r w:rsidR="006152EC">
        <w:t>-</w:t>
      </w:r>
      <w:r w:rsidR="00CD2791">
        <w:t xml:space="preserve"> y l</w:t>
      </w:r>
      <w:r w:rsidR="007E7060">
        <w:t xml:space="preserve">a </w:t>
      </w:r>
      <w:r w:rsidR="00B845CE">
        <w:t>Comisión</w:t>
      </w:r>
      <w:r w:rsidR="007E7060">
        <w:t xml:space="preserve"> Hon</w:t>
      </w:r>
      <w:r w:rsidR="00B845CE">
        <w:t>o</w:t>
      </w:r>
      <w:r w:rsidR="007E7060">
        <w:t>rari</w:t>
      </w:r>
      <w:r w:rsidR="00B845CE">
        <w:t>a</w:t>
      </w:r>
      <w:r w:rsidR="000B2577">
        <w:t xml:space="preserve"> </w:t>
      </w:r>
      <w:r w:rsidR="007E7060">
        <w:t xml:space="preserve">y los </w:t>
      </w:r>
      <w:r w:rsidR="00CD2791">
        <w:t xml:space="preserve"> Servi</w:t>
      </w:r>
      <w:r w:rsidR="00B845CE">
        <w:t>c</w:t>
      </w:r>
      <w:r w:rsidR="00CD2791">
        <w:t>io</w:t>
      </w:r>
      <w:r w:rsidR="00B845CE">
        <w:t>s</w:t>
      </w:r>
      <w:r w:rsidR="00CD2791">
        <w:t xml:space="preserve"> </w:t>
      </w:r>
      <w:r w:rsidR="00B845CE">
        <w:t>Jurídicos</w:t>
      </w:r>
      <w:r w:rsidR="00CD2791">
        <w:t xml:space="preserve">  del MGAP</w:t>
      </w:r>
      <w:r w:rsidR="000B2577">
        <w:t xml:space="preserve">, quienes </w:t>
      </w:r>
      <w:r w:rsidR="00CD2791">
        <w:t xml:space="preserve"> respa</w:t>
      </w:r>
      <w:r w:rsidR="00B845CE">
        <w:t>l</w:t>
      </w:r>
      <w:r w:rsidR="00CD2791">
        <w:t>d</w:t>
      </w:r>
      <w:r w:rsidR="00B845CE">
        <w:t>a</w:t>
      </w:r>
      <w:r w:rsidR="00732DD6">
        <w:t xml:space="preserve">ron </w:t>
      </w:r>
      <w:r w:rsidR="00CD2791">
        <w:t xml:space="preserve"> </w:t>
      </w:r>
      <w:r w:rsidR="007E7060">
        <w:t>lo</w:t>
      </w:r>
      <w:r w:rsidR="00CD2791">
        <w:t xml:space="preserve"> actua</w:t>
      </w:r>
      <w:r w:rsidR="007E7060">
        <w:t>do (informes del 23/1//14, 29/4/15 y 11/9/17);</w:t>
      </w:r>
    </w:p>
    <w:p w:rsidR="007E7060" w:rsidRDefault="007E7060" w:rsidP="002C4B3D">
      <w:pPr>
        <w:tabs>
          <w:tab w:val="left" w:pos="-720"/>
          <w:tab w:val="left" w:pos="1843"/>
        </w:tabs>
        <w:suppressAutoHyphens/>
        <w:spacing w:line="360" w:lineRule="auto"/>
        <w:ind w:firstLine="2835"/>
        <w:jc w:val="both"/>
      </w:pPr>
      <w:r w:rsidRPr="00B845CE">
        <w:rPr>
          <w:b/>
        </w:rPr>
        <w:t>8)</w:t>
      </w:r>
      <w:r>
        <w:t xml:space="preserve"> que en definitiva</w:t>
      </w:r>
      <w:r w:rsidR="006152EC">
        <w:t>,</w:t>
      </w:r>
      <w:r>
        <w:t xml:space="preserve"> surge de las actuaciones remitida</w:t>
      </w:r>
      <w:r w:rsidR="00732DD6">
        <w:t>s</w:t>
      </w:r>
      <w:r>
        <w:t xml:space="preserve"> que</w:t>
      </w:r>
      <w:r w:rsidR="00732DD6">
        <w:t>,</w:t>
      </w:r>
      <w:r>
        <w:t xml:space="preserve"> tras un nuevo </w:t>
      </w:r>
      <w:r w:rsidR="00B845CE">
        <w:t>informe</w:t>
      </w:r>
      <w:r>
        <w:t xml:space="preserve"> de la Asesor</w:t>
      </w:r>
      <w:r w:rsidR="00B845CE">
        <w:t>í</w:t>
      </w:r>
      <w:r>
        <w:t xml:space="preserve">a </w:t>
      </w:r>
      <w:r w:rsidR="00B845CE">
        <w:t>Jurídica</w:t>
      </w:r>
      <w:r>
        <w:t xml:space="preserve"> del MEF, este </w:t>
      </w:r>
      <w:r w:rsidR="00B845CE">
        <w:t>último</w:t>
      </w:r>
      <w:r>
        <w:t xml:space="preserve"> proyectó</w:t>
      </w:r>
      <w:r w:rsidR="00732DD6">
        <w:t xml:space="preserve"> finalmente </w:t>
      </w:r>
      <w:r>
        <w:t>un</w:t>
      </w:r>
      <w:r w:rsidR="00732DD6">
        <w:t>a</w:t>
      </w:r>
      <w:r>
        <w:t xml:space="preserve"> </w:t>
      </w:r>
      <w:r w:rsidR="00B845CE">
        <w:t>Resolución</w:t>
      </w:r>
      <w:r w:rsidR="00732DD6">
        <w:t>,</w:t>
      </w:r>
      <w:r>
        <w:t xml:space="preserve"> a </w:t>
      </w:r>
      <w:r w:rsidR="00B845CE">
        <w:t>dictar</w:t>
      </w:r>
      <w:r>
        <w:t xml:space="preserve"> en </w:t>
      </w:r>
      <w:r w:rsidR="00B845CE">
        <w:t>ejercicio</w:t>
      </w:r>
      <w:r>
        <w:t xml:space="preserve"> de atribuciones </w:t>
      </w:r>
      <w:r w:rsidR="00B845CE">
        <w:t>delegadas</w:t>
      </w:r>
      <w:r>
        <w:t xml:space="preserve">,  por la cual </w:t>
      </w:r>
      <w:r w:rsidR="00732DD6">
        <w:t xml:space="preserve">se </w:t>
      </w:r>
      <w:r w:rsidR="00B845CE">
        <w:t>autoriza</w:t>
      </w:r>
      <w:r>
        <w:t xml:space="preserve"> a </w:t>
      </w:r>
      <w:r w:rsidR="00B845CE">
        <w:t>transferir</w:t>
      </w:r>
      <w:r>
        <w:t xml:space="preserve"> al MGAP la </w:t>
      </w:r>
      <w:r w:rsidR="00B845CE">
        <w:t>suma</w:t>
      </w:r>
      <w:r w:rsidR="000B2577">
        <w:t xml:space="preserve"> equivalente en pesos uruguayos a</w:t>
      </w:r>
      <w:r>
        <w:t xml:space="preserve"> U$S 1.168.991, para atender la </w:t>
      </w:r>
      <w:r w:rsidR="00B845CE">
        <w:t>indemnización</w:t>
      </w:r>
      <w:r>
        <w:t xml:space="preserve"> dispuesta por l</w:t>
      </w:r>
      <w:r w:rsidR="00B845CE">
        <w:t>a</w:t>
      </w:r>
      <w:r>
        <w:t xml:space="preserve"> </w:t>
      </w:r>
      <w:r w:rsidR="00B845CE">
        <w:t>Comisión</w:t>
      </w:r>
      <w:r>
        <w:t xml:space="preserve"> Honor</w:t>
      </w:r>
      <w:r w:rsidR="00B845CE">
        <w:t>ar</w:t>
      </w:r>
      <w:r w:rsidR="00BC1B08">
        <w:t>ia</w:t>
      </w:r>
      <w:r>
        <w:t xml:space="preserve">, por los perjuicios sufridos por CALPICA en su sistema </w:t>
      </w:r>
      <w:r w:rsidR="00BC1B08">
        <w:t xml:space="preserve">de riego. Estableció asimismo </w:t>
      </w:r>
      <w:r w:rsidR="003859BF">
        <w:t>que previo al pago, la Com</w:t>
      </w:r>
      <w:r w:rsidR="00B845CE">
        <w:t>i</w:t>
      </w:r>
      <w:r w:rsidR="003859BF">
        <w:t>si</w:t>
      </w:r>
      <w:r w:rsidR="00B845CE">
        <w:t>ó</w:t>
      </w:r>
      <w:r w:rsidR="003859BF">
        <w:t>n deber</w:t>
      </w:r>
      <w:r w:rsidR="00BC1B08">
        <w:t>á</w:t>
      </w:r>
      <w:r w:rsidR="003859BF">
        <w:t xml:space="preserve"> recabar de los beneficiarios la acreditación de la legitimación para e</w:t>
      </w:r>
      <w:r w:rsidR="00B845CE">
        <w:t>l</w:t>
      </w:r>
      <w:r w:rsidR="003859BF">
        <w:t xml:space="preserve"> cobro de la ind</w:t>
      </w:r>
      <w:r w:rsidR="00B845CE">
        <w:t>e</w:t>
      </w:r>
      <w:r w:rsidR="003859BF">
        <w:t>mn</w:t>
      </w:r>
      <w:r w:rsidR="00B845CE">
        <w:t>i</w:t>
      </w:r>
      <w:r w:rsidR="003859BF">
        <w:t>zación;</w:t>
      </w:r>
    </w:p>
    <w:p w:rsidR="003859BF" w:rsidRDefault="003859BF" w:rsidP="002C4B3D">
      <w:pPr>
        <w:tabs>
          <w:tab w:val="left" w:pos="-720"/>
          <w:tab w:val="left" w:pos="1843"/>
        </w:tabs>
        <w:suppressAutoHyphens/>
        <w:spacing w:line="360" w:lineRule="auto"/>
        <w:ind w:firstLine="2835"/>
        <w:jc w:val="both"/>
      </w:pPr>
      <w:r w:rsidRPr="00B845CE">
        <w:rPr>
          <w:b/>
        </w:rPr>
        <w:t>9)</w:t>
      </w:r>
      <w:r>
        <w:t xml:space="preserve"> que </w:t>
      </w:r>
      <w:r w:rsidR="00B845CE">
        <w:t>enviado el expediente</w:t>
      </w:r>
      <w:r>
        <w:t xml:space="preserve"> a la Contador</w:t>
      </w:r>
      <w:r w:rsidR="00B845CE">
        <w:t>a</w:t>
      </w:r>
      <w:r>
        <w:t xml:space="preserve"> </w:t>
      </w:r>
      <w:r w:rsidR="00B845CE">
        <w:t>A</w:t>
      </w:r>
      <w:r>
        <w:t>uditora para la intervención del gasto</w:t>
      </w:r>
      <w:r w:rsidR="00B845CE">
        <w:t xml:space="preserve"> derivado de la indemnización referida</w:t>
      </w:r>
      <w:r>
        <w:t xml:space="preserve">, </w:t>
      </w:r>
      <w:r w:rsidR="00BC1B08">
        <w:t xml:space="preserve"> solicita la remisión del expediente a</w:t>
      </w:r>
      <w:r>
        <w:t xml:space="preserve"> es</w:t>
      </w:r>
      <w:r w:rsidR="00B845CE">
        <w:t>t</w:t>
      </w:r>
      <w:r>
        <w:t>e Tribunal en virtud de las actuaciones</w:t>
      </w:r>
      <w:r w:rsidR="00B845CE">
        <w:t xml:space="preserve"> que se generaron con posterioridad a su</w:t>
      </w:r>
      <w:r>
        <w:t xml:space="preserve">  Resolu</w:t>
      </w:r>
      <w:r w:rsidR="00B845CE">
        <w:t>ció</w:t>
      </w:r>
      <w:r>
        <w:t>n del 27/12/12;</w:t>
      </w:r>
    </w:p>
    <w:p w:rsidR="00BC1B08" w:rsidRDefault="00FA66AC" w:rsidP="002C4B3D">
      <w:pPr>
        <w:tabs>
          <w:tab w:val="left" w:pos="-720"/>
        </w:tabs>
        <w:suppressAutoHyphens/>
        <w:spacing w:line="360" w:lineRule="auto"/>
        <w:ind w:firstLine="851"/>
        <w:jc w:val="both"/>
        <w:rPr>
          <w:bCs/>
          <w:spacing w:val="-3"/>
          <w:lang w:val="es-ES_tradnl"/>
        </w:rPr>
      </w:pPr>
      <w:r>
        <w:rPr>
          <w:b/>
          <w:spacing w:val="-3"/>
          <w:lang w:val="es-ES_tradnl"/>
        </w:rPr>
        <w:t>CONSIDERANDO</w:t>
      </w:r>
      <w:r w:rsidR="00A845C3">
        <w:rPr>
          <w:b/>
          <w:spacing w:val="-3"/>
          <w:lang w:val="es-ES_tradnl"/>
        </w:rPr>
        <w:t>:</w:t>
      </w:r>
      <w:r w:rsidR="00A845C3">
        <w:rPr>
          <w:spacing w:val="-3"/>
          <w:lang w:val="es-ES_tradnl"/>
        </w:rPr>
        <w:t xml:space="preserve"> </w:t>
      </w:r>
      <w:r w:rsidR="00A845C3" w:rsidRPr="002C4B3D">
        <w:rPr>
          <w:b/>
          <w:bCs/>
          <w:spacing w:val="-3"/>
          <w:lang w:val="es-ES_tradnl"/>
        </w:rPr>
        <w:t>1</w:t>
      </w:r>
      <w:r w:rsidR="00BC1B08" w:rsidRPr="002C4B3D">
        <w:rPr>
          <w:b/>
          <w:bCs/>
          <w:spacing w:val="-3"/>
          <w:lang w:val="es-ES_tradnl"/>
        </w:rPr>
        <w:t>)</w:t>
      </w:r>
      <w:r w:rsidR="00BC1B08">
        <w:rPr>
          <w:bCs/>
          <w:spacing w:val="-3"/>
          <w:lang w:val="es-ES_tradnl"/>
        </w:rPr>
        <w:t xml:space="preserve"> que las diferencias suscitadas fueron saldadas por las Administraciones actuantes, y en definitiva se dispuso la transferencia para atender el pago </w:t>
      </w:r>
      <w:r w:rsidR="00A845C3">
        <w:rPr>
          <w:bCs/>
          <w:spacing w:val="-3"/>
          <w:lang w:val="es-ES_tradnl"/>
        </w:rPr>
        <w:t xml:space="preserve">en </w:t>
      </w:r>
      <w:r w:rsidR="00BC1B08">
        <w:rPr>
          <w:bCs/>
          <w:spacing w:val="-3"/>
          <w:lang w:val="es-ES_tradnl"/>
        </w:rPr>
        <w:t>idénticas condiciones a las oportunamente sometidas a consideración del Tribunal;</w:t>
      </w:r>
    </w:p>
    <w:p w:rsidR="006152EC" w:rsidRDefault="00BC1B08" w:rsidP="002C4B3D">
      <w:pPr>
        <w:tabs>
          <w:tab w:val="left" w:pos="-720"/>
        </w:tabs>
        <w:suppressAutoHyphens/>
        <w:spacing w:line="360" w:lineRule="auto"/>
        <w:ind w:firstLine="2977"/>
        <w:jc w:val="both"/>
        <w:rPr>
          <w:spacing w:val="-3"/>
          <w:lang w:val="es-ES_tradnl"/>
        </w:rPr>
      </w:pPr>
      <w:r w:rsidRPr="002C4B3D">
        <w:rPr>
          <w:b/>
          <w:bCs/>
          <w:spacing w:val="-3"/>
          <w:lang w:val="es-ES_tradnl"/>
        </w:rPr>
        <w:t>2)</w:t>
      </w:r>
      <w:r>
        <w:rPr>
          <w:bCs/>
          <w:spacing w:val="-3"/>
          <w:lang w:val="es-ES_tradnl"/>
        </w:rPr>
        <w:t xml:space="preserve"> </w:t>
      </w:r>
      <w:r w:rsidR="00FA66AC">
        <w:rPr>
          <w:bCs/>
          <w:spacing w:val="-3"/>
          <w:lang w:val="es-ES_tradnl"/>
        </w:rPr>
        <w:t>que</w:t>
      </w:r>
      <w:r w:rsidR="006152EC">
        <w:rPr>
          <w:bCs/>
          <w:spacing w:val="-3"/>
          <w:lang w:val="es-ES_tradnl"/>
        </w:rPr>
        <w:t xml:space="preserve"> </w:t>
      </w:r>
      <w:r w:rsidR="00FA66AC">
        <w:rPr>
          <w:bCs/>
          <w:spacing w:val="-3"/>
          <w:lang w:val="es-ES_tradnl"/>
        </w:rPr>
        <w:t xml:space="preserve"> </w:t>
      </w:r>
      <w:r w:rsidR="00B845CE">
        <w:rPr>
          <w:bCs/>
          <w:spacing w:val="-3"/>
          <w:lang w:val="es-ES_tradnl"/>
        </w:rPr>
        <w:t>este Tribunal</w:t>
      </w:r>
      <w:r w:rsidR="00732DD6">
        <w:rPr>
          <w:bCs/>
          <w:spacing w:val="-3"/>
          <w:lang w:val="es-ES_tradnl"/>
        </w:rPr>
        <w:t>,</w:t>
      </w:r>
      <w:r w:rsidR="00B845CE">
        <w:rPr>
          <w:bCs/>
          <w:spacing w:val="-3"/>
          <w:lang w:val="es-ES_tradnl"/>
        </w:rPr>
        <w:t xml:space="preserve"> por Resolución adoptada con fecha</w:t>
      </w:r>
      <w:r w:rsidR="00FE71B6">
        <w:rPr>
          <w:bCs/>
          <w:spacing w:val="-3"/>
          <w:lang w:val="es-ES_tradnl"/>
        </w:rPr>
        <w:t xml:space="preserve"> </w:t>
      </w:r>
      <w:r w:rsidR="00FE71B6">
        <w:t>27 de diciembre de 2012</w:t>
      </w:r>
      <w:r w:rsidR="00732DD6">
        <w:t>,</w:t>
      </w:r>
      <w:r>
        <w:rPr>
          <w:bCs/>
          <w:spacing w:val="-3"/>
          <w:lang w:val="es-ES_tradnl"/>
        </w:rPr>
        <w:t xml:space="preserve">  ya se pronunció</w:t>
      </w:r>
      <w:r w:rsidR="00B845CE">
        <w:rPr>
          <w:bCs/>
          <w:spacing w:val="-3"/>
          <w:lang w:val="es-ES_tradnl"/>
        </w:rPr>
        <w:t xml:space="preserve"> sobre la legalidad del gasto </w:t>
      </w:r>
      <w:r w:rsidR="00732DD6">
        <w:rPr>
          <w:bCs/>
          <w:spacing w:val="-3"/>
          <w:lang w:val="es-ES_tradnl"/>
        </w:rPr>
        <w:t>para atender el pago de</w:t>
      </w:r>
      <w:r w:rsidR="00FE71B6">
        <w:rPr>
          <w:bCs/>
          <w:spacing w:val="-3"/>
          <w:lang w:val="es-ES_tradnl"/>
        </w:rPr>
        <w:t xml:space="preserve"> la </w:t>
      </w:r>
      <w:r w:rsidR="00FE71B6">
        <w:rPr>
          <w:spacing w:val="-3"/>
          <w:lang w:val="es-ES_tradnl"/>
        </w:rPr>
        <w:t xml:space="preserve">indemnización a la Cooperativa Agraria Limitada para Irrigación de Caña de Azúcar (CALPICA), </w:t>
      </w:r>
      <w:r w:rsidR="006152EC">
        <w:rPr>
          <w:spacing w:val="-3"/>
          <w:lang w:val="es-ES_tradnl"/>
        </w:rPr>
        <w:t xml:space="preserve"> en el marco de lo dispuesto por la Ley Nº 15.845</w:t>
      </w:r>
      <w:r>
        <w:rPr>
          <w:spacing w:val="-3"/>
          <w:lang w:val="es-ES_tradnl"/>
        </w:rPr>
        <w:t xml:space="preserve"> de 15/12/16</w:t>
      </w:r>
      <w:r w:rsidR="00950D82">
        <w:rPr>
          <w:spacing w:val="-3"/>
          <w:lang w:val="es-ES_tradnl"/>
        </w:rPr>
        <w:t xml:space="preserve"> (Resultando 5) de la presente)</w:t>
      </w:r>
      <w:r w:rsidR="006152EC">
        <w:rPr>
          <w:spacing w:val="-3"/>
          <w:lang w:val="es-ES_tradnl"/>
        </w:rPr>
        <w:t>;</w:t>
      </w:r>
    </w:p>
    <w:p w:rsidR="00FA66AC" w:rsidRDefault="00FA66AC" w:rsidP="002C4B3D">
      <w:pPr>
        <w:tabs>
          <w:tab w:val="left" w:pos="-720"/>
        </w:tabs>
        <w:suppressAutoHyphens/>
        <w:spacing w:line="360" w:lineRule="auto"/>
        <w:ind w:firstLine="851"/>
        <w:jc w:val="both"/>
        <w:rPr>
          <w:spacing w:val="-3"/>
          <w:lang w:val="es-ES_tradnl"/>
        </w:rPr>
      </w:pPr>
      <w:r>
        <w:rPr>
          <w:b/>
          <w:spacing w:val="-3"/>
          <w:lang w:val="es-ES_tradnl"/>
        </w:rPr>
        <w:t>ATENTO:</w:t>
      </w:r>
      <w:r>
        <w:rPr>
          <w:spacing w:val="-3"/>
          <w:lang w:val="es-ES_tradnl"/>
        </w:rPr>
        <w:t xml:space="preserve"> a lo precedentemente expuesto y a lo dispuesto por el </w:t>
      </w:r>
      <w:r w:rsidR="002C4B3D">
        <w:rPr>
          <w:spacing w:val="-3"/>
          <w:lang w:val="es-ES_tradnl"/>
        </w:rPr>
        <w:t xml:space="preserve">                A</w:t>
      </w:r>
      <w:r>
        <w:rPr>
          <w:spacing w:val="-3"/>
          <w:lang w:val="es-ES_tradnl"/>
        </w:rPr>
        <w:t>rt</w:t>
      </w:r>
      <w:r w:rsidR="002C4B3D">
        <w:rPr>
          <w:spacing w:val="-3"/>
          <w:lang w:val="es-ES_tradnl"/>
        </w:rPr>
        <w:t>ículo</w:t>
      </w:r>
      <w:r>
        <w:rPr>
          <w:spacing w:val="-3"/>
          <w:lang w:val="es-ES_tradnl"/>
        </w:rPr>
        <w:t xml:space="preserve"> 211 </w:t>
      </w:r>
      <w:r w:rsidR="002C4B3D">
        <w:rPr>
          <w:spacing w:val="-3"/>
          <w:lang w:val="es-ES_tradnl"/>
        </w:rPr>
        <w:t>L</w:t>
      </w:r>
      <w:r>
        <w:rPr>
          <w:spacing w:val="-3"/>
          <w:lang w:val="es-ES_tradnl"/>
        </w:rPr>
        <w:t>it</w:t>
      </w:r>
      <w:r w:rsidR="002C4B3D">
        <w:rPr>
          <w:spacing w:val="-3"/>
          <w:lang w:val="es-ES_tradnl"/>
        </w:rPr>
        <w:t>eral</w:t>
      </w:r>
      <w:r>
        <w:rPr>
          <w:spacing w:val="-3"/>
          <w:lang w:val="es-ES_tradnl"/>
        </w:rPr>
        <w:t xml:space="preserve"> B) de la Constitución</w:t>
      </w:r>
      <w:r w:rsidR="002C4B3D">
        <w:rPr>
          <w:spacing w:val="-3"/>
          <w:lang w:val="es-ES_tradnl"/>
        </w:rPr>
        <w:t xml:space="preserve"> de la República</w:t>
      </w:r>
      <w:r>
        <w:rPr>
          <w:spacing w:val="-3"/>
          <w:lang w:val="es-ES_tradnl"/>
        </w:rPr>
        <w:t>;</w:t>
      </w:r>
    </w:p>
    <w:p w:rsidR="00FA66AC" w:rsidRDefault="00FA66AC" w:rsidP="00FA66AC">
      <w:pPr>
        <w:pStyle w:val="Ttulo1"/>
        <w:rPr>
          <w:rFonts w:ascii="Arial" w:hAnsi="Arial"/>
        </w:rPr>
      </w:pPr>
      <w:r>
        <w:rPr>
          <w:rFonts w:ascii="Arial" w:hAnsi="Arial"/>
        </w:rPr>
        <w:t>EL TRIBUNAL ACUERDA</w:t>
      </w:r>
    </w:p>
    <w:p w:rsidR="00FA66AC" w:rsidRDefault="00FA66AC" w:rsidP="00FA66AC">
      <w:pPr>
        <w:rPr>
          <w:lang w:val="es-ES_tradnl"/>
        </w:rPr>
      </w:pPr>
    </w:p>
    <w:p w:rsidR="00FE71B6" w:rsidRDefault="00F47655" w:rsidP="002C4B3D">
      <w:pPr>
        <w:spacing w:line="360" w:lineRule="auto"/>
        <w:ind w:left="567" w:hanging="567"/>
        <w:jc w:val="both"/>
      </w:pPr>
      <w:r w:rsidRPr="00F47655">
        <w:rPr>
          <w:b/>
        </w:rPr>
        <w:t xml:space="preserve"> 1)</w:t>
      </w:r>
      <w:r w:rsidR="00A44FB6">
        <w:t xml:space="preserve">   </w:t>
      </w:r>
      <w:r w:rsidR="00FE71B6">
        <w:t xml:space="preserve">Estar a lo dispuesto por este Tribunal, por Resolución de fecha  27 de diciembre de 2012;  </w:t>
      </w:r>
    </w:p>
    <w:p w:rsidR="00F47655" w:rsidRPr="00F47655" w:rsidRDefault="00F47655" w:rsidP="00F47655">
      <w:pPr>
        <w:spacing w:line="360" w:lineRule="auto"/>
        <w:jc w:val="both"/>
        <w:rPr>
          <w:b/>
          <w:bCs/>
        </w:rPr>
      </w:pPr>
      <w:r w:rsidRPr="00F47655">
        <w:rPr>
          <w:rFonts w:cs="Arial"/>
          <w:b/>
          <w:lang w:val="es-UY"/>
        </w:rPr>
        <w:t>2)</w:t>
      </w:r>
      <w:r w:rsidR="00A44FB6">
        <w:rPr>
          <w:rFonts w:cs="Arial"/>
          <w:lang w:val="es-UY"/>
        </w:rPr>
        <w:t xml:space="preserve">     </w:t>
      </w:r>
      <w:r w:rsidR="00FE71B6" w:rsidRPr="00F47655">
        <w:rPr>
          <w:rFonts w:cs="Arial"/>
          <w:lang w:val="es-UY"/>
        </w:rPr>
        <w:t>Comunicar a la Contadora Auditora</w:t>
      </w:r>
      <w:r w:rsidRPr="00F47655">
        <w:rPr>
          <w:rFonts w:cs="Arial"/>
          <w:lang w:val="es-UY"/>
        </w:rPr>
        <w:t>;</w:t>
      </w:r>
    </w:p>
    <w:p w:rsidR="00FE71B6" w:rsidRPr="00F47655" w:rsidRDefault="00F47655" w:rsidP="00F47655">
      <w:pPr>
        <w:spacing w:line="360" w:lineRule="auto"/>
        <w:jc w:val="both"/>
        <w:rPr>
          <w:b/>
          <w:bCs/>
        </w:rPr>
      </w:pPr>
      <w:r w:rsidRPr="00F47655">
        <w:rPr>
          <w:b/>
        </w:rPr>
        <w:t>3)</w:t>
      </w:r>
      <w:r>
        <w:t xml:space="preserve">     </w:t>
      </w:r>
      <w:r w:rsidR="00FE71B6">
        <w:t>Devolver las actuaciones.</w:t>
      </w:r>
    </w:p>
    <w:p w:rsidR="00FE71B6" w:rsidRDefault="00FE71B6" w:rsidP="00FE71B6">
      <w:pPr>
        <w:spacing w:line="360" w:lineRule="auto"/>
        <w:jc w:val="both"/>
      </w:pPr>
    </w:p>
    <w:p w:rsidR="00FA66AC" w:rsidRPr="001928C3" w:rsidRDefault="002C4B3D" w:rsidP="00FA66AC">
      <w:pPr>
        <w:jc w:val="both"/>
        <w:rPr>
          <w:sz w:val="16"/>
          <w:szCs w:val="16"/>
          <w:lang w:val="es-ES_tradnl"/>
        </w:rPr>
      </w:pPr>
      <w:proofErr w:type="spellStart"/>
      <w:proofErr w:type="gramStart"/>
      <w:r>
        <w:t>ag</w:t>
      </w:r>
      <w:proofErr w:type="spellEnd"/>
      <w:proofErr w:type="gramEnd"/>
    </w:p>
    <w:p w:rsidR="00D96E59" w:rsidRPr="001928C3" w:rsidRDefault="00D96E59">
      <w:pPr>
        <w:rPr>
          <w:sz w:val="16"/>
          <w:szCs w:val="16"/>
          <w:lang w:val="es-ES_tradnl"/>
        </w:rPr>
      </w:pPr>
    </w:p>
    <w:sectPr w:rsidR="00D96E59" w:rsidRPr="001928C3" w:rsidSect="00E64F03">
      <w:headerReference w:type="default" r:id="rId8"/>
      <w:footerReference w:type="even" r:id="rId9"/>
      <w:footerReference w:type="default" r:id="rId10"/>
      <w:pgSz w:w="11907" w:h="16840" w:code="9"/>
      <w:pgMar w:top="3289" w:right="1701" w:bottom="1134" w:left="1701" w:header="0" w:footer="0" w:gutter="0"/>
      <w:paperSrc w:first="4" w:other="4"/>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793" w:rsidRDefault="009E170E">
      <w:r>
        <w:separator/>
      </w:r>
    </w:p>
  </w:endnote>
  <w:endnote w:type="continuationSeparator" w:id="0">
    <w:p w:rsidR="00AE0793" w:rsidRDefault="009E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2EC" w:rsidRDefault="006152E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152EC" w:rsidRDefault="006152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2EC" w:rsidRDefault="006152EC" w:rsidP="00114D7A">
    <w:pPr>
      <w:pStyle w:val="Piedepgina"/>
      <w:framePr w:wrap="around" w:vAnchor="text" w:hAnchor="margin" w:xAlign="center" w:y="-574"/>
      <w:rPr>
        <w:rStyle w:val="Nmerodepgina"/>
      </w:rPr>
    </w:pPr>
    <w:r>
      <w:rPr>
        <w:rStyle w:val="Nmerodepgina"/>
      </w:rPr>
      <w:fldChar w:fldCharType="begin"/>
    </w:r>
    <w:r>
      <w:rPr>
        <w:rStyle w:val="Nmerodepgina"/>
      </w:rPr>
      <w:instrText xml:space="preserve">PAGE  </w:instrText>
    </w:r>
    <w:r>
      <w:rPr>
        <w:rStyle w:val="Nmerodepgina"/>
      </w:rPr>
      <w:fldChar w:fldCharType="separate"/>
    </w:r>
    <w:r w:rsidR="00E64F03">
      <w:rPr>
        <w:rStyle w:val="Nmerodepgina"/>
        <w:noProof/>
      </w:rPr>
      <w:t>3</w:t>
    </w:r>
    <w:r>
      <w:rPr>
        <w:rStyle w:val="Nmerodepgina"/>
      </w:rPr>
      <w:fldChar w:fldCharType="end"/>
    </w:r>
  </w:p>
  <w:p w:rsidR="006152EC" w:rsidRDefault="006152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793" w:rsidRDefault="009E170E">
      <w:r>
        <w:separator/>
      </w:r>
    </w:p>
  </w:footnote>
  <w:footnote w:type="continuationSeparator" w:id="0">
    <w:p w:rsidR="00AE0793" w:rsidRDefault="009E1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2EC" w:rsidRDefault="006152EC">
    <w:pPr>
      <w:suppressAutoHyphens/>
      <w:jc w:val="both"/>
    </w:pPr>
    <w:r>
      <w:rPr>
        <w:noProof/>
        <w:lang w:val="es-UY" w:eastAsia="es-UY"/>
      </w:rPr>
      <mc:AlternateContent>
        <mc:Choice Requires="wps">
          <w:drawing>
            <wp:anchor distT="0" distB="0" distL="114300" distR="114300" simplePos="0" relativeHeight="251659264" behindDoc="0" locked="0" layoutInCell="0" allowOverlap="1" wp14:anchorId="789A0E96" wp14:editId="492E9AA9">
              <wp:simplePos x="0" y="0"/>
              <wp:positionH relativeFrom="page">
                <wp:posOffset>1079500</wp:posOffset>
              </wp:positionH>
              <wp:positionV relativeFrom="paragraph">
                <wp:posOffset>0</wp:posOffset>
              </wp:positionV>
              <wp:extent cx="5356860" cy="152400"/>
              <wp:effectExtent l="3175" t="0" r="254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686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152EC" w:rsidRDefault="006152EC">
                          <w:pPr>
                            <w:tabs>
                              <w:tab w:val="center" w:pos="4218"/>
                              <w:tab w:val="right" w:pos="8436"/>
                            </w:tabs>
                            <w:rPr>
                              <w:spacing w:val="-3"/>
                              <w:lang w:val="es-ES_tradnl"/>
                            </w:rPr>
                          </w:pP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left:0;text-align:left;margin-left:85pt;margin-top:0;width:421.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PV+5QIAAGAGAAAOAAAAZHJzL2Uyb0RvYy54bWysVVGO0zAQ/UfiDpb/s0naNE2jTVGbNAhp&#10;gRULB3ATp7FI7GC7TRfEYTgLF2PstN12FyTE0o9obI/H782bmV6/2rcN2lGpmOAJ9q88jCgvRMn4&#10;JsGfPuZOhJHShJekEZwm+J4q/Gr+8sV138V0JGrRlFQiCMJV3HcJrrXuYtdVRU1boq5ERzkcVkK2&#10;RMNSbtxSkh6it4078rzQ7YUsOykKqhTsZsMhntv4VUUL/b6qFNWoSTBg0/Yr7Xdtvu78msQbSbqa&#10;FQcY5B9QtIRxePQUKiOaoK1kT0K1rJBCiUpfFaJ1RVWxgloOwMb3HrG5q0lHLRdIjupOaVL/L2zx&#10;bncrEStBO4w4aUGiD5C0nz/4ZtsI5JsE9Z2Kwe+uu5WGoupuRPFZIS7SmvANXUgp+pqSEmBZf/fi&#10;glkouIrW/VtRQnyy1cLmal/J1gSELKC9leT+JAnda1TA5mQ8CaMQlCvgzJ+MAs9q5pL4eLuTSr+m&#10;okXGSLAE9DY62d0oDejB9ehiHuMiZ01jZW/4xQY4DjvU1s1wm8SABEzjaTBZTb/NvNkqWkWBE4zC&#10;lRN4WeYs8jRwwtyfTrJxlqaZ/92g8IO4ZmVJuXn0WF9+8Hf6HSp9qIxThSnRsNKEM5CU3KzTRqId&#10;gfrO7c8oBlTO3NxLGPYYuDyi5ENul6OZk4fR1AnyYOLMpl7keP5sOQu9YBZk+SWlG8bp8ymh3mhu&#10;ufyRmGd/T4mRuGUaxkfD2gRHJycSm2pc8dKqrAlrBvssDwb77/OwyCfeNBhHznQ6GTvBeOU5yyhP&#10;nUXqh+F0tUyXq0fSrmy5qOenwgpyVntneA9vPEAGhY+FadvNdNjQqXq/3gNx03ZrUd5D40kBfQEt&#10;BGMajFrIrxj1MPISrL5siaQYNW84NK+Zj0dDHo310SC8gKsJ1hgNZqqHObrtJNvUENm3MnKxgAav&#10;mO29BxQA3SxgjFkSh5Fr5uT52no9/DHMfwEAAP//AwBQSwMEFAAGAAgAAAAhAPKpkSjdAAAACAEA&#10;AA8AAABkcnMvZG93bnJldi54bWxMj8FOwzAQRO9I/IO1SNyo3YIChDgVahQJbrRw4ebGSxIRr5PY&#10;TcLfsz3BZaXRjGbfZNvFdWLCMbSeNKxXCgRS5W1LtYaP9/LmAUSIhqzpPKGGHwywzS8vMpNaP9Me&#10;p0OsBZdQSI2GJsY+lTJUDToTVr5HYu/Lj85ElmMt7WhmLned3CiVSGda4g+N6XHXYPV9ODkNxZjY&#10;MuxeivLxcy7i69swDXLQ+vpqeX4CEXGJf2E44zM65Mx09CeyQXSs7xVviRr4nm21vk1AHDVs7hTI&#10;PJP/B+S/AAAA//8DAFBLAQItABQABgAIAAAAIQC2gziS/gAAAOEBAAATAAAAAAAAAAAAAAAAAAAA&#10;AABbQ29udGVudF9UeXBlc10ueG1sUEsBAi0AFAAGAAgAAAAhADj9If/WAAAAlAEAAAsAAAAAAAAA&#10;AAAAAAAALwEAAF9yZWxzLy5yZWxzUEsBAi0AFAAGAAgAAAAhAFPw9X7lAgAAYAYAAA4AAAAAAAAA&#10;AAAAAAAALgIAAGRycy9lMm9Eb2MueG1sUEsBAi0AFAAGAAgAAAAhAPKpkSjdAAAACAEAAA8AAAAA&#10;AAAAAAAAAAAAPwUAAGRycy9kb3ducmV2LnhtbFBLBQYAAAAABAAEAPMAAABJBgAAAAA=&#10;" o:allowincell="f" filled="f" stroked="f" strokeweight="0">
              <v:textbox inset="0,0,0,0">
                <w:txbxContent>
                  <w:p w:rsidR="006152EC" w:rsidRDefault="006152EC">
                    <w:pPr>
                      <w:tabs>
                        <w:tab w:val="center" w:pos="4218"/>
                        <w:tab w:val="right" w:pos="8436"/>
                      </w:tabs>
                      <w:rPr>
                        <w:spacing w:val="-3"/>
                        <w:lang w:val="es-ES_tradnl"/>
                      </w:rPr>
                    </w:pPr>
                    <w:r>
                      <w:tab/>
                    </w:r>
                    <w:r>
                      <w:tab/>
                    </w:r>
                  </w:p>
                </w:txbxContent>
              </v:textbox>
              <w10:wrap anchorx="page"/>
            </v:rect>
          </w:pict>
        </mc:Fallback>
      </mc:AlternateContent>
    </w:r>
  </w:p>
  <w:p w:rsidR="006152EC" w:rsidRDefault="006152EC">
    <w:pPr>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202E5"/>
    <w:multiLevelType w:val="hybridMultilevel"/>
    <w:tmpl w:val="D6062C60"/>
    <w:lvl w:ilvl="0" w:tplc="97DE9692">
      <w:start w:val="2"/>
      <w:numFmt w:val="decimal"/>
      <w:lvlText w:val="%1)"/>
      <w:lvlJc w:val="left"/>
      <w:pPr>
        <w:ind w:left="720" w:hanging="360"/>
      </w:pPr>
      <w:rPr>
        <w:rFonts w:cs="Aria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51D3829"/>
    <w:multiLevelType w:val="hybridMultilevel"/>
    <w:tmpl w:val="13C6DCAC"/>
    <w:lvl w:ilvl="0" w:tplc="3CB4224C">
      <w:start w:val="1"/>
      <w:numFmt w:val="decimal"/>
      <w:lvlText w:val="%1)"/>
      <w:lvlJc w:val="left"/>
      <w:pPr>
        <w:tabs>
          <w:tab w:val="num" w:pos="720"/>
        </w:tabs>
        <w:ind w:left="720" w:hanging="360"/>
      </w:pPr>
      <w:rPr>
        <w:rFonts w:ascii="Arial" w:eastAsia="Times New Roman" w:hAnsi="Arial" w:cs="Times New Roman"/>
        <w:b/>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FDA2BFD"/>
    <w:multiLevelType w:val="hybridMultilevel"/>
    <w:tmpl w:val="4FA8579E"/>
    <w:lvl w:ilvl="0" w:tplc="2CFAC190">
      <w:start w:val="2"/>
      <w:numFmt w:val="decimal"/>
      <w:lvlText w:val="%1)"/>
      <w:lvlJc w:val="left"/>
      <w:pPr>
        <w:ind w:left="720" w:hanging="360"/>
      </w:pPr>
      <w:rPr>
        <w:rFonts w:cs="Aria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0564813"/>
    <w:multiLevelType w:val="hybridMultilevel"/>
    <w:tmpl w:val="B5FC38DC"/>
    <w:lvl w:ilvl="0" w:tplc="0C0A0011">
      <w:start w:val="3"/>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AC"/>
    <w:rsid w:val="0009253A"/>
    <w:rsid w:val="000B2577"/>
    <w:rsid w:val="000F28B0"/>
    <w:rsid w:val="00114D7A"/>
    <w:rsid w:val="00146138"/>
    <w:rsid w:val="00181D6C"/>
    <w:rsid w:val="001928C3"/>
    <w:rsid w:val="001D690A"/>
    <w:rsid w:val="00272044"/>
    <w:rsid w:val="00273B9E"/>
    <w:rsid w:val="002C4B3D"/>
    <w:rsid w:val="00382A29"/>
    <w:rsid w:val="003859BF"/>
    <w:rsid w:val="0041584F"/>
    <w:rsid w:val="006152EC"/>
    <w:rsid w:val="00651240"/>
    <w:rsid w:val="00732DD6"/>
    <w:rsid w:val="007E7060"/>
    <w:rsid w:val="008E3F30"/>
    <w:rsid w:val="00950D82"/>
    <w:rsid w:val="009E170E"/>
    <w:rsid w:val="00A44FB6"/>
    <w:rsid w:val="00A845C3"/>
    <w:rsid w:val="00AE0793"/>
    <w:rsid w:val="00B26456"/>
    <w:rsid w:val="00B845CE"/>
    <w:rsid w:val="00BC1B08"/>
    <w:rsid w:val="00CD2791"/>
    <w:rsid w:val="00D40782"/>
    <w:rsid w:val="00D96E59"/>
    <w:rsid w:val="00E64F03"/>
    <w:rsid w:val="00EC7DCB"/>
    <w:rsid w:val="00F47655"/>
    <w:rsid w:val="00FA66AC"/>
    <w:rsid w:val="00FC6729"/>
    <w:rsid w:val="00FE71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n-US" w:bidi="ar-SA"/>
      </w:rPr>
    </w:rPrDefault>
    <w:pPrDefault>
      <w:pPr>
        <w:spacing w:after="-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6AC"/>
    <w:pPr>
      <w:spacing w:after="0" w:line="240" w:lineRule="auto"/>
      <w:jc w:val="left"/>
    </w:pPr>
    <w:rPr>
      <w:rFonts w:ascii="Arial" w:hAnsi="Arial"/>
      <w:sz w:val="24"/>
      <w:szCs w:val="24"/>
      <w:lang w:eastAsia="es-ES"/>
    </w:rPr>
  </w:style>
  <w:style w:type="paragraph" w:styleId="Ttulo1">
    <w:name w:val="heading 1"/>
    <w:basedOn w:val="Normal"/>
    <w:next w:val="Normal"/>
    <w:link w:val="Ttulo1Car"/>
    <w:qFormat/>
    <w:rsid w:val="00651240"/>
    <w:pPr>
      <w:keepNext/>
      <w:jc w:val="center"/>
      <w:outlineLvl w:val="0"/>
    </w:pPr>
    <w:rPr>
      <w:rFonts w:ascii="Times New Roman" w:hAnsi="Times New Roman"/>
      <w:b/>
      <w:bCs/>
      <w:lang w:val="es-ES_tradnl" w:eastAsia="es-ES_tradnl"/>
    </w:rPr>
  </w:style>
  <w:style w:type="paragraph" w:styleId="Ttulo3">
    <w:name w:val="heading 3"/>
    <w:basedOn w:val="Normal"/>
    <w:next w:val="Normal"/>
    <w:link w:val="Ttulo3Car"/>
    <w:qFormat/>
    <w:rsid w:val="00651240"/>
    <w:pPr>
      <w:keepNext/>
      <w:spacing w:before="240" w:after="60"/>
      <w:outlineLvl w:val="2"/>
    </w:pPr>
    <w:rPr>
      <w:rFonts w:cs="Arial"/>
      <w:b/>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51240"/>
    <w:rPr>
      <w:b/>
      <w:sz w:val="24"/>
      <w:szCs w:val="24"/>
      <w:lang w:val="es-ES_tradnl" w:eastAsia="es-ES_tradnl"/>
    </w:rPr>
  </w:style>
  <w:style w:type="character" w:customStyle="1" w:styleId="Ttulo3Car">
    <w:name w:val="Título 3 Car"/>
    <w:basedOn w:val="Fuentedeprrafopredeter"/>
    <w:link w:val="Ttulo3"/>
    <w:rsid w:val="008E3F30"/>
    <w:rPr>
      <w:rFonts w:ascii="Arial" w:hAnsi="Arial" w:cs="Arial"/>
      <w:b/>
      <w:bCs/>
      <w:sz w:val="26"/>
      <w:szCs w:val="26"/>
      <w:lang w:val="es-ES_tradnl" w:eastAsia="es-ES_tradnl"/>
    </w:rPr>
  </w:style>
  <w:style w:type="paragraph" w:styleId="Piedepgina">
    <w:name w:val="footer"/>
    <w:basedOn w:val="Normal"/>
    <w:link w:val="PiedepginaCar"/>
    <w:semiHidden/>
    <w:rsid w:val="00FA66AC"/>
    <w:pPr>
      <w:widowControl w:val="0"/>
      <w:tabs>
        <w:tab w:val="center" w:pos="4252"/>
        <w:tab w:val="right" w:pos="8504"/>
      </w:tabs>
    </w:pPr>
    <w:rPr>
      <w:rFonts w:ascii="Courier New" w:hAnsi="Courier New"/>
      <w:snapToGrid w:val="0"/>
      <w:szCs w:val="20"/>
    </w:rPr>
  </w:style>
  <w:style w:type="character" w:customStyle="1" w:styleId="PiedepginaCar">
    <w:name w:val="Pie de página Car"/>
    <w:basedOn w:val="Fuentedeprrafopredeter"/>
    <w:link w:val="Piedepgina"/>
    <w:semiHidden/>
    <w:rsid w:val="00FA66AC"/>
    <w:rPr>
      <w:rFonts w:ascii="Courier New" w:hAnsi="Courier New"/>
      <w:snapToGrid w:val="0"/>
      <w:sz w:val="24"/>
      <w:lang w:eastAsia="es-ES"/>
    </w:rPr>
  </w:style>
  <w:style w:type="character" w:styleId="Nmerodepgina">
    <w:name w:val="page number"/>
    <w:basedOn w:val="Fuentedeprrafopredeter"/>
    <w:semiHidden/>
    <w:rsid w:val="00FA66AC"/>
  </w:style>
  <w:style w:type="paragraph" w:styleId="Prrafodelista">
    <w:name w:val="List Paragraph"/>
    <w:basedOn w:val="Normal"/>
    <w:uiPriority w:val="34"/>
    <w:qFormat/>
    <w:rsid w:val="00F47655"/>
    <w:pPr>
      <w:ind w:left="720"/>
      <w:contextualSpacing/>
    </w:pPr>
  </w:style>
  <w:style w:type="paragraph" w:styleId="Encabezado">
    <w:name w:val="header"/>
    <w:basedOn w:val="Normal"/>
    <w:link w:val="EncabezadoCar"/>
    <w:uiPriority w:val="99"/>
    <w:unhideWhenUsed/>
    <w:rsid w:val="00A845C3"/>
    <w:pPr>
      <w:tabs>
        <w:tab w:val="center" w:pos="4252"/>
        <w:tab w:val="right" w:pos="8504"/>
      </w:tabs>
    </w:pPr>
  </w:style>
  <w:style w:type="character" w:customStyle="1" w:styleId="EncabezadoCar">
    <w:name w:val="Encabezado Car"/>
    <w:basedOn w:val="Fuentedeprrafopredeter"/>
    <w:link w:val="Encabezado"/>
    <w:uiPriority w:val="99"/>
    <w:rsid w:val="00A845C3"/>
    <w:rPr>
      <w:rFonts w:ascii="Arial" w:hAnsi="Arial"/>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US" w:bidi="ar-SA"/>
      </w:rPr>
    </w:rPrDefault>
    <w:pPrDefault>
      <w:pPr>
        <w:spacing w:after="-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6AC"/>
    <w:pPr>
      <w:spacing w:after="0" w:line="240" w:lineRule="auto"/>
      <w:jc w:val="left"/>
    </w:pPr>
    <w:rPr>
      <w:rFonts w:ascii="Arial" w:hAnsi="Arial"/>
      <w:sz w:val="24"/>
      <w:szCs w:val="24"/>
      <w:lang w:eastAsia="es-ES"/>
    </w:rPr>
  </w:style>
  <w:style w:type="paragraph" w:styleId="Ttulo1">
    <w:name w:val="heading 1"/>
    <w:basedOn w:val="Normal"/>
    <w:next w:val="Normal"/>
    <w:link w:val="Ttulo1Car"/>
    <w:qFormat/>
    <w:rsid w:val="00651240"/>
    <w:pPr>
      <w:keepNext/>
      <w:jc w:val="center"/>
      <w:outlineLvl w:val="0"/>
    </w:pPr>
    <w:rPr>
      <w:rFonts w:ascii="Times New Roman" w:hAnsi="Times New Roman"/>
      <w:b/>
      <w:bCs/>
      <w:lang w:val="es-ES_tradnl" w:eastAsia="es-ES_tradnl"/>
    </w:rPr>
  </w:style>
  <w:style w:type="paragraph" w:styleId="Ttulo3">
    <w:name w:val="heading 3"/>
    <w:basedOn w:val="Normal"/>
    <w:next w:val="Normal"/>
    <w:link w:val="Ttulo3Car"/>
    <w:qFormat/>
    <w:rsid w:val="00651240"/>
    <w:pPr>
      <w:keepNext/>
      <w:spacing w:before="240" w:after="60"/>
      <w:outlineLvl w:val="2"/>
    </w:pPr>
    <w:rPr>
      <w:rFonts w:cs="Arial"/>
      <w:b/>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51240"/>
    <w:rPr>
      <w:b/>
      <w:sz w:val="24"/>
      <w:szCs w:val="24"/>
      <w:lang w:val="es-ES_tradnl" w:eastAsia="es-ES_tradnl"/>
    </w:rPr>
  </w:style>
  <w:style w:type="character" w:customStyle="1" w:styleId="Ttulo3Car">
    <w:name w:val="Título 3 Car"/>
    <w:basedOn w:val="Fuentedeprrafopredeter"/>
    <w:link w:val="Ttulo3"/>
    <w:rsid w:val="008E3F30"/>
    <w:rPr>
      <w:rFonts w:ascii="Arial" w:hAnsi="Arial" w:cs="Arial"/>
      <w:b/>
      <w:bCs/>
      <w:sz w:val="26"/>
      <w:szCs w:val="26"/>
      <w:lang w:val="es-ES_tradnl" w:eastAsia="es-ES_tradnl"/>
    </w:rPr>
  </w:style>
  <w:style w:type="paragraph" w:styleId="Piedepgina">
    <w:name w:val="footer"/>
    <w:basedOn w:val="Normal"/>
    <w:link w:val="PiedepginaCar"/>
    <w:semiHidden/>
    <w:rsid w:val="00FA66AC"/>
    <w:pPr>
      <w:widowControl w:val="0"/>
      <w:tabs>
        <w:tab w:val="center" w:pos="4252"/>
        <w:tab w:val="right" w:pos="8504"/>
      </w:tabs>
    </w:pPr>
    <w:rPr>
      <w:rFonts w:ascii="Courier New" w:hAnsi="Courier New"/>
      <w:snapToGrid w:val="0"/>
      <w:szCs w:val="20"/>
    </w:rPr>
  </w:style>
  <w:style w:type="character" w:customStyle="1" w:styleId="PiedepginaCar">
    <w:name w:val="Pie de página Car"/>
    <w:basedOn w:val="Fuentedeprrafopredeter"/>
    <w:link w:val="Piedepgina"/>
    <w:semiHidden/>
    <w:rsid w:val="00FA66AC"/>
    <w:rPr>
      <w:rFonts w:ascii="Courier New" w:hAnsi="Courier New"/>
      <w:snapToGrid w:val="0"/>
      <w:sz w:val="24"/>
      <w:lang w:eastAsia="es-ES"/>
    </w:rPr>
  </w:style>
  <w:style w:type="character" w:styleId="Nmerodepgina">
    <w:name w:val="page number"/>
    <w:basedOn w:val="Fuentedeprrafopredeter"/>
    <w:semiHidden/>
    <w:rsid w:val="00FA66AC"/>
  </w:style>
  <w:style w:type="paragraph" w:styleId="Prrafodelista">
    <w:name w:val="List Paragraph"/>
    <w:basedOn w:val="Normal"/>
    <w:uiPriority w:val="34"/>
    <w:qFormat/>
    <w:rsid w:val="00F47655"/>
    <w:pPr>
      <w:ind w:left="720"/>
      <w:contextualSpacing/>
    </w:pPr>
  </w:style>
  <w:style w:type="paragraph" w:styleId="Encabezado">
    <w:name w:val="header"/>
    <w:basedOn w:val="Normal"/>
    <w:link w:val="EncabezadoCar"/>
    <w:uiPriority w:val="99"/>
    <w:unhideWhenUsed/>
    <w:rsid w:val="00A845C3"/>
    <w:pPr>
      <w:tabs>
        <w:tab w:val="center" w:pos="4252"/>
        <w:tab w:val="right" w:pos="8504"/>
      </w:tabs>
    </w:pPr>
  </w:style>
  <w:style w:type="character" w:customStyle="1" w:styleId="EncabezadoCar">
    <w:name w:val="Encabezado Car"/>
    <w:basedOn w:val="Fuentedeprrafopredeter"/>
    <w:link w:val="Encabezado"/>
    <w:uiPriority w:val="99"/>
    <w:rsid w:val="00A845C3"/>
    <w:rPr>
      <w:rFonts w:ascii="Arial" w:hAnsi="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1004</Words>
  <Characters>5522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14</cp:revision>
  <cp:lastPrinted>2018-01-15T19:08:00Z</cp:lastPrinted>
  <dcterms:created xsi:type="dcterms:W3CDTF">2018-01-12T18:28:00Z</dcterms:created>
  <dcterms:modified xsi:type="dcterms:W3CDTF">2018-01-15T19:08:00Z</dcterms:modified>
</cp:coreProperties>
</file>