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987" w:rsidRPr="00C61614" w:rsidRDefault="00597987" w:rsidP="00C61614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DD4C83">
        <w:rPr>
          <w:rFonts w:ascii="Arial" w:hAnsi="Arial" w:cs="Arial"/>
          <w:b/>
          <w:sz w:val="28"/>
          <w:szCs w:val="28"/>
          <w:lang w:val="es-ES_tradnl"/>
        </w:rPr>
        <w:t>4210</w:t>
      </w:r>
      <w:r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597987" w:rsidRDefault="0059798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597987" w:rsidRDefault="00597987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597987" w:rsidRDefault="00597987" w:rsidP="00662BF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597987" w:rsidRDefault="00597987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597987" w:rsidRDefault="00597987" w:rsidP="00662BF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597987" w:rsidRDefault="00597987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13</w:t>
      </w:r>
      <w:r>
        <w:rPr>
          <w:rFonts w:ascii="Arial" w:hAnsi="Arial" w:cs="Arial"/>
          <w:b/>
          <w:lang w:val="es-ES_tradnl"/>
        </w:rPr>
        <w:t xml:space="preserve"> DE DICIEMBRE </w:t>
      </w:r>
      <w:r>
        <w:rPr>
          <w:rFonts w:ascii="Helvetica" w:hAnsi="Helvetica"/>
          <w:b/>
          <w:lang w:val="es-ES_tradnl"/>
        </w:rPr>
        <w:t>DE 2017</w:t>
      </w:r>
    </w:p>
    <w:p w:rsidR="00597987" w:rsidRDefault="00597987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34052C" w:rsidRPr="001A2C1C" w:rsidRDefault="00597987" w:rsidP="00597987">
      <w:pPr>
        <w:tabs>
          <w:tab w:val="center" w:pos="4253"/>
        </w:tabs>
        <w:suppressAutoHyphens/>
        <w:jc w:val="center"/>
        <w:rPr>
          <w:rFonts w:ascii="Arial" w:hAnsi="Arial" w:cs="Arial"/>
          <w:b/>
        </w:rPr>
      </w:pPr>
      <w:r w:rsidRPr="00597987">
        <w:rPr>
          <w:rFonts w:ascii="Helvetica" w:hAnsi="Helvetica"/>
          <w:b/>
        </w:rPr>
        <w:t xml:space="preserve">(E. E. Nº 2017-17-1-0007522, </w:t>
      </w:r>
      <w:proofErr w:type="spellStart"/>
      <w:r w:rsidRPr="00597987">
        <w:rPr>
          <w:rFonts w:ascii="Helvetica" w:hAnsi="Helvetica"/>
          <w:b/>
        </w:rPr>
        <w:t>Ent</w:t>
      </w:r>
      <w:proofErr w:type="spellEnd"/>
      <w:r w:rsidRPr="00597987">
        <w:rPr>
          <w:rFonts w:ascii="Helvetica" w:hAnsi="Helvetica"/>
          <w:b/>
        </w:rPr>
        <w:t>. Iniciada)</w:t>
      </w: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2330C5">
      <w:pPr>
        <w:spacing w:line="360" w:lineRule="auto"/>
        <w:jc w:val="both"/>
        <w:rPr>
          <w:rFonts w:ascii="Arial" w:hAnsi="Arial" w:cs="Arial"/>
        </w:rPr>
      </w:pPr>
    </w:p>
    <w:p w:rsidR="00B84814" w:rsidRDefault="0034052C" w:rsidP="00DD4C83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 w:rsidR="00743406">
        <w:rPr>
          <w:rFonts w:ascii="Arial" w:hAnsi="Arial" w:cs="Arial"/>
        </w:rPr>
        <w:t xml:space="preserve"> Contador Auditor </w:t>
      </w:r>
      <w:r w:rsidR="00B84814">
        <w:rPr>
          <w:rFonts w:ascii="Arial" w:hAnsi="Arial" w:cs="Arial"/>
        </w:rPr>
        <w:t xml:space="preserve">del Tribunal de Cuentas </w:t>
      </w:r>
      <w:r w:rsidR="00743406">
        <w:rPr>
          <w:rFonts w:ascii="Arial" w:hAnsi="Arial" w:cs="Arial"/>
        </w:rPr>
        <w:t>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075D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7A1639">
        <w:rPr>
          <w:rFonts w:ascii="Arial" w:hAnsi="Arial" w:cs="Arial"/>
        </w:rPr>
        <w:t>dos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7A1639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7A1639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B84814">
        <w:rPr>
          <w:rFonts w:ascii="Arial" w:hAnsi="Arial" w:cs="Arial"/>
        </w:rPr>
        <w:t>por</w:t>
      </w:r>
      <w:r w:rsidR="009938A3">
        <w:rPr>
          <w:rFonts w:ascii="Arial" w:hAnsi="Arial" w:cs="Arial"/>
        </w:rPr>
        <w:t xml:space="preserve"> la C</w:t>
      </w:r>
      <w:r w:rsidR="00EB2F64">
        <w:rPr>
          <w:rFonts w:ascii="Arial" w:hAnsi="Arial" w:cs="Arial"/>
        </w:rPr>
        <w:t>ámara de Senadores</w:t>
      </w:r>
      <w:r w:rsidR="009938A3">
        <w:rPr>
          <w:rFonts w:ascii="Arial" w:hAnsi="Arial" w:cs="Arial"/>
        </w:rPr>
        <w:t xml:space="preserve"> </w:t>
      </w:r>
      <w:r w:rsidR="009E49B0">
        <w:rPr>
          <w:rFonts w:ascii="Arial" w:hAnsi="Arial" w:cs="Arial"/>
        </w:rPr>
        <w:t>en los meses</w:t>
      </w:r>
      <w:r w:rsidR="00625578">
        <w:rPr>
          <w:rFonts w:ascii="Arial" w:hAnsi="Arial" w:cs="Arial"/>
        </w:rPr>
        <w:t xml:space="preserve"> de</w:t>
      </w:r>
      <w:r w:rsidR="006051CE">
        <w:rPr>
          <w:rFonts w:ascii="Arial" w:hAnsi="Arial" w:cs="Arial"/>
        </w:rPr>
        <w:t xml:space="preserve"> </w:t>
      </w:r>
      <w:r w:rsidR="00E4360C">
        <w:rPr>
          <w:rFonts w:ascii="Arial" w:hAnsi="Arial" w:cs="Arial"/>
        </w:rPr>
        <w:t>octu</w:t>
      </w:r>
      <w:r w:rsidR="006A0F5A">
        <w:rPr>
          <w:rFonts w:ascii="Arial" w:hAnsi="Arial" w:cs="Arial"/>
        </w:rPr>
        <w:t>bre</w:t>
      </w:r>
      <w:r w:rsidR="009E49B0">
        <w:rPr>
          <w:rFonts w:ascii="Arial" w:hAnsi="Arial" w:cs="Arial"/>
        </w:rPr>
        <w:t xml:space="preserve"> y noviembre</w:t>
      </w:r>
      <w:r w:rsidR="00930FCD">
        <w:rPr>
          <w:rFonts w:ascii="Arial" w:hAnsi="Arial" w:cs="Arial"/>
        </w:rPr>
        <w:t xml:space="preserve"> de 201</w:t>
      </w:r>
      <w:r w:rsidR="0083260C">
        <w:rPr>
          <w:rFonts w:ascii="Arial" w:hAnsi="Arial" w:cs="Arial"/>
        </w:rPr>
        <w:t>7</w:t>
      </w:r>
      <w:r>
        <w:rPr>
          <w:rFonts w:ascii="Arial" w:hAnsi="Arial" w:cs="Arial"/>
        </w:rPr>
        <w:t>;</w:t>
      </w:r>
    </w:p>
    <w:p w:rsidR="008A3EB9" w:rsidRDefault="0034052C" w:rsidP="00DD4C83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</w:t>
      </w:r>
      <w:r w:rsidR="00E831A9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Conta</w:t>
      </w:r>
      <w:r w:rsidR="001D4434">
        <w:rPr>
          <w:rFonts w:ascii="Arial" w:hAnsi="Arial" w:cs="Arial"/>
        </w:rPr>
        <w:t>dor Auditor</w:t>
      </w:r>
      <w:r w:rsidR="002330C5">
        <w:rPr>
          <w:rFonts w:ascii="Arial" w:hAnsi="Arial" w:cs="Arial"/>
        </w:rPr>
        <w:t xml:space="preserve"> observó </w:t>
      </w:r>
      <w:r w:rsidR="007A1639">
        <w:rPr>
          <w:rFonts w:ascii="Arial" w:hAnsi="Arial" w:cs="Arial"/>
        </w:rPr>
        <w:t>dos</w:t>
      </w:r>
      <w:r w:rsidR="002330C5">
        <w:rPr>
          <w:rFonts w:ascii="Arial" w:hAnsi="Arial" w:cs="Arial"/>
        </w:rPr>
        <w:t xml:space="preserve"> gasto</w:t>
      </w:r>
      <w:r w:rsidR="007A1639">
        <w:rPr>
          <w:rFonts w:ascii="Arial" w:hAnsi="Arial" w:cs="Arial"/>
        </w:rPr>
        <w:t>s</w:t>
      </w:r>
      <w:r w:rsidR="008D62F2">
        <w:rPr>
          <w:rFonts w:ascii="Arial" w:hAnsi="Arial" w:cs="Arial"/>
        </w:rPr>
        <w:t xml:space="preserve"> </w:t>
      </w:r>
      <w:r w:rsidR="00B84814">
        <w:rPr>
          <w:rFonts w:ascii="Arial" w:hAnsi="Arial" w:cs="Arial"/>
        </w:rPr>
        <w:t xml:space="preserve">de </w:t>
      </w:r>
      <w:r w:rsidR="008D62F2">
        <w:rPr>
          <w:rFonts w:ascii="Arial" w:hAnsi="Arial" w:cs="Arial"/>
        </w:rPr>
        <w:t xml:space="preserve">la </w:t>
      </w:r>
      <w:r w:rsidR="003C002F">
        <w:rPr>
          <w:rFonts w:ascii="Arial" w:hAnsi="Arial" w:cs="Arial"/>
        </w:rPr>
        <w:t>C</w:t>
      </w:r>
      <w:r w:rsidR="00EB2F64">
        <w:rPr>
          <w:rFonts w:ascii="Arial" w:hAnsi="Arial" w:cs="Arial"/>
        </w:rPr>
        <w:t>ámara de Senadores</w:t>
      </w:r>
      <w:r w:rsidR="005D6876">
        <w:rPr>
          <w:rFonts w:ascii="Arial" w:hAnsi="Arial" w:cs="Arial"/>
        </w:rPr>
        <w:t>,</w:t>
      </w:r>
      <w:r w:rsidR="00E4360C">
        <w:rPr>
          <w:rFonts w:ascii="Arial" w:hAnsi="Arial" w:cs="Arial"/>
        </w:rPr>
        <w:t xml:space="preserve"> por un monto de $ </w:t>
      </w:r>
      <w:r w:rsidR="007A1639">
        <w:rPr>
          <w:rFonts w:ascii="Arial" w:hAnsi="Arial" w:cs="Arial"/>
        </w:rPr>
        <w:t>215</w:t>
      </w:r>
      <w:r w:rsidR="001308BA">
        <w:rPr>
          <w:rFonts w:ascii="Arial" w:hAnsi="Arial" w:cs="Arial"/>
        </w:rPr>
        <w:t>.</w:t>
      </w:r>
      <w:r w:rsidR="007A1639">
        <w:rPr>
          <w:rFonts w:ascii="Arial" w:hAnsi="Arial" w:cs="Arial"/>
        </w:rPr>
        <w:t>212</w:t>
      </w:r>
      <w:r w:rsidR="00101C88">
        <w:rPr>
          <w:rFonts w:ascii="Arial" w:hAnsi="Arial" w:cs="Arial"/>
        </w:rPr>
        <w:t>, en</w:t>
      </w:r>
      <w:r w:rsidR="002330C5">
        <w:rPr>
          <w:rFonts w:ascii="Arial" w:hAnsi="Arial" w:cs="Arial"/>
        </w:rPr>
        <w:t xml:space="preserve"> </w:t>
      </w:r>
      <w:r w:rsidR="00B84814">
        <w:rPr>
          <w:rFonts w:ascii="Arial" w:hAnsi="Arial" w:cs="Arial"/>
        </w:rPr>
        <w:t>los meses</w:t>
      </w:r>
      <w:r w:rsidR="002330C5">
        <w:rPr>
          <w:rFonts w:ascii="Arial" w:hAnsi="Arial" w:cs="Arial"/>
        </w:rPr>
        <w:t xml:space="preserve"> de</w:t>
      </w:r>
      <w:r w:rsidR="009938A3">
        <w:rPr>
          <w:rFonts w:ascii="Arial" w:hAnsi="Arial" w:cs="Arial"/>
        </w:rPr>
        <w:t xml:space="preserve"> </w:t>
      </w:r>
      <w:r w:rsidR="00E4360C">
        <w:rPr>
          <w:rFonts w:ascii="Arial" w:hAnsi="Arial" w:cs="Arial"/>
        </w:rPr>
        <w:t xml:space="preserve">octubre </w:t>
      </w:r>
      <w:r w:rsidR="009E49B0">
        <w:rPr>
          <w:rFonts w:ascii="Arial" w:hAnsi="Arial" w:cs="Arial"/>
        </w:rPr>
        <w:t xml:space="preserve">y noviembre </w:t>
      </w:r>
      <w:r>
        <w:rPr>
          <w:rFonts w:ascii="Arial" w:hAnsi="Arial" w:cs="Arial"/>
        </w:rPr>
        <w:t>de 201</w:t>
      </w:r>
      <w:r w:rsidR="0083260C">
        <w:rPr>
          <w:rFonts w:ascii="Arial" w:hAnsi="Arial" w:cs="Arial"/>
        </w:rPr>
        <w:t>7</w:t>
      </w:r>
      <w:r w:rsidR="00D2528B">
        <w:rPr>
          <w:rFonts w:ascii="Arial" w:hAnsi="Arial" w:cs="Arial"/>
        </w:rPr>
        <w:t xml:space="preserve">, </w:t>
      </w:r>
      <w:r w:rsidR="00B64F33">
        <w:rPr>
          <w:rFonts w:ascii="Arial" w:hAnsi="Arial" w:cs="Arial"/>
        </w:rPr>
        <w:t>por</w:t>
      </w:r>
      <w:r w:rsidR="007A1639">
        <w:rPr>
          <w:rFonts w:ascii="Arial" w:hAnsi="Arial" w:cs="Arial"/>
        </w:rPr>
        <w:t xml:space="preserve"> los siguientes motivos:</w:t>
      </w:r>
    </w:p>
    <w:p w:rsidR="007A1639" w:rsidRDefault="007A1639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Motivo de</w:t>
      </w:r>
      <w:r w:rsidR="009E49B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la Observación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Cantidad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Importe en $</w:t>
      </w:r>
    </w:p>
    <w:p w:rsidR="007A1639" w:rsidRDefault="007A1639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</w:t>
      </w:r>
      <w:r w:rsidR="00B84814">
        <w:rPr>
          <w:rFonts w:ascii="Arial" w:hAnsi="Arial" w:cs="Arial"/>
        </w:rPr>
        <w:t>c</w:t>
      </w:r>
      <w:r>
        <w:rPr>
          <w:rFonts w:ascii="Arial" w:hAnsi="Arial" w:cs="Arial"/>
        </w:rPr>
        <w:t>ontravenir las disposiciones</w:t>
      </w:r>
    </w:p>
    <w:p w:rsidR="007A1639" w:rsidRDefault="00B84814" w:rsidP="002330C5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</w:t>
      </w:r>
      <w:r w:rsidR="007A1639">
        <w:rPr>
          <w:rFonts w:ascii="Arial" w:hAnsi="Arial" w:cs="Arial"/>
        </w:rPr>
        <w:t>e</w:t>
      </w:r>
      <w:proofErr w:type="gramEnd"/>
      <w:r w:rsidR="007A1639">
        <w:rPr>
          <w:rFonts w:ascii="Arial" w:hAnsi="Arial" w:cs="Arial"/>
        </w:rPr>
        <w:t xml:space="preserve"> la Ley 16.7133.</w:t>
      </w:r>
      <w:r w:rsidR="007A1639">
        <w:rPr>
          <w:rFonts w:ascii="Arial" w:hAnsi="Arial" w:cs="Arial"/>
        </w:rPr>
        <w:tab/>
      </w:r>
      <w:r w:rsidR="007A1639">
        <w:rPr>
          <w:rFonts w:ascii="Arial" w:hAnsi="Arial" w:cs="Arial"/>
        </w:rPr>
        <w:tab/>
      </w:r>
      <w:r w:rsidR="007A1639">
        <w:rPr>
          <w:rFonts w:ascii="Arial" w:hAnsi="Arial" w:cs="Arial"/>
        </w:rPr>
        <w:tab/>
      </w:r>
      <w:r w:rsidR="007A1639">
        <w:rPr>
          <w:rFonts w:ascii="Arial" w:hAnsi="Arial" w:cs="Arial"/>
        </w:rPr>
        <w:tab/>
        <w:t xml:space="preserve">       1</w:t>
      </w:r>
      <w:r w:rsidR="007A1639">
        <w:rPr>
          <w:rFonts w:ascii="Arial" w:hAnsi="Arial" w:cs="Arial"/>
        </w:rPr>
        <w:tab/>
      </w:r>
      <w:r w:rsidR="007A1639">
        <w:rPr>
          <w:rFonts w:ascii="Arial" w:hAnsi="Arial" w:cs="Arial"/>
        </w:rPr>
        <w:tab/>
        <w:t xml:space="preserve"> </w:t>
      </w:r>
      <w:r w:rsidR="007A1639">
        <w:rPr>
          <w:rFonts w:ascii="Arial" w:hAnsi="Arial" w:cs="Arial"/>
        </w:rPr>
        <w:tab/>
      </w:r>
      <w:r w:rsidR="007A1639">
        <w:rPr>
          <w:rFonts w:ascii="Arial" w:hAnsi="Arial" w:cs="Arial"/>
        </w:rPr>
        <w:tab/>
        <w:t>181.300</w:t>
      </w:r>
    </w:p>
    <w:p w:rsidR="007A1639" w:rsidRDefault="007A1639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 no ajustarse a las disposiciones</w:t>
      </w:r>
    </w:p>
    <w:p w:rsidR="007A1639" w:rsidRDefault="00B84814" w:rsidP="002330C5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</w:t>
      </w:r>
      <w:r w:rsidR="007A1639">
        <w:rPr>
          <w:rFonts w:ascii="Arial" w:hAnsi="Arial" w:cs="Arial"/>
        </w:rPr>
        <w:t>el</w:t>
      </w:r>
      <w:proofErr w:type="gramEnd"/>
      <w:r w:rsidR="007A1639">
        <w:rPr>
          <w:rFonts w:ascii="Arial" w:hAnsi="Arial" w:cs="Arial"/>
        </w:rPr>
        <w:t xml:space="preserve"> art. 132 del TOCAF</w:t>
      </w:r>
      <w:r w:rsidR="007A1639">
        <w:rPr>
          <w:rFonts w:ascii="Arial" w:hAnsi="Arial" w:cs="Arial"/>
        </w:rPr>
        <w:tab/>
      </w:r>
      <w:r w:rsidR="007A1639">
        <w:rPr>
          <w:rFonts w:ascii="Arial" w:hAnsi="Arial" w:cs="Arial"/>
        </w:rPr>
        <w:tab/>
        <w:t xml:space="preserve"> </w:t>
      </w:r>
      <w:r w:rsidR="007A1639">
        <w:rPr>
          <w:rFonts w:ascii="Arial" w:hAnsi="Arial" w:cs="Arial"/>
        </w:rPr>
        <w:tab/>
        <w:t xml:space="preserve">       1</w:t>
      </w:r>
      <w:r w:rsidR="007A1639">
        <w:rPr>
          <w:rFonts w:ascii="Arial" w:hAnsi="Arial" w:cs="Arial"/>
        </w:rPr>
        <w:tab/>
      </w:r>
      <w:r w:rsidR="007A1639">
        <w:rPr>
          <w:rFonts w:ascii="Arial" w:hAnsi="Arial" w:cs="Arial"/>
        </w:rPr>
        <w:tab/>
      </w:r>
      <w:r w:rsidR="007A1639">
        <w:rPr>
          <w:rFonts w:ascii="Arial" w:hAnsi="Arial" w:cs="Arial"/>
        </w:rPr>
        <w:tab/>
      </w:r>
      <w:r w:rsidR="007A1639">
        <w:rPr>
          <w:rFonts w:ascii="Arial" w:hAnsi="Arial" w:cs="Arial"/>
        </w:rPr>
        <w:tab/>
        <w:t xml:space="preserve">  33.912</w:t>
      </w:r>
    </w:p>
    <w:p w:rsidR="007A1639" w:rsidRDefault="007A1639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 O T A 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215.212</w:t>
      </w:r>
    </w:p>
    <w:p w:rsidR="0034052C" w:rsidRDefault="00B61841" w:rsidP="00DD4C83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</w:t>
      </w:r>
      <w:r w:rsidR="006051CE">
        <w:rPr>
          <w:rFonts w:ascii="Arial" w:hAnsi="Arial" w:cs="Arial"/>
        </w:rPr>
        <w:t>d</w:t>
      </w:r>
      <w:r w:rsidR="007A1639">
        <w:rPr>
          <w:rFonts w:ascii="Arial" w:hAnsi="Arial" w:cs="Arial"/>
        </w:rPr>
        <w:t>e los</w:t>
      </w:r>
      <w:r w:rsidR="006051CE"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gasto</w:t>
      </w:r>
      <w:r w:rsidR="007A1639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>, no lo hi</w:t>
      </w:r>
      <w:r w:rsidR="0042210E">
        <w:rPr>
          <w:rFonts w:ascii="Arial" w:hAnsi="Arial" w:cs="Arial"/>
        </w:rPr>
        <w:t>zo</w:t>
      </w:r>
      <w:r w:rsidR="0034052C">
        <w:rPr>
          <w:rFonts w:ascii="Arial" w:hAnsi="Arial" w:cs="Arial"/>
        </w:rPr>
        <w:t xml:space="preserve"> en forma fundada;</w:t>
      </w:r>
    </w:p>
    <w:p w:rsidR="0034052C" w:rsidRDefault="0034052C" w:rsidP="00DD4C83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DD4C8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</w:t>
      </w:r>
      <w:r w:rsidR="00DD4C8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rdenadores de gastos y pagos, al ejercer la facultad de insistencia o reiteración que les acuerda al </w:t>
      </w:r>
      <w:r w:rsidR="00DD4C83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iteral B) del </w:t>
      </w:r>
      <w:r w:rsidR="00DD4C83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>Artículo 211 de la Constitución de la República, deben hacerlo en forma fundada, expresando de manera detallada los motivos que justifican a su juicio seguir el curso del gasto o pago;</w:t>
      </w:r>
    </w:p>
    <w:p w:rsidR="0034052C" w:rsidRDefault="00B61841" w:rsidP="00DD4C83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0726E7">
        <w:rPr>
          <w:rFonts w:ascii="Arial" w:hAnsi="Arial" w:cs="Arial"/>
        </w:rPr>
        <w:t xml:space="preserve">que </w:t>
      </w:r>
      <w:r w:rsidR="009E49B0">
        <w:rPr>
          <w:rFonts w:ascii="Arial" w:hAnsi="Arial" w:cs="Arial"/>
        </w:rPr>
        <w:t>no se aportan nuevos elementos que ameriten el levantamiento de las observaciones</w:t>
      </w:r>
      <w:r w:rsidR="000726E7">
        <w:rPr>
          <w:rFonts w:ascii="Arial" w:hAnsi="Arial" w:cs="Arial"/>
        </w:rPr>
        <w:t>;</w:t>
      </w:r>
    </w:p>
    <w:p w:rsidR="0034052C" w:rsidRDefault="0034052C" w:rsidP="00DD4C83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DD4C83">
        <w:rPr>
          <w:rFonts w:ascii="Arial" w:hAnsi="Arial" w:cs="Arial"/>
        </w:rPr>
        <w:t>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Default="00DD4C83" w:rsidP="00DD4C83">
      <w:p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1) </w:t>
      </w:r>
      <w:r w:rsidR="0034052C">
        <w:rPr>
          <w:rFonts w:ascii="Arial" w:hAnsi="Arial" w:cs="Arial"/>
        </w:rPr>
        <w:t>Ratificar la</w:t>
      </w:r>
      <w:r w:rsidR="007A1639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</w:t>
      </w:r>
      <w:r w:rsidR="00D2528B">
        <w:rPr>
          <w:rFonts w:ascii="Arial" w:hAnsi="Arial" w:cs="Arial"/>
        </w:rPr>
        <w:t>observaci</w:t>
      </w:r>
      <w:r w:rsidR="007A1639">
        <w:rPr>
          <w:rFonts w:ascii="Arial" w:hAnsi="Arial" w:cs="Arial"/>
        </w:rPr>
        <w:t>ones</w:t>
      </w:r>
      <w:r w:rsidR="0034052C">
        <w:rPr>
          <w:rFonts w:ascii="Arial" w:hAnsi="Arial" w:cs="Arial"/>
        </w:rPr>
        <w:t xml:space="preserve"> formulada</w:t>
      </w:r>
      <w:r w:rsidR="007A1639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Contador Auditor</w:t>
      </w:r>
      <w:r w:rsidR="00743406">
        <w:rPr>
          <w:rFonts w:ascii="Arial" w:hAnsi="Arial" w:cs="Arial"/>
        </w:rPr>
        <w:t xml:space="preserve"> destacado</w:t>
      </w:r>
      <w:r>
        <w:rPr>
          <w:rFonts w:ascii="Arial" w:hAnsi="Arial" w:cs="Arial"/>
        </w:rPr>
        <w:t xml:space="preserve"> ante el Poder Legislativo;</w:t>
      </w:r>
    </w:p>
    <w:p w:rsidR="0034052C" w:rsidRDefault="00DD4C83" w:rsidP="00DD4C83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DD4C83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Comunicar esta Resolución a la C</w:t>
      </w:r>
      <w:r w:rsidR="00EB2F64">
        <w:rPr>
          <w:rFonts w:ascii="Arial" w:hAnsi="Arial" w:cs="Arial"/>
        </w:rPr>
        <w:t>ámara de Senadores</w:t>
      </w:r>
      <w:r w:rsidR="0034052C">
        <w:rPr>
          <w:rFonts w:ascii="Arial" w:hAnsi="Arial" w:cs="Arial"/>
        </w:rPr>
        <w:t xml:space="preserve"> del Poder Legislativo y a</w:t>
      </w:r>
      <w:r w:rsidR="00E831A9">
        <w:rPr>
          <w:rFonts w:ascii="Arial" w:hAnsi="Arial" w:cs="Arial"/>
        </w:rPr>
        <w:t xml:space="preserve">l </w:t>
      </w:r>
      <w:r w:rsidR="00743406">
        <w:rPr>
          <w:rFonts w:ascii="Arial" w:hAnsi="Arial" w:cs="Arial"/>
        </w:rPr>
        <w:t xml:space="preserve"> Contador Auditor</w:t>
      </w:r>
      <w:r w:rsidR="0034052C">
        <w:rPr>
          <w:rFonts w:ascii="Arial" w:hAnsi="Arial" w:cs="Arial"/>
        </w:rPr>
        <w:t>; y</w:t>
      </w:r>
    </w:p>
    <w:p w:rsidR="0034052C" w:rsidRDefault="00DD4C83" w:rsidP="00DD4C83">
      <w:pPr>
        <w:spacing w:line="360" w:lineRule="auto"/>
        <w:jc w:val="both"/>
        <w:rPr>
          <w:rFonts w:ascii="Arial" w:hAnsi="Arial" w:cs="Arial"/>
        </w:rPr>
      </w:pPr>
      <w:r w:rsidRPr="00DD4C83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Dar cuenta a la Asamblea General</w:t>
      </w:r>
      <w:r>
        <w:rPr>
          <w:rFonts w:ascii="Arial" w:hAnsi="Arial" w:cs="Arial"/>
        </w:rPr>
        <w:t>.</w:t>
      </w:r>
    </w:p>
    <w:p w:rsidR="00DD4C83" w:rsidRDefault="00DD4C83" w:rsidP="00DD4C83">
      <w:pPr>
        <w:spacing w:line="360" w:lineRule="auto"/>
        <w:jc w:val="both"/>
        <w:rPr>
          <w:rFonts w:ascii="Arial" w:hAnsi="Arial" w:cs="Arial"/>
        </w:rPr>
      </w:pPr>
    </w:p>
    <w:p w:rsidR="00DD4C83" w:rsidRDefault="00DD4C83" w:rsidP="00DD4C83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ag</w:t>
      </w:r>
      <w:proofErr w:type="spellEnd"/>
      <w:proofErr w:type="gramEnd"/>
    </w:p>
    <w:sectPr w:rsidR="00DD4C83" w:rsidSect="00C00846">
      <w:headerReference w:type="even" r:id="rId8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4CF" w:rsidRDefault="004A44CF">
      <w:r>
        <w:separator/>
      </w:r>
    </w:p>
  </w:endnote>
  <w:endnote w:type="continuationSeparator" w:id="0">
    <w:p w:rsidR="004A44CF" w:rsidRDefault="004A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4CF" w:rsidRDefault="004A44CF">
      <w:r>
        <w:separator/>
      </w:r>
    </w:p>
  </w:footnote>
  <w:footnote w:type="continuationSeparator" w:id="0">
    <w:p w:rsidR="004A44CF" w:rsidRDefault="004A44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A46F9D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06A04"/>
    <w:rsid w:val="00013DD2"/>
    <w:rsid w:val="00034BC5"/>
    <w:rsid w:val="00042480"/>
    <w:rsid w:val="000726E7"/>
    <w:rsid w:val="00075D17"/>
    <w:rsid w:val="00077B4D"/>
    <w:rsid w:val="0008324B"/>
    <w:rsid w:val="0008493E"/>
    <w:rsid w:val="000B13FB"/>
    <w:rsid w:val="000E0BE5"/>
    <w:rsid w:val="001011DA"/>
    <w:rsid w:val="00101C88"/>
    <w:rsid w:val="00107919"/>
    <w:rsid w:val="00110D8C"/>
    <w:rsid w:val="00111D0F"/>
    <w:rsid w:val="001203F1"/>
    <w:rsid w:val="001308BA"/>
    <w:rsid w:val="0013784F"/>
    <w:rsid w:val="0014173F"/>
    <w:rsid w:val="001474E1"/>
    <w:rsid w:val="001545CC"/>
    <w:rsid w:val="00161166"/>
    <w:rsid w:val="00187DDB"/>
    <w:rsid w:val="00193217"/>
    <w:rsid w:val="001B01AD"/>
    <w:rsid w:val="001C7265"/>
    <w:rsid w:val="001D4434"/>
    <w:rsid w:val="001D4A96"/>
    <w:rsid w:val="001D6F0B"/>
    <w:rsid w:val="00214A04"/>
    <w:rsid w:val="00231331"/>
    <w:rsid w:val="002330C5"/>
    <w:rsid w:val="0024534B"/>
    <w:rsid w:val="00246EF8"/>
    <w:rsid w:val="0025377F"/>
    <w:rsid w:val="00253ACB"/>
    <w:rsid w:val="00270419"/>
    <w:rsid w:val="00292DAE"/>
    <w:rsid w:val="002B0477"/>
    <w:rsid w:val="002C31A5"/>
    <w:rsid w:val="002C31C0"/>
    <w:rsid w:val="002D3FF8"/>
    <w:rsid w:val="002F4D43"/>
    <w:rsid w:val="002F6B71"/>
    <w:rsid w:val="00306414"/>
    <w:rsid w:val="00312BA6"/>
    <w:rsid w:val="003304A6"/>
    <w:rsid w:val="00335282"/>
    <w:rsid w:val="0034052C"/>
    <w:rsid w:val="003473FB"/>
    <w:rsid w:val="003540D2"/>
    <w:rsid w:val="003752D5"/>
    <w:rsid w:val="003923A2"/>
    <w:rsid w:val="003A0A25"/>
    <w:rsid w:val="003A23F3"/>
    <w:rsid w:val="003A3E5D"/>
    <w:rsid w:val="003A3FCB"/>
    <w:rsid w:val="003B3CEC"/>
    <w:rsid w:val="003C002F"/>
    <w:rsid w:val="003D6239"/>
    <w:rsid w:val="003F0775"/>
    <w:rsid w:val="003F4B2E"/>
    <w:rsid w:val="003F51B7"/>
    <w:rsid w:val="00405E75"/>
    <w:rsid w:val="00406123"/>
    <w:rsid w:val="0040763A"/>
    <w:rsid w:val="00412D1C"/>
    <w:rsid w:val="00413D49"/>
    <w:rsid w:val="0042210E"/>
    <w:rsid w:val="0042517B"/>
    <w:rsid w:val="0042771D"/>
    <w:rsid w:val="0043658C"/>
    <w:rsid w:val="00443413"/>
    <w:rsid w:val="004706E8"/>
    <w:rsid w:val="00480771"/>
    <w:rsid w:val="004832FD"/>
    <w:rsid w:val="00490947"/>
    <w:rsid w:val="004A29B7"/>
    <w:rsid w:val="004A44CF"/>
    <w:rsid w:val="004A4987"/>
    <w:rsid w:val="004C57A2"/>
    <w:rsid w:val="004D7FD3"/>
    <w:rsid w:val="004E075A"/>
    <w:rsid w:val="004E14F2"/>
    <w:rsid w:val="00512BE0"/>
    <w:rsid w:val="00534AB8"/>
    <w:rsid w:val="00552676"/>
    <w:rsid w:val="00586F7B"/>
    <w:rsid w:val="00597987"/>
    <w:rsid w:val="005A38D0"/>
    <w:rsid w:val="005B2772"/>
    <w:rsid w:val="005B40AB"/>
    <w:rsid w:val="005C6675"/>
    <w:rsid w:val="005C7BE9"/>
    <w:rsid w:val="005D6876"/>
    <w:rsid w:val="005E2CAF"/>
    <w:rsid w:val="005E765D"/>
    <w:rsid w:val="00604BB4"/>
    <w:rsid w:val="006051CE"/>
    <w:rsid w:val="00615BA1"/>
    <w:rsid w:val="00620A64"/>
    <w:rsid w:val="0062255C"/>
    <w:rsid w:val="00625578"/>
    <w:rsid w:val="00652BF9"/>
    <w:rsid w:val="006560AB"/>
    <w:rsid w:val="006726AD"/>
    <w:rsid w:val="006A0F5A"/>
    <w:rsid w:val="006A429C"/>
    <w:rsid w:val="006A7BE1"/>
    <w:rsid w:val="006E4394"/>
    <w:rsid w:val="00732600"/>
    <w:rsid w:val="00737BAF"/>
    <w:rsid w:val="00743406"/>
    <w:rsid w:val="00767E35"/>
    <w:rsid w:val="00773AB6"/>
    <w:rsid w:val="00780276"/>
    <w:rsid w:val="00791D7F"/>
    <w:rsid w:val="007A1639"/>
    <w:rsid w:val="007A1B27"/>
    <w:rsid w:val="007B2187"/>
    <w:rsid w:val="007E234C"/>
    <w:rsid w:val="007E701A"/>
    <w:rsid w:val="007F1C46"/>
    <w:rsid w:val="0083260C"/>
    <w:rsid w:val="008358B1"/>
    <w:rsid w:val="00840139"/>
    <w:rsid w:val="00847184"/>
    <w:rsid w:val="0085240E"/>
    <w:rsid w:val="00854C11"/>
    <w:rsid w:val="00882B19"/>
    <w:rsid w:val="00883828"/>
    <w:rsid w:val="0088467B"/>
    <w:rsid w:val="0088638C"/>
    <w:rsid w:val="00895F71"/>
    <w:rsid w:val="008A3EB9"/>
    <w:rsid w:val="008A45BC"/>
    <w:rsid w:val="008B60FD"/>
    <w:rsid w:val="008D62F2"/>
    <w:rsid w:val="008E6845"/>
    <w:rsid w:val="0090058B"/>
    <w:rsid w:val="009127CD"/>
    <w:rsid w:val="009206FE"/>
    <w:rsid w:val="0092138A"/>
    <w:rsid w:val="009248A5"/>
    <w:rsid w:val="009253CB"/>
    <w:rsid w:val="00930FCD"/>
    <w:rsid w:val="00946250"/>
    <w:rsid w:val="009464AE"/>
    <w:rsid w:val="00960106"/>
    <w:rsid w:val="009671A3"/>
    <w:rsid w:val="00967DA6"/>
    <w:rsid w:val="00974346"/>
    <w:rsid w:val="009806E8"/>
    <w:rsid w:val="009938A3"/>
    <w:rsid w:val="00997D48"/>
    <w:rsid w:val="009A18F4"/>
    <w:rsid w:val="009C2413"/>
    <w:rsid w:val="009E49B0"/>
    <w:rsid w:val="00A10770"/>
    <w:rsid w:val="00A12798"/>
    <w:rsid w:val="00A2068C"/>
    <w:rsid w:val="00A208E2"/>
    <w:rsid w:val="00A37097"/>
    <w:rsid w:val="00A46F9D"/>
    <w:rsid w:val="00A51C0C"/>
    <w:rsid w:val="00A77771"/>
    <w:rsid w:val="00A83D17"/>
    <w:rsid w:val="00A84B34"/>
    <w:rsid w:val="00A91E6C"/>
    <w:rsid w:val="00A92FA3"/>
    <w:rsid w:val="00A97BF2"/>
    <w:rsid w:val="00AB0F58"/>
    <w:rsid w:val="00AB73E9"/>
    <w:rsid w:val="00AC4A84"/>
    <w:rsid w:val="00AC5B0F"/>
    <w:rsid w:val="00AE64D4"/>
    <w:rsid w:val="00B05777"/>
    <w:rsid w:val="00B065A8"/>
    <w:rsid w:val="00B110DA"/>
    <w:rsid w:val="00B61841"/>
    <w:rsid w:val="00B64F33"/>
    <w:rsid w:val="00B84814"/>
    <w:rsid w:val="00BB6278"/>
    <w:rsid w:val="00BD11C6"/>
    <w:rsid w:val="00BF31D2"/>
    <w:rsid w:val="00BF4793"/>
    <w:rsid w:val="00C00846"/>
    <w:rsid w:val="00C25F78"/>
    <w:rsid w:val="00C27A14"/>
    <w:rsid w:val="00C36FF4"/>
    <w:rsid w:val="00C46AE5"/>
    <w:rsid w:val="00C60D89"/>
    <w:rsid w:val="00C719F3"/>
    <w:rsid w:val="00C94E5E"/>
    <w:rsid w:val="00CC73D2"/>
    <w:rsid w:val="00CD6BA7"/>
    <w:rsid w:val="00D10BEA"/>
    <w:rsid w:val="00D13E83"/>
    <w:rsid w:val="00D14221"/>
    <w:rsid w:val="00D20492"/>
    <w:rsid w:val="00D2528B"/>
    <w:rsid w:val="00D3328D"/>
    <w:rsid w:val="00D87026"/>
    <w:rsid w:val="00D923F3"/>
    <w:rsid w:val="00DB0B6D"/>
    <w:rsid w:val="00DC39B6"/>
    <w:rsid w:val="00DC6C4D"/>
    <w:rsid w:val="00DD4C83"/>
    <w:rsid w:val="00DF1A64"/>
    <w:rsid w:val="00DF6F45"/>
    <w:rsid w:val="00DF7D08"/>
    <w:rsid w:val="00E04D05"/>
    <w:rsid w:val="00E12454"/>
    <w:rsid w:val="00E2776E"/>
    <w:rsid w:val="00E27E87"/>
    <w:rsid w:val="00E4360C"/>
    <w:rsid w:val="00E772FA"/>
    <w:rsid w:val="00E81B52"/>
    <w:rsid w:val="00E831A9"/>
    <w:rsid w:val="00E8592C"/>
    <w:rsid w:val="00E863B4"/>
    <w:rsid w:val="00E91577"/>
    <w:rsid w:val="00EA02BC"/>
    <w:rsid w:val="00EA33B2"/>
    <w:rsid w:val="00EB2F64"/>
    <w:rsid w:val="00EB77A1"/>
    <w:rsid w:val="00EE2C02"/>
    <w:rsid w:val="00EE5015"/>
    <w:rsid w:val="00EF073B"/>
    <w:rsid w:val="00F11381"/>
    <w:rsid w:val="00F23F0C"/>
    <w:rsid w:val="00F46FA9"/>
    <w:rsid w:val="00F67C70"/>
    <w:rsid w:val="00F77342"/>
    <w:rsid w:val="00F86EE0"/>
    <w:rsid w:val="00FC4595"/>
    <w:rsid w:val="00FD773A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D4C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D4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4</cp:revision>
  <cp:lastPrinted>2017-12-20T19:13:00Z</cp:lastPrinted>
  <dcterms:created xsi:type="dcterms:W3CDTF">2017-12-20T19:14:00Z</dcterms:created>
  <dcterms:modified xsi:type="dcterms:W3CDTF">2018-03-20T17:32:00Z</dcterms:modified>
</cp:coreProperties>
</file>