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B8" w:rsidRDefault="003261B8" w:rsidP="0062560C">
      <w:pPr>
        <w:tabs>
          <w:tab w:val="center" w:pos="4253"/>
        </w:tabs>
        <w:suppressAutoHyphens/>
        <w:spacing w:after="0" w:line="240" w:lineRule="auto"/>
        <w:jc w:val="right"/>
        <w:rPr>
          <w:rFonts w:ascii="Arial" w:hAnsi="Arial" w:cs="Arial"/>
          <w:b/>
          <w:sz w:val="24"/>
          <w:szCs w:val="24"/>
          <w:lang w:val="es-ES_tradnl"/>
        </w:rPr>
      </w:pPr>
      <w:bookmarkStart w:id="0" w:name="_GoBack"/>
      <w:bookmarkEnd w:id="0"/>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w:t>
      </w:r>
      <w:r>
        <w:rPr>
          <w:rFonts w:ascii="Arial" w:hAnsi="Arial" w:cs="Arial"/>
          <w:b/>
          <w:sz w:val="24"/>
          <w:szCs w:val="24"/>
          <w:lang w:val="es-ES_tradnl"/>
        </w:rPr>
        <w:t>4054</w:t>
      </w:r>
      <w:r>
        <w:rPr>
          <w:rFonts w:ascii="Arial" w:hAnsi="Arial" w:cs="Arial"/>
          <w:b/>
          <w:sz w:val="24"/>
          <w:szCs w:val="24"/>
          <w:lang w:val="es-ES_tradnl"/>
        </w:rPr>
        <w:t>/17</w:t>
      </w:r>
    </w:p>
    <w:p w:rsidR="0062560C" w:rsidRDefault="0062560C" w:rsidP="0062560C">
      <w:pPr>
        <w:tabs>
          <w:tab w:val="center" w:pos="4253"/>
        </w:tabs>
        <w:suppressAutoHyphens/>
        <w:spacing w:after="0" w:line="240" w:lineRule="auto"/>
        <w:jc w:val="right"/>
        <w:rPr>
          <w:rFonts w:ascii="Arial" w:hAnsi="Arial" w:cs="Arial"/>
          <w:b/>
          <w:sz w:val="24"/>
          <w:szCs w:val="24"/>
          <w:lang w:val="es-ES_tradnl"/>
        </w:rPr>
      </w:pPr>
    </w:p>
    <w:p w:rsidR="003261B8" w:rsidRPr="004746D1" w:rsidRDefault="003261B8" w:rsidP="003261B8">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3261B8" w:rsidRPr="004746D1" w:rsidRDefault="003261B8" w:rsidP="003261B8">
      <w:pPr>
        <w:tabs>
          <w:tab w:val="left" w:pos="-720"/>
        </w:tabs>
        <w:suppressAutoHyphens/>
        <w:spacing w:after="0" w:line="240" w:lineRule="auto"/>
        <w:jc w:val="center"/>
        <w:rPr>
          <w:rFonts w:ascii="Arial" w:hAnsi="Arial" w:cs="Arial"/>
          <w:b/>
          <w:sz w:val="24"/>
          <w:szCs w:val="24"/>
          <w:lang w:val="es-ES_tradnl"/>
        </w:rPr>
      </w:pPr>
    </w:p>
    <w:p w:rsidR="003261B8" w:rsidRPr="004746D1" w:rsidRDefault="003261B8" w:rsidP="003261B8">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3261B8" w:rsidRPr="004746D1" w:rsidRDefault="003261B8" w:rsidP="003261B8">
      <w:pPr>
        <w:tabs>
          <w:tab w:val="left" w:pos="-720"/>
        </w:tabs>
        <w:suppressAutoHyphens/>
        <w:spacing w:after="0" w:line="240" w:lineRule="auto"/>
        <w:jc w:val="center"/>
        <w:rPr>
          <w:rFonts w:ascii="Arial" w:hAnsi="Arial" w:cs="Arial"/>
          <w:b/>
          <w:sz w:val="24"/>
          <w:szCs w:val="24"/>
          <w:lang w:val="es-ES_tradnl"/>
        </w:rPr>
      </w:pPr>
    </w:p>
    <w:p w:rsidR="003261B8" w:rsidRPr="004746D1" w:rsidRDefault="003261B8" w:rsidP="003261B8">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6 </w:t>
      </w:r>
      <w:r w:rsidRPr="00A03CC2">
        <w:rPr>
          <w:rFonts w:ascii="Arial" w:hAnsi="Arial" w:cs="Arial"/>
          <w:b/>
          <w:sz w:val="24"/>
          <w:szCs w:val="24"/>
          <w:lang w:val="es-ES_tradnl"/>
        </w:rPr>
        <w:t xml:space="preserve">DE </w:t>
      </w:r>
      <w:r>
        <w:rPr>
          <w:rFonts w:ascii="Arial" w:hAnsi="Arial" w:cs="Arial"/>
          <w:b/>
          <w:sz w:val="24"/>
          <w:szCs w:val="24"/>
          <w:lang w:val="es-ES_tradnl"/>
        </w:rPr>
        <w:t>DICIEMBRE</w:t>
      </w:r>
      <w:r>
        <w:rPr>
          <w:rFonts w:ascii="Arial" w:hAnsi="Arial" w:cs="Arial"/>
          <w:b/>
          <w:lang w:val="es-ES_tradnl"/>
        </w:rPr>
        <w:t xml:space="preserve"> </w:t>
      </w:r>
      <w:r>
        <w:rPr>
          <w:rFonts w:ascii="Arial" w:hAnsi="Arial" w:cs="Arial"/>
          <w:b/>
          <w:sz w:val="24"/>
          <w:szCs w:val="24"/>
          <w:lang w:val="es-ES_tradnl"/>
        </w:rPr>
        <w:t>DE 2017</w:t>
      </w:r>
    </w:p>
    <w:p w:rsidR="003261B8" w:rsidRPr="004746D1" w:rsidRDefault="003261B8" w:rsidP="003261B8">
      <w:pPr>
        <w:tabs>
          <w:tab w:val="center" w:pos="4253"/>
        </w:tabs>
        <w:suppressAutoHyphens/>
        <w:spacing w:after="0" w:line="240" w:lineRule="auto"/>
        <w:jc w:val="center"/>
        <w:rPr>
          <w:rFonts w:ascii="Arial" w:hAnsi="Arial" w:cs="Arial"/>
          <w:b/>
          <w:sz w:val="24"/>
          <w:szCs w:val="24"/>
          <w:lang w:val="es-ES_tradnl"/>
        </w:rPr>
      </w:pPr>
    </w:p>
    <w:p w:rsidR="003261B8" w:rsidRPr="004746D1" w:rsidRDefault="003261B8" w:rsidP="003261B8">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w:t>
      </w:r>
      <w:r>
        <w:rPr>
          <w:rFonts w:ascii="Arial" w:hAnsi="Arial" w:cs="Arial"/>
          <w:b/>
          <w:sz w:val="24"/>
          <w:szCs w:val="24"/>
          <w:lang w:val="es-ES_tradnl"/>
        </w:rPr>
        <w:t>2017-17-1-0007219</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sidRPr="004746D1">
        <w:rPr>
          <w:rFonts w:ascii="Arial" w:hAnsi="Arial" w:cs="Arial"/>
          <w:b/>
          <w:sz w:val="24"/>
          <w:szCs w:val="24"/>
          <w:lang w:val="es-ES_tradnl"/>
        </w:rPr>
        <w:t xml:space="preserve"> </w:t>
      </w:r>
      <w:r>
        <w:rPr>
          <w:rFonts w:ascii="Arial" w:hAnsi="Arial" w:cs="Arial"/>
          <w:b/>
          <w:sz w:val="24"/>
          <w:szCs w:val="24"/>
          <w:lang w:val="es-ES_tradnl"/>
        </w:rPr>
        <w:t>5775</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3261B8" w:rsidRDefault="003261B8" w:rsidP="000D447E">
      <w:pPr>
        <w:tabs>
          <w:tab w:val="center" w:pos="4253"/>
        </w:tabs>
        <w:suppressAutoHyphens/>
        <w:spacing w:after="0" w:line="360" w:lineRule="auto"/>
        <w:jc w:val="center"/>
        <w:rPr>
          <w:rFonts w:ascii="Arial" w:hAnsi="Arial" w:cs="Arial"/>
          <w:spacing w:val="-3"/>
          <w:sz w:val="24"/>
          <w:szCs w:val="24"/>
          <w:lang w:val="es-ES_tradnl"/>
        </w:rPr>
      </w:pPr>
    </w:p>
    <w:p w:rsidR="0062560C" w:rsidRDefault="0062560C" w:rsidP="0062560C">
      <w:pPr>
        <w:tabs>
          <w:tab w:val="center" w:pos="4253"/>
        </w:tabs>
        <w:suppressAutoHyphens/>
        <w:spacing w:after="0" w:line="240" w:lineRule="auto"/>
        <w:jc w:val="center"/>
        <w:rPr>
          <w:rFonts w:ascii="Arial" w:hAnsi="Arial" w:cs="Arial"/>
          <w:spacing w:val="-3"/>
          <w:sz w:val="24"/>
          <w:szCs w:val="24"/>
          <w:lang w:val="es-ES_tradnl"/>
        </w:rPr>
      </w:pPr>
    </w:p>
    <w:p w:rsidR="000F565E" w:rsidRDefault="000F565E" w:rsidP="003261B8">
      <w:pPr>
        <w:spacing w:after="0" w:line="360" w:lineRule="auto"/>
        <w:ind w:firstLine="709"/>
        <w:jc w:val="both"/>
        <w:rPr>
          <w:rFonts w:ascii="Arial" w:hAnsi="Arial" w:cs="Arial"/>
          <w:sz w:val="24"/>
          <w:szCs w:val="24"/>
          <w:lang w:eastAsia="es-ES"/>
        </w:rPr>
      </w:pPr>
      <w:r>
        <w:rPr>
          <w:rFonts w:ascii="Arial" w:hAnsi="Arial" w:cs="Arial"/>
          <w:b/>
          <w:bCs/>
          <w:sz w:val="24"/>
          <w:szCs w:val="24"/>
          <w:lang w:eastAsia="es-ES"/>
        </w:rPr>
        <w:t xml:space="preserve">VISTO: </w:t>
      </w:r>
      <w:r>
        <w:rPr>
          <w:rFonts w:ascii="Arial" w:hAnsi="Arial" w:cs="Arial"/>
          <w:sz w:val="24"/>
          <w:szCs w:val="24"/>
          <w:lang w:eastAsia="es-ES"/>
        </w:rPr>
        <w:t xml:space="preserve">las actuaciones remitidas por la Intendencia de Florida, relacionadas con la Licitación Pública Nº 4/2017 convocada para la </w:t>
      </w:r>
      <w:r>
        <w:rPr>
          <w:rFonts w:ascii="Arial" w:hAnsi="Arial" w:cs="Arial"/>
          <w:color w:val="000000"/>
          <w:sz w:val="24"/>
          <w:szCs w:val="24"/>
          <w:lang w:val="es-ES_tradnl" w:eastAsia="es-ES"/>
        </w:rPr>
        <w:t>Construcción de edificio prefabricado con destino a Polideportivo en la localidad de Fray Marcos;</w:t>
      </w:r>
    </w:p>
    <w:p w:rsidR="000F565E" w:rsidRDefault="003261B8" w:rsidP="003261B8">
      <w:pPr>
        <w:spacing w:after="0" w:line="360" w:lineRule="auto"/>
        <w:ind w:firstLine="709"/>
        <w:jc w:val="both"/>
        <w:rPr>
          <w:rFonts w:ascii="Arial" w:hAnsi="Arial" w:cs="Arial"/>
          <w:color w:val="000000"/>
          <w:sz w:val="24"/>
          <w:szCs w:val="24"/>
          <w:lang w:eastAsia="es-ES"/>
        </w:rPr>
      </w:pPr>
      <w:r>
        <w:rPr>
          <w:rFonts w:ascii="Arial" w:hAnsi="Arial" w:cs="Arial"/>
          <w:b/>
          <w:bCs/>
          <w:sz w:val="24"/>
          <w:szCs w:val="24"/>
          <w:lang w:eastAsia="es-ES"/>
        </w:rPr>
        <w:t xml:space="preserve">RESULTANDO: </w:t>
      </w:r>
      <w:r w:rsidR="000F565E">
        <w:rPr>
          <w:rFonts w:ascii="Arial" w:hAnsi="Arial" w:cs="Arial"/>
          <w:b/>
          <w:bCs/>
          <w:sz w:val="24"/>
          <w:szCs w:val="24"/>
          <w:lang w:eastAsia="es-ES"/>
        </w:rPr>
        <w:t xml:space="preserve">1) </w:t>
      </w:r>
      <w:r w:rsidR="000F565E">
        <w:rPr>
          <w:rFonts w:ascii="Arial" w:hAnsi="Arial" w:cs="Arial"/>
          <w:sz w:val="24"/>
          <w:szCs w:val="24"/>
          <w:lang w:eastAsia="es-ES"/>
        </w:rPr>
        <w:t xml:space="preserve">que </w:t>
      </w:r>
      <w:r w:rsidR="000F565E">
        <w:rPr>
          <w:rFonts w:ascii="Arial" w:hAnsi="Arial" w:cs="Arial"/>
          <w:color w:val="000000"/>
          <w:sz w:val="24"/>
          <w:szCs w:val="24"/>
          <w:lang w:eastAsia="es-ES"/>
        </w:rPr>
        <w:t xml:space="preserve">el Intendente de Florida, por Resolución </w:t>
      </w:r>
      <w:r>
        <w:rPr>
          <w:rFonts w:ascii="Arial" w:hAnsi="Arial" w:cs="Arial"/>
          <w:color w:val="000000"/>
          <w:sz w:val="24"/>
          <w:szCs w:val="24"/>
          <w:lang w:eastAsia="es-ES"/>
        </w:rPr>
        <w:t xml:space="preserve">           </w:t>
      </w:r>
      <w:r w:rsidR="000F565E">
        <w:rPr>
          <w:rFonts w:ascii="Arial" w:hAnsi="Arial" w:cs="Arial"/>
          <w:color w:val="000000"/>
          <w:sz w:val="24"/>
          <w:szCs w:val="24"/>
          <w:lang w:eastAsia="es-ES"/>
        </w:rPr>
        <w:t>N°</w:t>
      </w:r>
      <w:r>
        <w:rPr>
          <w:rFonts w:ascii="Arial" w:hAnsi="Arial" w:cs="Arial"/>
          <w:color w:val="000000"/>
          <w:sz w:val="24"/>
          <w:szCs w:val="24"/>
          <w:lang w:eastAsia="es-ES"/>
        </w:rPr>
        <w:t xml:space="preserve"> </w:t>
      </w:r>
      <w:r w:rsidR="000F565E">
        <w:rPr>
          <w:rFonts w:ascii="Arial" w:hAnsi="Arial" w:cs="Arial"/>
          <w:color w:val="000000"/>
          <w:sz w:val="24"/>
          <w:szCs w:val="24"/>
          <w:lang w:eastAsia="es-ES"/>
        </w:rPr>
        <w:t>7214/</w:t>
      </w:r>
      <w:r w:rsidR="0062560C">
        <w:rPr>
          <w:rFonts w:ascii="Arial" w:hAnsi="Arial" w:cs="Arial"/>
          <w:color w:val="000000"/>
          <w:sz w:val="24"/>
          <w:szCs w:val="24"/>
          <w:lang w:eastAsia="es-ES"/>
        </w:rPr>
        <w:t>20</w:t>
      </w:r>
      <w:r w:rsidR="000F565E">
        <w:rPr>
          <w:rFonts w:ascii="Arial" w:hAnsi="Arial" w:cs="Arial"/>
          <w:color w:val="000000"/>
          <w:sz w:val="24"/>
          <w:szCs w:val="24"/>
          <w:lang w:eastAsia="es-ES"/>
        </w:rPr>
        <w:t>17 de fecha 20</w:t>
      </w:r>
      <w:r>
        <w:rPr>
          <w:rFonts w:ascii="Arial" w:hAnsi="Arial" w:cs="Arial"/>
          <w:color w:val="000000"/>
          <w:sz w:val="24"/>
          <w:szCs w:val="24"/>
          <w:lang w:eastAsia="es-ES"/>
        </w:rPr>
        <w:t>/</w:t>
      </w:r>
      <w:r w:rsidR="000F565E">
        <w:rPr>
          <w:rFonts w:ascii="Arial" w:hAnsi="Arial" w:cs="Arial"/>
          <w:color w:val="000000"/>
          <w:sz w:val="24"/>
          <w:szCs w:val="24"/>
          <w:lang w:eastAsia="es-ES"/>
        </w:rPr>
        <w:t>06</w:t>
      </w:r>
      <w:r>
        <w:rPr>
          <w:rFonts w:ascii="Arial" w:hAnsi="Arial" w:cs="Arial"/>
          <w:color w:val="000000"/>
          <w:sz w:val="24"/>
          <w:szCs w:val="24"/>
          <w:lang w:eastAsia="es-ES"/>
        </w:rPr>
        <w:t>/</w:t>
      </w:r>
      <w:r w:rsidR="000F565E">
        <w:rPr>
          <w:rFonts w:ascii="Arial" w:hAnsi="Arial" w:cs="Arial"/>
          <w:color w:val="000000"/>
          <w:sz w:val="24"/>
          <w:szCs w:val="24"/>
          <w:lang w:eastAsia="es-ES"/>
        </w:rPr>
        <w:t xml:space="preserve">17, dispone realización del </w:t>
      </w:r>
      <w:r>
        <w:rPr>
          <w:rFonts w:ascii="Arial" w:hAnsi="Arial" w:cs="Arial"/>
          <w:color w:val="000000"/>
          <w:sz w:val="24"/>
          <w:szCs w:val="24"/>
          <w:lang w:eastAsia="es-ES"/>
        </w:rPr>
        <w:t>L</w:t>
      </w:r>
      <w:r w:rsidR="000F565E">
        <w:rPr>
          <w:rFonts w:ascii="Arial" w:hAnsi="Arial" w:cs="Arial"/>
          <w:color w:val="000000"/>
          <w:sz w:val="24"/>
          <w:szCs w:val="24"/>
          <w:lang w:eastAsia="es-ES"/>
        </w:rPr>
        <w:t xml:space="preserve">lamado y aprueba los pliegos particulares que rigieron el </w:t>
      </w:r>
      <w:r>
        <w:rPr>
          <w:rFonts w:ascii="Arial" w:hAnsi="Arial" w:cs="Arial"/>
          <w:color w:val="000000"/>
          <w:sz w:val="24"/>
          <w:szCs w:val="24"/>
          <w:lang w:eastAsia="es-ES"/>
        </w:rPr>
        <w:t>mismo</w:t>
      </w:r>
      <w:r w:rsidR="000F565E">
        <w:rPr>
          <w:rFonts w:ascii="Arial" w:hAnsi="Arial" w:cs="Arial"/>
          <w:color w:val="000000"/>
          <w:sz w:val="24"/>
          <w:szCs w:val="24"/>
          <w:lang w:eastAsia="es-ES"/>
        </w:rPr>
        <w:t>;</w:t>
      </w:r>
    </w:p>
    <w:p w:rsidR="003261B8" w:rsidRDefault="000F565E" w:rsidP="003261B8">
      <w:pPr>
        <w:tabs>
          <w:tab w:val="left" w:pos="1985"/>
        </w:tabs>
        <w:spacing w:after="0" w:line="360" w:lineRule="auto"/>
        <w:ind w:firstLine="2552"/>
        <w:jc w:val="both"/>
        <w:rPr>
          <w:rFonts w:ascii="Arial" w:hAnsi="Arial" w:cs="Arial"/>
          <w:color w:val="000000"/>
          <w:sz w:val="24"/>
          <w:szCs w:val="24"/>
          <w:lang w:eastAsia="es-ES"/>
        </w:rPr>
      </w:pPr>
      <w:r>
        <w:rPr>
          <w:rFonts w:ascii="Arial" w:hAnsi="Arial" w:cs="Arial"/>
          <w:b/>
          <w:bCs/>
          <w:color w:val="000000"/>
          <w:sz w:val="24"/>
          <w:szCs w:val="24"/>
          <w:lang w:eastAsia="es-ES"/>
        </w:rPr>
        <w:t xml:space="preserve">2) </w:t>
      </w:r>
      <w:r>
        <w:rPr>
          <w:rFonts w:ascii="Arial" w:hAnsi="Arial" w:cs="Arial"/>
          <w:color w:val="000000"/>
          <w:sz w:val="24"/>
          <w:szCs w:val="24"/>
          <w:lang w:eastAsia="es-ES"/>
        </w:rPr>
        <w:t xml:space="preserve">que dicho pliego establece en su </w:t>
      </w:r>
      <w:r w:rsidR="003261B8">
        <w:rPr>
          <w:rFonts w:ascii="Arial" w:hAnsi="Arial" w:cs="Arial"/>
          <w:color w:val="000000"/>
          <w:sz w:val="24"/>
          <w:szCs w:val="24"/>
          <w:lang w:eastAsia="es-ES"/>
        </w:rPr>
        <w:t>N</w:t>
      </w:r>
      <w:r w:rsidR="0062560C">
        <w:rPr>
          <w:rFonts w:ascii="Arial" w:hAnsi="Arial" w:cs="Arial"/>
          <w:color w:val="000000"/>
          <w:sz w:val="24"/>
          <w:szCs w:val="24"/>
          <w:lang w:eastAsia="es-ES"/>
        </w:rPr>
        <w:t>ume</w:t>
      </w:r>
      <w:r>
        <w:rPr>
          <w:rFonts w:ascii="Arial" w:hAnsi="Arial" w:cs="Arial"/>
          <w:color w:val="000000"/>
          <w:sz w:val="24"/>
          <w:szCs w:val="24"/>
          <w:lang w:eastAsia="es-ES"/>
        </w:rPr>
        <w:t>ral</w:t>
      </w:r>
      <w:r w:rsidR="0062560C">
        <w:rPr>
          <w:rFonts w:ascii="Arial" w:hAnsi="Arial" w:cs="Arial"/>
          <w:color w:val="000000"/>
          <w:sz w:val="24"/>
          <w:szCs w:val="24"/>
          <w:lang w:eastAsia="es-ES"/>
        </w:rPr>
        <w:t xml:space="preserve"> </w:t>
      </w:r>
      <w:r>
        <w:rPr>
          <w:rFonts w:ascii="Arial" w:hAnsi="Arial" w:cs="Arial"/>
          <w:color w:val="000000"/>
          <w:sz w:val="24"/>
          <w:szCs w:val="24"/>
          <w:lang w:eastAsia="es-ES"/>
        </w:rPr>
        <w:t>II.2 “Información a presentarse acerca de los antecedentes de los oferentes”, que se deberá incluir antecedentes legales relativos a la constitución, naturaleza jurídica y nacionalidad de la empresa o consorcio proponente (</w:t>
      </w:r>
      <w:r w:rsidR="003261B8">
        <w:rPr>
          <w:rFonts w:ascii="Arial" w:hAnsi="Arial" w:cs="Arial"/>
          <w:color w:val="000000"/>
          <w:sz w:val="24"/>
          <w:szCs w:val="24"/>
          <w:lang w:eastAsia="es-ES"/>
        </w:rPr>
        <w:t>I</w:t>
      </w:r>
      <w:r>
        <w:rPr>
          <w:rFonts w:ascii="Arial" w:hAnsi="Arial" w:cs="Arial"/>
          <w:color w:val="000000"/>
          <w:sz w:val="24"/>
          <w:szCs w:val="24"/>
          <w:lang w:eastAsia="es-ES"/>
        </w:rPr>
        <w:t>nciso tercero), e información concerniente a litigios en curso</w:t>
      </w:r>
      <w:r w:rsidR="003261B8">
        <w:rPr>
          <w:rFonts w:ascii="Arial" w:hAnsi="Arial" w:cs="Arial"/>
          <w:color w:val="000000"/>
          <w:sz w:val="24"/>
          <w:szCs w:val="24"/>
          <w:lang w:eastAsia="es-ES"/>
        </w:rPr>
        <w:t>,</w:t>
      </w:r>
      <w:r>
        <w:rPr>
          <w:rFonts w:ascii="Arial" w:hAnsi="Arial" w:cs="Arial"/>
          <w:color w:val="000000"/>
          <w:sz w:val="24"/>
          <w:szCs w:val="24"/>
          <w:lang w:eastAsia="es-ES"/>
        </w:rPr>
        <w:t xml:space="preserve"> en los cuales el licitante esté implicado en el Uruguay, en su país de origen o en cualquier otro e</w:t>
      </w:r>
      <w:r w:rsidR="003261B8">
        <w:rPr>
          <w:rFonts w:ascii="Arial" w:hAnsi="Arial" w:cs="Arial"/>
          <w:color w:val="000000"/>
          <w:sz w:val="24"/>
          <w:szCs w:val="24"/>
          <w:lang w:eastAsia="es-ES"/>
        </w:rPr>
        <w:t>n que haya cumplido contratos (I</w:t>
      </w:r>
      <w:r>
        <w:rPr>
          <w:rFonts w:ascii="Arial" w:hAnsi="Arial" w:cs="Arial"/>
          <w:color w:val="000000"/>
          <w:sz w:val="24"/>
          <w:szCs w:val="24"/>
          <w:lang w:eastAsia="es-ES"/>
        </w:rPr>
        <w:t>nciso final);</w:t>
      </w:r>
    </w:p>
    <w:p w:rsidR="003261B8" w:rsidRDefault="000F565E" w:rsidP="003261B8">
      <w:pPr>
        <w:tabs>
          <w:tab w:val="left" w:pos="1985"/>
        </w:tabs>
        <w:spacing w:after="0" w:line="360" w:lineRule="auto"/>
        <w:ind w:firstLine="2552"/>
        <w:jc w:val="both"/>
        <w:rPr>
          <w:rFonts w:ascii="Arial" w:hAnsi="Arial" w:cs="Arial"/>
          <w:color w:val="000000"/>
          <w:sz w:val="24"/>
          <w:szCs w:val="24"/>
          <w:lang w:eastAsia="es-ES"/>
        </w:rPr>
      </w:pPr>
      <w:r>
        <w:rPr>
          <w:rFonts w:ascii="Arial" w:hAnsi="Arial" w:cs="Arial"/>
          <w:b/>
          <w:bCs/>
          <w:color w:val="000000"/>
          <w:sz w:val="24"/>
          <w:szCs w:val="24"/>
          <w:lang w:eastAsia="es-ES"/>
        </w:rPr>
        <w:t xml:space="preserve">3) </w:t>
      </w:r>
      <w:r>
        <w:rPr>
          <w:rFonts w:ascii="Arial" w:hAnsi="Arial" w:cs="Arial"/>
          <w:color w:val="000000"/>
          <w:sz w:val="24"/>
          <w:szCs w:val="24"/>
          <w:lang w:eastAsia="es-ES"/>
        </w:rPr>
        <w:t xml:space="preserve">que el </w:t>
      </w:r>
      <w:r w:rsidR="003261B8">
        <w:rPr>
          <w:rFonts w:ascii="Arial" w:hAnsi="Arial" w:cs="Arial"/>
          <w:color w:val="000000"/>
          <w:sz w:val="24"/>
          <w:szCs w:val="24"/>
          <w:lang w:eastAsia="es-ES"/>
        </w:rPr>
        <w:t>N</w:t>
      </w:r>
      <w:r>
        <w:rPr>
          <w:rFonts w:ascii="Arial" w:hAnsi="Arial" w:cs="Arial"/>
          <w:color w:val="000000"/>
          <w:sz w:val="24"/>
          <w:szCs w:val="24"/>
          <w:lang w:eastAsia="es-ES"/>
        </w:rPr>
        <w:t>umeral V.1 in fine del pliego, establece como documentación complementaria a presentar conjuntamente con la propuesta, documento que acredite la representación de las personas que presentan la oferta y fotocopia autenticada del mismo, documentación que acredite el cumplimiento de la Ley 16.074 y certificados de BPS, DGI y BSE vigentes;</w:t>
      </w:r>
    </w:p>
    <w:p w:rsidR="00A937DE" w:rsidRDefault="000F565E" w:rsidP="003261B8">
      <w:pPr>
        <w:tabs>
          <w:tab w:val="left" w:pos="1985"/>
        </w:tabs>
        <w:spacing w:after="0" w:line="360" w:lineRule="auto"/>
        <w:ind w:firstLine="2552"/>
        <w:jc w:val="both"/>
        <w:rPr>
          <w:rFonts w:ascii="Arial" w:hAnsi="Arial" w:cs="Arial"/>
          <w:color w:val="000000"/>
          <w:sz w:val="24"/>
          <w:szCs w:val="24"/>
          <w:lang w:eastAsia="es-ES"/>
        </w:rPr>
      </w:pPr>
      <w:r>
        <w:rPr>
          <w:rFonts w:ascii="Arial" w:hAnsi="Arial" w:cs="Arial"/>
          <w:b/>
          <w:bCs/>
          <w:color w:val="000000"/>
          <w:sz w:val="24"/>
          <w:szCs w:val="24"/>
          <w:lang w:eastAsia="es-ES"/>
        </w:rPr>
        <w:t xml:space="preserve">4) </w:t>
      </w:r>
      <w:r>
        <w:rPr>
          <w:rFonts w:ascii="Arial" w:hAnsi="Arial" w:cs="Arial"/>
          <w:color w:val="000000"/>
          <w:sz w:val="24"/>
          <w:szCs w:val="24"/>
          <w:lang w:eastAsia="es-ES"/>
        </w:rPr>
        <w:t>q</w:t>
      </w:r>
      <w:r w:rsidR="003261B8">
        <w:rPr>
          <w:rFonts w:ascii="Arial" w:hAnsi="Arial" w:cs="Arial"/>
          <w:color w:val="000000"/>
          <w:sz w:val="24"/>
          <w:szCs w:val="24"/>
          <w:lang w:eastAsia="es-ES"/>
        </w:rPr>
        <w:t>ue el N</w:t>
      </w:r>
      <w:r>
        <w:rPr>
          <w:rFonts w:ascii="Arial" w:hAnsi="Arial" w:cs="Arial"/>
          <w:color w:val="000000"/>
          <w:sz w:val="24"/>
          <w:szCs w:val="24"/>
          <w:lang w:eastAsia="es-ES"/>
        </w:rPr>
        <w:t xml:space="preserve">umeral V.11 del pliego relativo a la comparación de las ofertas, establece que las mismas se evaluarán de acuerdo a dos factores: </w:t>
      </w:r>
    </w:p>
    <w:p w:rsidR="0062560C" w:rsidRDefault="0062560C" w:rsidP="00A937DE">
      <w:pPr>
        <w:tabs>
          <w:tab w:val="left" w:pos="1985"/>
        </w:tabs>
        <w:spacing w:after="0" w:line="360" w:lineRule="auto"/>
        <w:jc w:val="both"/>
        <w:rPr>
          <w:rFonts w:ascii="Arial" w:hAnsi="Arial" w:cs="Arial"/>
          <w:b/>
          <w:color w:val="000000"/>
          <w:sz w:val="24"/>
          <w:szCs w:val="24"/>
          <w:lang w:eastAsia="es-ES"/>
        </w:rPr>
      </w:pPr>
    </w:p>
    <w:p w:rsidR="00A937DE" w:rsidRDefault="000F565E" w:rsidP="00A937DE">
      <w:pPr>
        <w:tabs>
          <w:tab w:val="left" w:pos="1985"/>
        </w:tabs>
        <w:spacing w:after="0" w:line="360" w:lineRule="auto"/>
        <w:jc w:val="both"/>
        <w:rPr>
          <w:rFonts w:ascii="Arial" w:hAnsi="Arial" w:cs="Arial"/>
          <w:color w:val="000000"/>
          <w:sz w:val="24"/>
          <w:szCs w:val="24"/>
          <w:lang w:eastAsia="es-ES"/>
        </w:rPr>
      </w:pPr>
      <w:r w:rsidRPr="00A937DE">
        <w:rPr>
          <w:rFonts w:ascii="Arial" w:hAnsi="Arial" w:cs="Arial"/>
          <w:b/>
          <w:color w:val="000000"/>
          <w:sz w:val="24"/>
          <w:szCs w:val="24"/>
          <w:lang w:eastAsia="es-ES"/>
        </w:rPr>
        <w:t>A)</w:t>
      </w:r>
      <w:r>
        <w:rPr>
          <w:rFonts w:ascii="Arial" w:hAnsi="Arial" w:cs="Arial"/>
          <w:color w:val="000000"/>
          <w:sz w:val="24"/>
          <w:szCs w:val="24"/>
          <w:lang w:eastAsia="es-ES"/>
        </w:rPr>
        <w:t xml:space="preserve"> Precio de comparación (menor precio se le asignan 70 puntos y el resto de las ofertas se calculan como el producto entre 70 y el cociente entre el precio de la oferta de menor precio y el precio del oferente); y</w:t>
      </w:r>
    </w:p>
    <w:p w:rsidR="00A937DE" w:rsidRDefault="000F565E" w:rsidP="00A937DE">
      <w:pPr>
        <w:tabs>
          <w:tab w:val="left" w:pos="1985"/>
        </w:tabs>
        <w:spacing w:after="0" w:line="360" w:lineRule="auto"/>
        <w:jc w:val="both"/>
        <w:rPr>
          <w:rFonts w:ascii="Arial" w:hAnsi="Arial" w:cs="Arial"/>
          <w:color w:val="000000"/>
          <w:sz w:val="24"/>
          <w:szCs w:val="24"/>
          <w:lang w:eastAsia="es-ES"/>
        </w:rPr>
      </w:pPr>
      <w:r w:rsidRPr="00A937DE">
        <w:rPr>
          <w:rFonts w:ascii="Arial" w:hAnsi="Arial" w:cs="Arial"/>
          <w:b/>
          <w:color w:val="000000"/>
          <w:sz w:val="24"/>
          <w:szCs w:val="24"/>
          <w:lang w:eastAsia="es-ES"/>
        </w:rPr>
        <w:t>B)</w:t>
      </w:r>
      <w:r>
        <w:rPr>
          <w:rFonts w:ascii="Arial" w:hAnsi="Arial" w:cs="Arial"/>
          <w:color w:val="000000"/>
          <w:sz w:val="24"/>
          <w:szCs w:val="24"/>
          <w:lang w:eastAsia="es-ES"/>
        </w:rPr>
        <w:t xml:space="preserve"> Antecedentes de la empresa hasta 30 puntos, que se descomponen en antecedentes de la empresa en edificios de hormigón pre-moldeado de similares características (hasta 15 puntos), antecedentes de la empresa en edificios de hormigón pre-moldeado en general (hasta 10 puntos), y antecedentes de los profesionales actuantes (hasta 5 puntos);</w:t>
      </w:r>
    </w:p>
    <w:p w:rsidR="00A937DE" w:rsidRDefault="000F565E" w:rsidP="00A937DE">
      <w:pPr>
        <w:tabs>
          <w:tab w:val="left" w:pos="1985"/>
        </w:tabs>
        <w:spacing w:after="0" w:line="360" w:lineRule="auto"/>
        <w:ind w:firstLine="2552"/>
        <w:jc w:val="both"/>
        <w:rPr>
          <w:rFonts w:ascii="Arial" w:hAnsi="Arial" w:cs="Arial"/>
          <w:color w:val="000000"/>
          <w:sz w:val="24"/>
          <w:szCs w:val="24"/>
          <w:lang w:val="es-ES_tradnl" w:eastAsia="es-ES"/>
        </w:rPr>
      </w:pPr>
      <w:r>
        <w:rPr>
          <w:rFonts w:ascii="Arial" w:hAnsi="Arial" w:cs="Arial"/>
          <w:b/>
          <w:bCs/>
          <w:color w:val="000000"/>
          <w:sz w:val="24"/>
          <w:szCs w:val="24"/>
          <w:lang w:eastAsia="es-ES"/>
        </w:rPr>
        <w:t>5)</w:t>
      </w:r>
      <w:r>
        <w:rPr>
          <w:rFonts w:ascii="Arial" w:hAnsi="Arial" w:cs="Arial"/>
          <w:color w:val="000000"/>
          <w:sz w:val="24"/>
          <w:szCs w:val="24"/>
          <w:lang w:eastAsia="es-ES"/>
        </w:rPr>
        <w:t xml:space="preserve"> que se publicitó la convocatoria en el Sitio Web de Compras y Contratac</w:t>
      </w:r>
      <w:r w:rsidR="00A937DE">
        <w:rPr>
          <w:rFonts w:ascii="Arial" w:hAnsi="Arial" w:cs="Arial"/>
          <w:color w:val="000000"/>
          <w:sz w:val="24"/>
          <w:szCs w:val="24"/>
          <w:lang w:eastAsia="es-ES"/>
        </w:rPr>
        <w:t>iones Estatales en fecha 28/</w:t>
      </w:r>
      <w:r>
        <w:rPr>
          <w:rFonts w:ascii="Arial" w:hAnsi="Arial" w:cs="Arial"/>
          <w:color w:val="000000"/>
          <w:sz w:val="24"/>
          <w:szCs w:val="24"/>
          <w:lang w:eastAsia="es-ES"/>
        </w:rPr>
        <w:t>06</w:t>
      </w:r>
      <w:r w:rsidR="00A937DE">
        <w:rPr>
          <w:rFonts w:ascii="Arial" w:hAnsi="Arial" w:cs="Arial"/>
          <w:color w:val="000000"/>
          <w:sz w:val="24"/>
          <w:szCs w:val="24"/>
          <w:lang w:eastAsia="es-ES"/>
        </w:rPr>
        <w:t>/</w:t>
      </w:r>
      <w:r>
        <w:rPr>
          <w:rFonts w:ascii="Arial" w:hAnsi="Arial" w:cs="Arial"/>
          <w:color w:val="000000"/>
          <w:sz w:val="24"/>
          <w:szCs w:val="24"/>
          <w:lang w:eastAsia="es-ES"/>
        </w:rPr>
        <w:t xml:space="preserve">17, y en el Diario Oficial en fecha </w:t>
      </w:r>
      <w:r w:rsidR="00A937DE">
        <w:rPr>
          <w:rFonts w:ascii="Arial" w:hAnsi="Arial" w:cs="Arial"/>
          <w:color w:val="000000"/>
          <w:sz w:val="24"/>
          <w:szCs w:val="24"/>
          <w:lang w:val="es-ES_tradnl" w:eastAsia="es-ES"/>
        </w:rPr>
        <w:t>04/</w:t>
      </w:r>
      <w:r>
        <w:rPr>
          <w:rFonts w:ascii="Arial" w:hAnsi="Arial" w:cs="Arial"/>
          <w:color w:val="000000"/>
          <w:sz w:val="24"/>
          <w:szCs w:val="24"/>
          <w:lang w:val="es-ES_tradnl" w:eastAsia="es-ES"/>
        </w:rPr>
        <w:t>07</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17;</w:t>
      </w:r>
    </w:p>
    <w:p w:rsidR="00A937DE" w:rsidRDefault="000F565E" w:rsidP="00A937DE">
      <w:pPr>
        <w:tabs>
          <w:tab w:val="left" w:pos="1985"/>
        </w:tabs>
        <w:spacing w:after="0" w:line="360" w:lineRule="auto"/>
        <w:ind w:firstLine="2552"/>
        <w:jc w:val="both"/>
        <w:rPr>
          <w:rFonts w:ascii="Arial" w:hAnsi="Arial" w:cs="Arial"/>
          <w:color w:val="000000"/>
          <w:sz w:val="24"/>
          <w:szCs w:val="24"/>
          <w:lang w:val="es-ES_tradnl" w:eastAsia="es-ES"/>
        </w:rPr>
      </w:pPr>
      <w:r>
        <w:rPr>
          <w:rFonts w:ascii="Arial" w:hAnsi="Arial" w:cs="Arial"/>
          <w:b/>
          <w:bCs/>
          <w:color w:val="000000"/>
          <w:sz w:val="24"/>
          <w:szCs w:val="24"/>
          <w:lang w:val="es-ES_tradnl" w:eastAsia="es-ES"/>
        </w:rPr>
        <w:t xml:space="preserve">6) </w:t>
      </w:r>
      <w:r>
        <w:rPr>
          <w:rFonts w:ascii="Arial" w:hAnsi="Arial" w:cs="Arial"/>
          <w:color w:val="000000"/>
          <w:sz w:val="24"/>
          <w:szCs w:val="24"/>
          <w:lang w:val="es-ES_tradnl" w:eastAsia="es-ES"/>
        </w:rPr>
        <w:t xml:space="preserve">que se realizó la </w:t>
      </w:r>
      <w:r w:rsidR="00A937DE">
        <w:rPr>
          <w:rFonts w:ascii="Arial" w:hAnsi="Arial" w:cs="Arial"/>
          <w:color w:val="000000"/>
          <w:sz w:val="24"/>
          <w:szCs w:val="24"/>
          <w:lang w:val="es-ES_tradnl" w:eastAsia="es-ES"/>
        </w:rPr>
        <w:t>apertura de ofertas en fecha 10/</w:t>
      </w:r>
      <w:r>
        <w:rPr>
          <w:rFonts w:ascii="Arial" w:hAnsi="Arial" w:cs="Arial"/>
          <w:color w:val="000000"/>
          <w:sz w:val="24"/>
          <w:szCs w:val="24"/>
          <w:lang w:val="es-ES_tradnl" w:eastAsia="es-ES"/>
        </w:rPr>
        <w:t>09</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 xml:space="preserve">17, y de dicho acto surgieron seis ofertas, de las firmas FABRA SA, INSUR SRL, FEDAL SA, STILER SA, PROYECCIÓN ELECTROLUZ URUGUAY SA (PEUSA) </w:t>
      </w:r>
      <w:r w:rsidR="00A937DE">
        <w:rPr>
          <w:rFonts w:ascii="Arial" w:hAnsi="Arial" w:cs="Arial"/>
          <w:color w:val="000000"/>
          <w:sz w:val="24"/>
          <w:szCs w:val="24"/>
          <w:lang w:val="es-ES_tradnl" w:eastAsia="es-ES"/>
        </w:rPr>
        <w:t xml:space="preserve"> </w:t>
      </w:r>
      <w:r>
        <w:rPr>
          <w:rFonts w:ascii="Arial" w:hAnsi="Arial" w:cs="Arial"/>
          <w:color w:val="000000"/>
          <w:sz w:val="24"/>
          <w:szCs w:val="24"/>
          <w:lang w:val="es-ES_tradnl" w:eastAsia="es-ES"/>
        </w:rPr>
        <w:t xml:space="preserve">y </w:t>
      </w:r>
      <w:r w:rsidR="00A937DE">
        <w:rPr>
          <w:rFonts w:ascii="Arial" w:hAnsi="Arial" w:cs="Arial"/>
          <w:color w:val="000000"/>
          <w:sz w:val="24"/>
          <w:szCs w:val="24"/>
          <w:lang w:val="es-ES_tradnl" w:eastAsia="es-ES"/>
        </w:rPr>
        <w:t xml:space="preserve"> </w:t>
      </w:r>
      <w:r>
        <w:rPr>
          <w:rFonts w:ascii="Arial" w:hAnsi="Arial" w:cs="Arial"/>
          <w:color w:val="000000"/>
          <w:sz w:val="24"/>
          <w:szCs w:val="24"/>
          <w:lang w:val="es-ES_tradnl" w:eastAsia="es-ES"/>
        </w:rPr>
        <w:t>SCHMIDT PREMOLDEADOS SA;</w:t>
      </w:r>
    </w:p>
    <w:p w:rsidR="00A937DE" w:rsidRDefault="000F565E" w:rsidP="00A937DE">
      <w:pPr>
        <w:tabs>
          <w:tab w:val="left" w:pos="1985"/>
        </w:tabs>
        <w:spacing w:after="0" w:line="360" w:lineRule="auto"/>
        <w:ind w:firstLine="2552"/>
        <w:jc w:val="both"/>
        <w:rPr>
          <w:rFonts w:ascii="Arial" w:hAnsi="Arial" w:cs="Arial"/>
          <w:color w:val="000000"/>
          <w:sz w:val="24"/>
          <w:szCs w:val="24"/>
          <w:lang w:val="es-ES_tradnl" w:eastAsia="es-ES"/>
        </w:rPr>
      </w:pPr>
      <w:r>
        <w:rPr>
          <w:rFonts w:ascii="Arial" w:hAnsi="Arial" w:cs="Arial"/>
          <w:b/>
          <w:bCs/>
          <w:color w:val="000000"/>
          <w:sz w:val="24"/>
          <w:szCs w:val="24"/>
          <w:lang w:val="es-ES_tradnl" w:eastAsia="es-ES"/>
        </w:rPr>
        <w:t xml:space="preserve">7) </w:t>
      </w:r>
      <w:r>
        <w:rPr>
          <w:rFonts w:ascii="Arial" w:hAnsi="Arial" w:cs="Arial"/>
          <w:color w:val="000000"/>
          <w:sz w:val="24"/>
          <w:szCs w:val="24"/>
          <w:lang w:val="es-ES_tradnl" w:eastAsia="es-ES"/>
        </w:rPr>
        <w:t>que se realizó informe técnico y económico de las ofertas, adjudicándose a la Firma INSUR SRL (que finalmente fue la adjudicatar</w:t>
      </w:r>
      <w:r w:rsidR="00A937DE">
        <w:rPr>
          <w:rFonts w:ascii="Arial" w:hAnsi="Arial" w:cs="Arial"/>
          <w:color w:val="000000"/>
          <w:sz w:val="24"/>
          <w:szCs w:val="24"/>
          <w:lang w:val="es-ES_tradnl" w:eastAsia="es-ES"/>
        </w:rPr>
        <w:t>ia), un puntaje de 70 en Precio</w:t>
      </w:r>
      <w:r>
        <w:rPr>
          <w:rFonts w:ascii="Arial" w:hAnsi="Arial" w:cs="Arial"/>
          <w:color w:val="000000"/>
          <w:sz w:val="24"/>
          <w:szCs w:val="24"/>
          <w:lang w:val="es-ES_tradnl" w:eastAsia="es-ES"/>
        </w:rPr>
        <w:t xml:space="preserve"> y de 30 en Antecedentes, descomponiéndose este último en 15 en Edificios similares, 10 en Edificios en hormigón en general y 5 en Antecedentes de los profesionales actuantes (presenta Currículum de Arq. Agustín Sacco, pero no de Ing. Leonardo </w:t>
      </w:r>
      <w:proofErr w:type="spellStart"/>
      <w:r>
        <w:rPr>
          <w:rFonts w:ascii="Arial" w:hAnsi="Arial" w:cs="Arial"/>
          <w:color w:val="000000"/>
          <w:sz w:val="24"/>
          <w:szCs w:val="24"/>
          <w:lang w:val="es-ES_tradnl" w:eastAsia="es-ES"/>
        </w:rPr>
        <w:t>Filippelli</w:t>
      </w:r>
      <w:proofErr w:type="spellEnd"/>
      <w:r>
        <w:rPr>
          <w:rFonts w:ascii="Arial" w:hAnsi="Arial" w:cs="Arial"/>
          <w:color w:val="000000"/>
          <w:sz w:val="24"/>
          <w:szCs w:val="24"/>
          <w:lang w:val="es-ES_tradnl" w:eastAsia="es-ES"/>
        </w:rPr>
        <w:t xml:space="preserve"> que es el representante técnico). El informe concluye que la firma mencionada es la de menor precio y la que obtiene el mayor puntaje de acuerdo a l</w:t>
      </w:r>
      <w:r w:rsidR="00A937DE">
        <w:rPr>
          <w:rFonts w:ascii="Arial" w:hAnsi="Arial" w:cs="Arial"/>
          <w:color w:val="000000"/>
          <w:sz w:val="24"/>
          <w:szCs w:val="24"/>
          <w:lang w:val="es-ES_tradnl" w:eastAsia="es-ES"/>
        </w:rPr>
        <w:t>os criterios de evaluación del L</w:t>
      </w:r>
      <w:r>
        <w:rPr>
          <w:rFonts w:ascii="Arial" w:hAnsi="Arial" w:cs="Arial"/>
          <w:color w:val="000000"/>
          <w:sz w:val="24"/>
          <w:szCs w:val="24"/>
          <w:lang w:val="es-ES_tradnl" w:eastAsia="es-ES"/>
        </w:rPr>
        <w:t>lamado (obtiene 100 puntos, seguida por PEUSA 94.8 y SCHMIDT 84.16), por lo cual recomienda se le adjudique, por el monto total de $</w:t>
      </w:r>
      <w:r w:rsidR="00A937DE">
        <w:rPr>
          <w:rFonts w:ascii="Arial" w:hAnsi="Arial" w:cs="Arial"/>
          <w:color w:val="000000"/>
          <w:sz w:val="24"/>
          <w:szCs w:val="24"/>
          <w:lang w:val="es-ES_tradnl" w:eastAsia="es-ES"/>
        </w:rPr>
        <w:t xml:space="preserve"> </w:t>
      </w:r>
      <w:r>
        <w:rPr>
          <w:rFonts w:ascii="Arial" w:hAnsi="Arial" w:cs="Arial"/>
          <w:color w:val="000000"/>
          <w:sz w:val="24"/>
          <w:szCs w:val="24"/>
          <w:lang w:val="es-ES_tradnl" w:eastAsia="es-ES"/>
        </w:rPr>
        <w:t>23</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516.445, que incluye I</w:t>
      </w:r>
      <w:r w:rsidR="00A937DE">
        <w:rPr>
          <w:rFonts w:ascii="Arial" w:hAnsi="Arial" w:cs="Arial"/>
          <w:color w:val="000000"/>
          <w:sz w:val="24"/>
          <w:szCs w:val="24"/>
          <w:lang w:val="es-ES_tradnl" w:eastAsia="es-ES"/>
        </w:rPr>
        <w:t>VA</w:t>
      </w:r>
      <w:r>
        <w:rPr>
          <w:rFonts w:ascii="Arial" w:hAnsi="Arial" w:cs="Arial"/>
          <w:color w:val="000000"/>
          <w:sz w:val="24"/>
          <w:szCs w:val="24"/>
          <w:lang w:val="es-ES_tradnl" w:eastAsia="es-ES"/>
        </w:rPr>
        <w:t xml:space="preserve"> y Leyes Sociales;</w:t>
      </w:r>
    </w:p>
    <w:p w:rsidR="0062560C" w:rsidRDefault="000F565E" w:rsidP="00A937DE">
      <w:pPr>
        <w:tabs>
          <w:tab w:val="left" w:pos="1985"/>
        </w:tabs>
        <w:spacing w:after="0" w:line="360" w:lineRule="auto"/>
        <w:ind w:firstLine="2552"/>
        <w:jc w:val="both"/>
        <w:rPr>
          <w:rFonts w:ascii="Arial" w:hAnsi="Arial" w:cs="Arial"/>
          <w:color w:val="000000"/>
          <w:sz w:val="24"/>
          <w:szCs w:val="24"/>
          <w:lang w:val="es-ES_tradnl" w:eastAsia="es-ES"/>
        </w:rPr>
      </w:pPr>
      <w:r>
        <w:rPr>
          <w:rFonts w:ascii="Arial" w:hAnsi="Arial" w:cs="Arial"/>
          <w:b/>
          <w:bCs/>
          <w:color w:val="000000"/>
          <w:sz w:val="24"/>
          <w:szCs w:val="24"/>
          <w:lang w:val="es-ES_tradnl" w:eastAsia="es-ES"/>
        </w:rPr>
        <w:t xml:space="preserve">8) </w:t>
      </w:r>
      <w:r w:rsidR="00A937DE">
        <w:rPr>
          <w:rFonts w:ascii="Arial" w:hAnsi="Arial" w:cs="Arial"/>
          <w:color w:val="000000"/>
          <w:sz w:val="24"/>
          <w:szCs w:val="24"/>
          <w:lang w:val="es-ES_tradnl" w:eastAsia="es-ES"/>
        </w:rPr>
        <w:t>que en actuación de fecha 18/</w:t>
      </w:r>
      <w:r>
        <w:rPr>
          <w:rFonts w:ascii="Arial" w:hAnsi="Arial" w:cs="Arial"/>
          <w:color w:val="000000"/>
          <w:sz w:val="24"/>
          <w:szCs w:val="24"/>
          <w:lang w:val="es-ES_tradnl" w:eastAsia="es-ES"/>
        </w:rPr>
        <w:t>09</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17 la Dirección de Abastecimientos comunica a INSUR SRL que analizada su oferta se observa que</w:t>
      </w:r>
      <w:r w:rsidR="0062560C">
        <w:rPr>
          <w:rFonts w:ascii="Arial" w:hAnsi="Arial" w:cs="Arial"/>
          <w:color w:val="000000"/>
          <w:sz w:val="24"/>
          <w:szCs w:val="24"/>
          <w:lang w:val="es-ES_tradnl" w:eastAsia="es-ES"/>
        </w:rPr>
        <w:t xml:space="preserve"> </w:t>
      </w:r>
      <w:r>
        <w:rPr>
          <w:rFonts w:ascii="Arial" w:hAnsi="Arial" w:cs="Arial"/>
          <w:color w:val="000000"/>
          <w:sz w:val="24"/>
          <w:szCs w:val="24"/>
          <w:lang w:val="es-ES_tradnl" w:eastAsia="es-ES"/>
        </w:rPr>
        <w:t xml:space="preserve"> carece </w:t>
      </w:r>
      <w:r w:rsidR="0062560C">
        <w:rPr>
          <w:rFonts w:ascii="Arial" w:hAnsi="Arial" w:cs="Arial"/>
          <w:color w:val="000000"/>
          <w:sz w:val="24"/>
          <w:szCs w:val="24"/>
          <w:lang w:val="es-ES_tradnl" w:eastAsia="es-ES"/>
        </w:rPr>
        <w:t xml:space="preserve"> </w:t>
      </w:r>
      <w:r>
        <w:rPr>
          <w:rFonts w:ascii="Arial" w:hAnsi="Arial" w:cs="Arial"/>
          <w:color w:val="000000"/>
          <w:sz w:val="24"/>
          <w:szCs w:val="24"/>
          <w:lang w:val="es-ES_tradnl" w:eastAsia="es-ES"/>
        </w:rPr>
        <w:t xml:space="preserve">de cierta documentación solicitada en el pliego de condiciones que </w:t>
      </w:r>
    </w:p>
    <w:p w:rsidR="0062560C" w:rsidRDefault="0062560C" w:rsidP="00A937DE">
      <w:pPr>
        <w:tabs>
          <w:tab w:val="left" w:pos="1985"/>
        </w:tabs>
        <w:spacing w:after="0" w:line="360" w:lineRule="auto"/>
        <w:ind w:firstLine="2552"/>
        <w:jc w:val="both"/>
        <w:rPr>
          <w:rFonts w:ascii="Arial" w:hAnsi="Arial" w:cs="Arial"/>
          <w:color w:val="000000"/>
          <w:sz w:val="24"/>
          <w:szCs w:val="24"/>
          <w:lang w:val="es-ES_tradnl" w:eastAsia="es-ES"/>
        </w:rPr>
      </w:pPr>
    </w:p>
    <w:p w:rsidR="000F565E" w:rsidRDefault="0062560C" w:rsidP="0062560C">
      <w:pPr>
        <w:tabs>
          <w:tab w:val="left" w:pos="1985"/>
        </w:tabs>
        <w:spacing w:after="0" w:line="360" w:lineRule="auto"/>
        <w:jc w:val="both"/>
        <w:rPr>
          <w:rFonts w:ascii="Arial" w:hAnsi="Arial" w:cs="Arial"/>
          <w:color w:val="000000"/>
          <w:sz w:val="24"/>
          <w:szCs w:val="24"/>
          <w:lang w:val="es-ES_tradnl" w:eastAsia="es-ES"/>
        </w:rPr>
      </w:pPr>
      <w:proofErr w:type="gramStart"/>
      <w:r>
        <w:rPr>
          <w:rFonts w:ascii="Arial" w:hAnsi="Arial" w:cs="Arial"/>
          <w:color w:val="000000"/>
          <w:sz w:val="24"/>
          <w:szCs w:val="24"/>
          <w:lang w:val="es-ES_tradnl" w:eastAsia="es-ES"/>
        </w:rPr>
        <w:t>rige</w:t>
      </w:r>
      <w:proofErr w:type="gramEnd"/>
      <w:r>
        <w:rPr>
          <w:rFonts w:ascii="Arial" w:hAnsi="Arial" w:cs="Arial"/>
          <w:color w:val="000000"/>
          <w:sz w:val="24"/>
          <w:szCs w:val="24"/>
          <w:lang w:val="es-ES_tradnl" w:eastAsia="es-ES"/>
        </w:rPr>
        <w:t xml:space="preserve"> el L</w:t>
      </w:r>
      <w:r w:rsidR="000F565E">
        <w:rPr>
          <w:rFonts w:ascii="Arial" w:hAnsi="Arial" w:cs="Arial"/>
          <w:color w:val="000000"/>
          <w:sz w:val="24"/>
          <w:szCs w:val="24"/>
          <w:lang w:val="es-ES_tradnl" w:eastAsia="es-ES"/>
        </w:rPr>
        <w:t>lamado, por lo cual se le otorga un plazo de tres días hábiles para la presentación de la misma, según listado de documentación faltante:</w:t>
      </w:r>
    </w:p>
    <w:p w:rsidR="000F565E" w:rsidRDefault="00A937DE" w:rsidP="00A937DE">
      <w:pPr>
        <w:tabs>
          <w:tab w:val="left" w:pos="2127"/>
        </w:tabs>
        <w:spacing w:after="0" w:line="360" w:lineRule="auto"/>
        <w:jc w:val="both"/>
        <w:rPr>
          <w:rFonts w:ascii="Arial" w:hAnsi="Arial" w:cs="Arial"/>
          <w:color w:val="000000"/>
          <w:sz w:val="24"/>
          <w:szCs w:val="24"/>
          <w:lang w:val="es-ES_tradnl" w:eastAsia="es-ES"/>
        </w:rPr>
      </w:pPr>
      <w:r>
        <w:rPr>
          <w:rFonts w:ascii="Arial" w:hAnsi="Arial" w:cs="Arial"/>
          <w:color w:val="000000"/>
          <w:sz w:val="24"/>
          <w:szCs w:val="24"/>
          <w:lang w:val="es-ES_tradnl" w:eastAsia="es-ES"/>
        </w:rPr>
        <w:t xml:space="preserve">- </w:t>
      </w:r>
      <w:r w:rsidR="000D447E">
        <w:rPr>
          <w:rFonts w:ascii="Arial" w:hAnsi="Arial" w:cs="Arial"/>
          <w:color w:val="000000"/>
          <w:sz w:val="24"/>
          <w:szCs w:val="24"/>
          <w:lang w:val="es-ES_tradnl" w:eastAsia="es-ES"/>
        </w:rPr>
        <w:t xml:space="preserve">  </w:t>
      </w:r>
      <w:r w:rsidR="000F565E">
        <w:rPr>
          <w:rFonts w:ascii="Arial" w:hAnsi="Arial" w:cs="Arial"/>
          <w:color w:val="000000"/>
          <w:sz w:val="24"/>
          <w:szCs w:val="24"/>
          <w:lang w:val="es-ES_tradnl" w:eastAsia="es-ES"/>
        </w:rPr>
        <w:t>antecedentes legales;</w:t>
      </w:r>
    </w:p>
    <w:p w:rsidR="000F565E" w:rsidRDefault="00A937DE" w:rsidP="00A937DE">
      <w:pPr>
        <w:tabs>
          <w:tab w:val="left" w:pos="2127"/>
        </w:tabs>
        <w:spacing w:after="0" w:line="360" w:lineRule="auto"/>
        <w:jc w:val="both"/>
        <w:rPr>
          <w:rFonts w:ascii="Arial" w:hAnsi="Arial" w:cs="Arial"/>
          <w:color w:val="000000"/>
          <w:sz w:val="24"/>
          <w:szCs w:val="24"/>
          <w:lang w:val="es-ES_tradnl" w:eastAsia="es-ES"/>
        </w:rPr>
      </w:pPr>
      <w:r>
        <w:rPr>
          <w:rFonts w:ascii="Arial" w:hAnsi="Arial" w:cs="Arial"/>
          <w:color w:val="000000"/>
          <w:sz w:val="24"/>
          <w:szCs w:val="24"/>
          <w:lang w:val="es-ES_tradnl" w:eastAsia="es-ES"/>
        </w:rPr>
        <w:t xml:space="preserve">- </w:t>
      </w:r>
      <w:r w:rsidR="000D447E">
        <w:rPr>
          <w:rFonts w:ascii="Arial" w:hAnsi="Arial" w:cs="Arial"/>
          <w:color w:val="000000"/>
          <w:sz w:val="24"/>
          <w:szCs w:val="24"/>
          <w:lang w:val="es-ES_tradnl" w:eastAsia="es-ES"/>
        </w:rPr>
        <w:t xml:space="preserve">  </w:t>
      </w:r>
      <w:r w:rsidR="000F565E">
        <w:rPr>
          <w:rFonts w:ascii="Arial" w:hAnsi="Arial" w:cs="Arial"/>
          <w:color w:val="000000"/>
          <w:sz w:val="24"/>
          <w:szCs w:val="24"/>
          <w:lang w:val="es-ES_tradnl" w:eastAsia="es-ES"/>
        </w:rPr>
        <w:t>listado de equipos a utilizar propiedad de la empresa;</w:t>
      </w:r>
    </w:p>
    <w:p w:rsidR="000F565E" w:rsidRDefault="00A937DE" w:rsidP="000D447E">
      <w:pPr>
        <w:tabs>
          <w:tab w:val="left" w:pos="2127"/>
        </w:tabs>
        <w:spacing w:after="0" w:line="360" w:lineRule="auto"/>
        <w:ind w:left="284" w:hanging="284"/>
        <w:jc w:val="both"/>
        <w:rPr>
          <w:rFonts w:ascii="Arial" w:hAnsi="Arial" w:cs="Arial"/>
          <w:color w:val="000000"/>
          <w:sz w:val="24"/>
          <w:szCs w:val="24"/>
          <w:lang w:val="es-ES_tradnl" w:eastAsia="es-ES"/>
        </w:rPr>
      </w:pPr>
      <w:r>
        <w:rPr>
          <w:rFonts w:ascii="Arial" w:hAnsi="Arial" w:cs="Arial"/>
          <w:color w:val="000000"/>
          <w:sz w:val="24"/>
          <w:szCs w:val="24"/>
          <w:lang w:val="es-ES_tradnl" w:eastAsia="es-ES"/>
        </w:rPr>
        <w:t xml:space="preserve">- </w:t>
      </w:r>
      <w:r w:rsidR="000D447E">
        <w:rPr>
          <w:rFonts w:ascii="Arial" w:hAnsi="Arial" w:cs="Arial"/>
          <w:color w:val="000000"/>
          <w:sz w:val="24"/>
          <w:szCs w:val="24"/>
          <w:lang w:val="es-ES_tradnl" w:eastAsia="es-ES"/>
        </w:rPr>
        <w:t xml:space="preserve"> </w:t>
      </w:r>
      <w:r w:rsidR="000F565E">
        <w:rPr>
          <w:rFonts w:ascii="Arial" w:hAnsi="Arial" w:cs="Arial"/>
          <w:color w:val="000000"/>
          <w:sz w:val="24"/>
          <w:szCs w:val="24"/>
          <w:lang w:val="es-ES_tradnl" w:eastAsia="es-ES"/>
        </w:rPr>
        <w:t>relación del personal técnico que se pr</w:t>
      </w:r>
      <w:r w:rsidR="000D447E">
        <w:rPr>
          <w:rFonts w:ascii="Arial" w:hAnsi="Arial" w:cs="Arial"/>
          <w:color w:val="000000"/>
          <w:sz w:val="24"/>
          <w:szCs w:val="24"/>
          <w:lang w:val="es-ES_tradnl" w:eastAsia="es-ES"/>
        </w:rPr>
        <w:t xml:space="preserve">opone emplear en las obras, con </w:t>
      </w:r>
      <w:r w:rsidR="000F565E">
        <w:rPr>
          <w:rFonts w:ascii="Arial" w:hAnsi="Arial" w:cs="Arial"/>
          <w:color w:val="000000"/>
          <w:sz w:val="24"/>
          <w:szCs w:val="24"/>
          <w:lang w:val="es-ES_tradnl" w:eastAsia="es-ES"/>
        </w:rPr>
        <w:t xml:space="preserve">indicación del personal técnico que se propone emplear, sus antecedentes académicos y experiencia profesional, suministrando el Currículo Vitae de cada uno debidamente firmado por sus titulares (falta el del Ing. </w:t>
      </w:r>
      <w:proofErr w:type="spellStart"/>
      <w:r w:rsidR="000F565E">
        <w:rPr>
          <w:rFonts w:ascii="Arial" w:hAnsi="Arial" w:cs="Arial"/>
          <w:color w:val="000000"/>
          <w:sz w:val="24"/>
          <w:szCs w:val="24"/>
          <w:lang w:val="es-ES_tradnl" w:eastAsia="es-ES"/>
        </w:rPr>
        <w:t>Filipelli</w:t>
      </w:r>
      <w:proofErr w:type="spellEnd"/>
      <w:r w:rsidR="000F565E">
        <w:rPr>
          <w:rFonts w:ascii="Arial" w:hAnsi="Arial" w:cs="Arial"/>
          <w:color w:val="000000"/>
          <w:sz w:val="24"/>
          <w:szCs w:val="24"/>
          <w:lang w:val="es-ES_tradnl" w:eastAsia="es-ES"/>
        </w:rPr>
        <w:t>);</w:t>
      </w:r>
    </w:p>
    <w:p w:rsidR="000F565E" w:rsidRDefault="00A937DE" w:rsidP="00A937DE">
      <w:pPr>
        <w:tabs>
          <w:tab w:val="left" w:pos="2127"/>
        </w:tabs>
        <w:spacing w:after="0" w:line="360" w:lineRule="auto"/>
        <w:jc w:val="both"/>
        <w:rPr>
          <w:rFonts w:ascii="Arial" w:hAnsi="Arial" w:cs="Arial"/>
          <w:color w:val="000000"/>
          <w:sz w:val="24"/>
          <w:szCs w:val="24"/>
          <w:lang w:val="es-ES_tradnl" w:eastAsia="es-ES"/>
        </w:rPr>
      </w:pPr>
      <w:r>
        <w:rPr>
          <w:rFonts w:ascii="Arial" w:hAnsi="Arial" w:cs="Arial"/>
          <w:color w:val="000000"/>
          <w:sz w:val="24"/>
          <w:szCs w:val="24"/>
          <w:lang w:val="es-ES_tradnl" w:eastAsia="es-ES"/>
        </w:rPr>
        <w:t xml:space="preserve">- </w:t>
      </w:r>
      <w:r w:rsidR="000D447E">
        <w:rPr>
          <w:rFonts w:ascii="Arial" w:hAnsi="Arial" w:cs="Arial"/>
          <w:color w:val="000000"/>
          <w:sz w:val="24"/>
          <w:szCs w:val="24"/>
          <w:lang w:val="es-ES_tradnl" w:eastAsia="es-ES"/>
        </w:rPr>
        <w:t xml:space="preserve"> </w:t>
      </w:r>
      <w:r w:rsidR="000F565E">
        <w:rPr>
          <w:rFonts w:ascii="Arial" w:hAnsi="Arial" w:cs="Arial"/>
          <w:color w:val="000000"/>
          <w:sz w:val="24"/>
          <w:szCs w:val="24"/>
          <w:lang w:val="es-ES_tradnl" w:eastAsia="es-ES"/>
        </w:rPr>
        <w:t>certificado habilitante para ofertar de RENEOP;</w:t>
      </w:r>
    </w:p>
    <w:p w:rsidR="000F565E" w:rsidRDefault="00A937DE" w:rsidP="00A937DE">
      <w:pPr>
        <w:tabs>
          <w:tab w:val="left" w:pos="2127"/>
        </w:tabs>
        <w:spacing w:after="0" w:line="360" w:lineRule="auto"/>
        <w:jc w:val="both"/>
        <w:rPr>
          <w:rFonts w:ascii="Arial" w:hAnsi="Arial" w:cs="Arial"/>
          <w:color w:val="000000"/>
          <w:sz w:val="24"/>
          <w:szCs w:val="24"/>
          <w:lang w:val="es-ES_tradnl" w:eastAsia="es-ES"/>
        </w:rPr>
      </w:pPr>
      <w:r>
        <w:rPr>
          <w:rFonts w:ascii="Arial" w:hAnsi="Arial" w:cs="Arial"/>
          <w:color w:val="000000"/>
          <w:sz w:val="24"/>
          <w:szCs w:val="24"/>
          <w:lang w:val="es-ES_tradnl" w:eastAsia="es-ES"/>
        </w:rPr>
        <w:t xml:space="preserve">- </w:t>
      </w:r>
      <w:r w:rsidR="000D447E">
        <w:rPr>
          <w:rFonts w:ascii="Arial" w:hAnsi="Arial" w:cs="Arial"/>
          <w:color w:val="000000"/>
          <w:sz w:val="24"/>
          <w:szCs w:val="24"/>
          <w:lang w:val="es-ES_tradnl" w:eastAsia="es-ES"/>
        </w:rPr>
        <w:t xml:space="preserve"> </w:t>
      </w:r>
      <w:r w:rsidR="000F565E">
        <w:rPr>
          <w:rFonts w:ascii="Arial" w:hAnsi="Arial" w:cs="Arial"/>
          <w:color w:val="000000"/>
          <w:sz w:val="24"/>
          <w:szCs w:val="24"/>
          <w:lang w:val="es-ES_tradnl" w:eastAsia="es-ES"/>
        </w:rPr>
        <w:t>acreditar cumplimiento de Ley 16.074;</w:t>
      </w:r>
    </w:p>
    <w:p w:rsidR="000F565E" w:rsidRDefault="00A937DE" w:rsidP="00A937DE">
      <w:pPr>
        <w:tabs>
          <w:tab w:val="left" w:pos="2127"/>
        </w:tabs>
        <w:spacing w:after="0" w:line="360" w:lineRule="auto"/>
        <w:jc w:val="both"/>
        <w:rPr>
          <w:rFonts w:ascii="Arial" w:hAnsi="Arial" w:cs="Arial"/>
          <w:color w:val="000000"/>
          <w:sz w:val="24"/>
          <w:szCs w:val="24"/>
          <w:lang w:val="es-ES_tradnl" w:eastAsia="es-ES"/>
        </w:rPr>
      </w:pPr>
      <w:r>
        <w:rPr>
          <w:rFonts w:ascii="Arial" w:hAnsi="Arial" w:cs="Arial"/>
          <w:color w:val="000000"/>
          <w:sz w:val="24"/>
          <w:szCs w:val="24"/>
          <w:lang w:val="es-ES_tradnl" w:eastAsia="es-ES"/>
        </w:rPr>
        <w:t xml:space="preserve">- </w:t>
      </w:r>
      <w:r w:rsidR="000D447E">
        <w:rPr>
          <w:rFonts w:ascii="Arial" w:hAnsi="Arial" w:cs="Arial"/>
          <w:color w:val="000000"/>
          <w:sz w:val="24"/>
          <w:szCs w:val="24"/>
          <w:lang w:val="es-ES_tradnl" w:eastAsia="es-ES"/>
        </w:rPr>
        <w:t xml:space="preserve"> </w:t>
      </w:r>
      <w:r w:rsidR="000F565E">
        <w:rPr>
          <w:rFonts w:ascii="Arial" w:hAnsi="Arial" w:cs="Arial"/>
          <w:color w:val="000000"/>
          <w:sz w:val="24"/>
          <w:szCs w:val="24"/>
          <w:lang w:val="es-ES_tradnl" w:eastAsia="es-ES"/>
        </w:rPr>
        <w:t>constancia de visita obligatoria;</w:t>
      </w:r>
    </w:p>
    <w:p w:rsidR="000F565E" w:rsidRDefault="000F565E" w:rsidP="00A937DE">
      <w:pPr>
        <w:tabs>
          <w:tab w:val="left" w:pos="2127"/>
        </w:tabs>
        <w:spacing w:after="0" w:line="360" w:lineRule="auto"/>
        <w:ind w:firstLine="2552"/>
        <w:jc w:val="both"/>
        <w:rPr>
          <w:rFonts w:ascii="Arial" w:hAnsi="Arial" w:cs="Arial"/>
          <w:color w:val="000000"/>
          <w:sz w:val="24"/>
          <w:szCs w:val="24"/>
          <w:lang w:val="es-ES_tradnl" w:eastAsia="es-ES"/>
        </w:rPr>
      </w:pPr>
      <w:r>
        <w:rPr>
          <w:rFonts w:ascii="Arial" w:hAnsi="Arial" w:cs="Arial"/>
          <w:b/>
          <w:bCs/>
          <w:color w:val="000000"/>
          <w:sz w:val="24"/>
          <w:szCs w:val="24"/>
          <w:lang w:val="es-ES_tradnl" w:eastAsia="es-ES"/>
        </w:rPr>
        <w:t xml:space="preserve">9) </w:t>
      </w:r>
      <w:r>
        <w:rPr>
          <w:rFonts w:ascii="Arial" w:hAnsi="Arial" w:cs="Arial"/>
          <w:color w:val="000000"/>
          <w:sz w:val="24"/>
          <w:szCs w:val="24"/>
          <w:lang w:val="es-ES_tradnl" w:eastAsia="es-ES"/>
        </w:rPr>
        <w:t xml:space="preserve">que la firma INSUR SRL presenta la documentación solicitada mediante </w:t>
      </w:r>
      <w:r w:rsidR="00A937DE">
        <w:rPr>
          <w:rFonts w:ascii="Arial" w:hAnsi="Arial" w:cs="Arial"/>
          <w:color w:val="000000"/>
          <w:sz w:val="24"/>
          <w:szCs w:val="24"/>
          <w:lang w:val="es-ES_tradnl" w:eastAsia="es-ES"/>
        </w:rPr>
        <w:t>N</w:t>
      </w:r>
      <w:r>
        <w:rPr>
          <w:rFonts w:ascii="Arial" w:hAnsi="Arial" w:cs="Arial"/>
          <w:color w:val="000000"/>
          <w:sz w:val="24"/>
          <w:szCs w:val="24"/>
          <w:lang w:val="es-ES_tradnl" w:eastAsia="es-ES"/>
        </w:rPr>
        <w:t>ota de fecha 25</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09</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17 (el Currículum presentado no está firmado) y, la Comisión Asesora, en actuación de fecha 03</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10</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 xml:space="preserve">17, señala que comparte el informe técnico realizado (Resultando 7), y sugiere al Intendente adjudicar el objeto de la presente licitación a la firma antedicha, por un </w:t>
      </w:r>
      <w:r w:rsidR="00A937DE">
        <w:rPr>
          <w:rFonts w:ascii="Arial" w:hAnsi="Arial" w:cs="Arial"/>
          <w:color w:val="000000"/>
          <w:sz w:val="24"/>
          <w:szCs w:val="24"/>
          <w:lang w:val="es-ES_tradnl" w:eastAsia="es-ES"/>
        </w:rPr>
        <w:t>monto de $ 23:</w:t>
      </w:r>
      <w:r>
        <w:rPr>
          <w:rFonts w:ascii="Arial" w:hAnsi="Arial" w:cs="Arial"/>
          <w:color w:val="000000"/>
          <w:sz w:val="24"/>
          <w:szCs w:val="24"/>
          <w:lang w:val="es-ES_tradnl" w:eastAsia="es-ES"/>
        </w:rPr>
        <w:t>516.445</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 xml:space="preserve"> I</w:t>
      </w:r>
      <w:r w:rsidR="00A937DE">
        <w:rPr>
          <w:rFonts w:ascii="Arial" w:hAnsi="Arial" w:cs="Arial"/>
          <w:color w:val="000000"/>
          <w:sz w:val="24"/>
          <w:szCs w:val="24"/>
          <w:lang w:val="es-ES_tradnl" w:eastAsia="es-ES"/>
        </w:rPr>
        <w:t>VA</w:t>
      </w:r>
      <w:r>
        <w:rPr>
          <w:rFonts w:ascii="Arial" w:hAnsi="Arial" w:cs="Arial"/>
          <w:color w:val="000000"/>
          <w:sz w:val="24"/>
          <w:szCs w:val="24"/>
          <w:lang w:val="es-ES_tradnl" w:eastAsia="es-ES"/>
        </w:rPr>
        <w:t xml:space="preserve"> y Leyes Sociales incluidas;</w:t>
      </w:r>
    </w:p>
    <w:p w:rsidR="00A937DE" w:rsidRDefault="000F565E" w:rsidP="00A937DE">
      <w:pPr>
        <w:tabs>
          <w:tab w:val="left" w:pos="2127"/>
        </w:tabs>
        <w:spacing w:after="0" w:line="360" w:lineRule="auto"/>
        <w:ind w:firstLine="2410"/>
        <w:jc w:val="both"/>
        <w:rPr>
          <w:rFonts w:ascii="Arial" w:hAnsi="Arial" w:cs="Arial"/>
          <w:color w:val="000000"/>
          <w:sz w:val="24"/>
          <w:szCs w:val="24"/>
          <w:lang w:val="es-ES_tradnl" w:eastAsia="es-ES"/>
        </w:rPr>
      </w:pPr>
      <w:r>
        <w:rPr>
          <w:rFonts w:ascii="Arial" w:hAnsi="Arial" w:cs="Arial"/>
          <w:b/>
          <w:bCs/>
          <w:color w:val="000000"/>
          <w:sz w:val="24"/>
          <w:szCs w:val="24"/>
          <w:lang w:val="es-ES_tradnl" w:eastAsia="es-ES"/>
        </w:rPr>
        <w:t xml:space="preserve">10) </w:t>
      </w:r>
      <w:r>
        <w:rPr>
          <w:rFonts w:ascii="Arial" w:hAnsi="Arial" w:cs="Arial"/>
          <w:color w:val="000000"/>
          <w:sz w:val="24"/>
          <w:szCs w:val="24"/>
          <w:lang w:val="es-ES_tradnl" w:eastAsia="es-ES"/>
        </w:rPr>
        <w:t>que el Intendente, mediante Re</w:t>
      </w:r>
      <w:r w:rsidR="00A937DE">
        <w:rPr>
          <w:rFonts w:ascii="Arial" w:hAnsi="Arial" w:cs="Arial"/>
          <w:color w:val="000000"/>
          <w:sz w:val="24"/>
          <w:szCs w:val="24"/>
          <w:lang w:val="es-ES_tradnl" w:eastAsia="es-ES"/>
        </w:rPr>
        <w:t xml:space="preserve">solución </w:t>
      </w:r>
      <w:r w:rsidR="0062560C">
        <w:rPr>
          <w:rFonts w:ascii="Arial" w:hAnsi="Arial" w:cs="Arial"/>
          <w:color w:val="000000"/>
          <w:sz w:val="24"/>
          <w:szCs w:val="24"/>
          <w:lang w:val="es-ES_tradnl" w:eastAsia="es-ES"/>
        </w:rPr>
        <w:t xml:space="preserve">                 </w:t>
      </w:r>
      <w:r w:rsidR="00A937DE">
        <w:rPr>
          <w:rFonts w:ascii="Arial" w:hAnsi="Arial" w:cs="Arial"/>
          <w:color w:val="000000"/>
          <w:sz w:val="24"/>
          <w:szCs w:val="24"/>
          <w:lang w:val="es-ES_tradnl" w:eastAsia="es-ES"/>
        </w:rPr>
        <w:t>N° 8251/</w:t>
      </w:r>
      <w:r w:rsidR="0062560C">
        <w:rPr>
          <w:rFonts w:ascii="Arial" w:hAnsi="Arial" w:cs="Arial"/>
          <w:color w:val="000000"/>
          <w:sz w:val="24"/>
          <w:szCs w:val="24"/>
          <w:lang w:val="es-ES_tradnl" w:eastAsia="es-ES"/>
        </w:rPr>
        <w:t>20</w:t>
      </w:r>
      <w:r w:rsidR="00A937DE">
        <w:rPr>
          <w:rFonts w:ascii="Arial" w:hAnsi="Arial" w:cs="Arial"/>
          <w:color w:val="000000"/>
          <w:sz w:val="24"/>
          <w:szCs w:val="24"/>
          <w:lang w:val="es-ES_tradnl" w:eastAsia="es-ES"/>
        </w:rPr>
        <w:t>17 de fecha 04/</w:t>
      </w:r>
      <w:r>
        <w:rPr>
          <w:rFonts w:ascii="Arial" w:hAnsi="Arial" w:cs="Arial"/>
          <w:color w:val="000000"/>
          <w:sz w:val="24"/>
          <w:szCs w:val="24"/>
          <w:lang w:val="es-ES_tradnl" w:eastAsia="es-ES"/>
        </w:rPr>
        <w:t>10</w:t>
      </w:r>
      <w:r w:rsidR="00A937DE">
        <w:rPr>
          <w:rFonts w:ascii="Arial" w:hAnsi="Arial" w:cs="Arial"/>
          <w:color w:val="000000"/>
          <w:sz w:val="24"/>
          <w:szCs w:val="24"/>
          <w:lang w:val="es-ES_tradnl" w:eastAsia="es-ES"/>
        </w:rPr>
        <w:t>/17, dispuso adjudicar la L</w:t>
      </w:r>
      <w:r>
        <w:rPr>
          <w:rFonts w:ascii="Arial" w:hAnsi="Arial" w:cs="Arial"/>
          <w:color w:val="000000"/>
          <w:sz w:val="24"/>
          <w:szCs w:val="24"/>
          <w:lang w:val="es-ES_tradnl" w:eastAsia="es-ES"/>
        </w:rPr>
        <w:t>icitación en la forma y montos sugeridos por la Comisión Asesora y el Informe Técnico glosado a las actuaciones;</w:t>
      </w:r>
    </w:p>
    <w:p w:rsidR="000F565E" w:rsidRDefault="000F565E" w:rsidP="00A937DE">
      <w:pPr>
        <w:tabs>
          <w:tab w:val="left" w:pos="2127"/>
        </w:tabs>
        <w:spacing w:after="0" w:line="360" w:lineRule="auto"/>
        <w:ind w:firstLine="2410"/>
        <w:jc w:val="both"/>
        <w:rPr>
          <w:rFonts w:ascii="Arial" w:hAnsi="Arial" w:cs="Arial"/>
          <w:color w:val="000000"/>
          <w:spacing w:val="-3"/>
          <w:sz w:val="24"/>
          <w:szCs w:val="24"/>
          <w:lang w:val="es-ES_tradnl" w:eastAsia="es-ES"/>
        </w:rPr>
      </w:pPr>
      <w:r>
        <w:rPr>
          <w:rFonts w:ascii="Arial" w:hAnsi="Arial" w:cs="Arial"/>
          <w:b/>
          <w:bCs/>
          <w:color w:val="000000"/>
          <w:sz w:val="24"/>
          <w:szCs w:val="24"/>
          <w:lang w:val="es-ES_tradnl" w:eastAsia="es-ES"/>
        </w:rPr>
        <w:t xml:space="preserve">11) </w:t>
      </w:r>
      <w:r>
        <w:rPr>
          <w:rFonts w:ascii="Arial" w:hAnsi="Arial" w:cs="Arial"/>
          <w:color w:val="000000"/>
          <w:sz w:val="24"/>
          <w:szCs w:val="24"/>
          <w:lang w:val="es-ES_tradnl" w:eastAsia="es-ES"/>
        </w:rPr>
        <w:t>que el Contador Delegado remite las actuaciones en fecha 31</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10</w:t>
      </w:r>
      <w:r w:rsidR="00A937DE">
        <w:rPr>
          <w:rFonts w:ascii="Arial" w:hAnsi="Arial" w:cs="Arial"/>
          <w:color w:val="000000"/>
          <w:sz w:val="24"/>
          <w:szCs w:val="24"/>
          <w:lang w:val="es-ES_tradnl" w:eastAsia="es-ES"/>
        </w:rPr>
        <w:t>/</w:t>
      </w:r>
      <w:r>
        <w:rPr>
          <w:rFonts w:ascii="Arial" w:hAnsi="Arial" w:cs="Arial"/>
          <w:color w:val="000000"/>
          <w:sz w:val="24"/>
          <w:szCs w:val="24"/>
          <w:lang w:val="es-ES_tradnl" w:eastAsia="es-ES"/>
        </w:rPr>
        <w:t>17, señalando que la construcción del edificio prefabricado con destino a Polideportivo de Fray Marcos, será financiado por el Fideicomiso Florida 2030;</w:t>
      </w:r>
    </w:p>
    <w:p w:rsidR="0062560C" w:rsidRDefault="000F565E" w:rsidP="00A937DE">
      <w:pPr>
        <w:spacing w:after="0" w:line="360" w:lineRule="auto"/>
        <w:ind w:firstLine="709"/>
        <w:jc w:val="both"/>
        <w:rPr>
          <w:rFonts w:ascii="Arial" w:hAnsi="Arial" w:cs="Arial"/>
          <w:sz w:val="24"/>
          <w:szCs w:val="24"/>
          <w:lang w:val="es-ES" w:eastAsia="es-ES"/>
        </w:rPr>
      </w:pPr>
      <w:r>
        <w:rPr>
          <w:rFonts w:ascii="Arial" w:hAnsi="Arial" w:cs="Arial"/>
          <w:b/>
          <w:bCs/>
          <w:sz w:val="24"/>
          <w:szCs w:val="24"/>
          <w:lang w:val="es-ES" w:eastAsia="es-ES"/>
        </w:rPr>
        <w:t>CONSIDERANDO:</w:t>
      </w:r>
      <w:r>
        <w:rPr>
          <w:rFonts w:ascii="GothicPS" w:hAnsi="GothicPS" w:cs="GothicPS"/>
          <w:sz w:val="24"/>
          <w:szCs w:val="24"/>
          <w:lang w:val="es-ES" w:eastAsia="es-ES"/>
        </w:rPr>
        <w:t xml:space="preserve"> </w:t>
      </w:r>
      <w:r>
        <w:rPr>
          <w:rFonts w:ascii="Arial" w:hAnsi="Arial" w:cs="Arial"/>
          <w:b/>
          <w:bCs/>
          <w:color w:val="000000"/>
          <w:spacing w:val="-3"/>
          <w:sz w:val="24"/>
          <w:szCs w:val="24"/>
          <w:lang w:val="es-ES_tradnl" w:eastAsia="es-ES"/>
        </w:rPr>
        <w:t>1)</w:t>
      </w:r>
      <w:r>
        <w:rPr>
          <w:rFonts w:ascii="Arial" w:hAnsi="Arial" w:cs="Arial"/>
          <w:sz w:val="24"/>
          <w:szCs w:val="24"/>
          <w:lang w:val="es-ES" w:eastAsia="es-ES"/>
        </w:rPr>
        <w:t xml:space="preserve"> que la información y </w:t>
      </w:r>
      <w:r w:rsidR="00A937DE">
        <w:rPr>
          <w:rFonts w:ascii="Arial" w:hAnsi="Arial" w:cs="Arial"/>
          <w:sz w:val="24"/>
          <w:szCs w:val="24"/>
          <w:lang w:val="es-ES" w:eastAsia="es-ES"/>
        </w:rPr>
        <w:t>documentación relacionada en la</w:t>
      </w:r>
      <w:r>
        <w:rPr>
          <w:rFonts w:ascii="Arial" w:hAnsi="Arial" w:cs="Arial"/>
          <w:sz w:val="24"/>
          <w:szCs w:val="24"/>
          <w:lang w:val="es-ES" w:eastAsia="es-ES"/>
        </w:rPr>
        <w:t xml:space="preserve"> re</w:t>
      </w:r>
      <w:r w:rsidR="00A937DE">
        <w:rPr>
          <w:rFonts w:ascii="Arial" w:hAnsi="Arial" w:cs="Arial"/>
          <w:sz w:val="24"/>
          <w:szCs w:val="24"/>
          <w:lang w:val="es-ES" w:eastAsia="es-ES"/>
        </w:rPr>
        <w:t>querida a los oferentes en los N</w:t>
      </w:r>
      <w:r>
        <w:rPr>
          <w:rFonts w:ascii="Arial" w:hAnsi="Arial" w:cs="Arial"/>
          <w:sz w:val="24"/>
          <w:szCs w:val="24"/>
          <w:lang w:val="es-ES" w:eastAsia="es-ES"/>
        </w:rPr>
        <w:t xml:space="preserve">umerales </w:t>
      </w:r>
      <w:r>
        <w:rPr>
          <w:rFonts w:ascii="Arial" w:hAnsi="Arial" w:cs="Arial"/>
          <w:color w:val="000000"/>
          <w:sz w:val="24"/>
          <w:szCs w:val="24"/>
          <w:lang w:eastAsia="es-ES"/>
        </w:rPr>
        <w:t>II.2, y V.1 del pliego (Resultandos 1 y 2)</w:t>
      </w:r>
      <w:r>
        <w:rPr>
          <w:rFonts w:ascii="Arial" w:hAnsi="Arial" w:cs="Arial"/>
          <w:sz w:val="24"/>
          <w:szCs w:val="24"/>
          <w:lang w:val="es-ES" w:eastAsia="es-ES"/>
        </w:rPr>
        <w:t xml:space="preserve">, contraviene el </w:t>
      </w:r>
      <w:r w:rsidR="00A937DE">
        <w:rPr>
          <w:rFonts w:ascii="Arial" w:hAnsi="Arial" w:cs="Arial"/>
          <w:sz w:val="24"/>
          <w:szCs w:val="24"/>
          <w:lang w:val="es-ES" w:eastAsia="es-ES"/>
        </w:rPr>
        <w:t>A</w:t>
      </w:r>
      <w:r>
        <w:rPr>
          <w:rFonts w:ascii="Arial" w:hAnsi="Arial" w:cs="Arial"/>
          <w:sz w:val="24"/>
          <w:szCs w:val="24"/>
          <w:lang w:val="es-ES" w:eastAsia="es-ES"/>
        </w:rPr>
        <w:t xml:space="preserve">rtículo 48 del TOCAF, en tanto se trata de requisitos </w:t>
      </w:r>
      <w:r w:rsidR="0062560C">
        <w:rPr>
          <w:rFonts w:ascii="Arial" w:hAnsi="Arial" w:cs="Arial"/>
          <w:sz w:val="24"/>
          <w:szCs w:val="24"/>
          <w:lang w:val="es-ES" w:eastAsia="es-ES"/>
        </w:rPr>
        <w:t xml:space="preserve"> </w:t>
      </w:r>
      <w:r>
        <w:rPr>
          <w:rFonts w:ascii="Arial" w:hAnsi="Arial" w:cs="Arial"/>
          <w:sz w:val="24"/>
          <w:szCs w:val="24"/>
          <w:lang w:val="es-ES" w:eastAsia="es-ES"/>
        </w:rPr>
        <w:t xml:space="preserve">que no </w:t>
      </w:r>
      <w:r w:rsidR="0062560C">
        <w:rPr>
          <w:rFonts w:ascii="Arial" w:hAnsi="Arial" w:cs="Arial"/>
          <w:sz w:val="24"/>
          <w:szCs w:val="24"/>
          <w:lang w:val="es-ES" w:eastAsia="es-ES"/>
        </w:rPr>
        <w:t xml:space="preserve"> </w:t>
      </w:r>
      <w:r>
        <w:rPr>
          <w:rFonts w:ascii="Arial" w:hAnsi="Arial" w:cs="Arial"/>
          <w:sz w:val="24"/>
          <w:szCs w:val="24"/>
          <w:lang w:val="es-ES" w:eastAsia="es-ES"/>
        </w:rPr>
        <w:t xml:space="preserve">están directamente vinculados </w:t>
      </w:r>
      <w:r w:rsidR="0062560C">
        <w:rPr>
          <w:rFonts w:ascii="Arial" w:hAnsi="Arial" w:cs="Arial"/>
          <w:sz w:val="24"/>
          <w:szCs w:val="24"/>
          <w:lang w:val="es-ES" w:eastAsia="es-ES"/>
        </w:rPr>
        <w:t xml:space="preserve"> </w:t>
      </w:r>
      <w:r>
        <w:rPr>
          <w:rFonts w:ascii="Arial" w:hAnsi="Arial" w:cs="Arial"/>
          <w:sz w:val="24"/>
          <w:szCs w:val="24"/>
          <w:lang w:val="es-ES" w:eastAsia="es-ES"/>
        </w:rPr>
        <w:t xml:space="preserve">a la consideración del objeto </w:t>
      </w:r>
    </w:p>
    <w:p w:rsidR="0062560C" w:rsidRDefault="0062560C" w:rsidP="00A937DE">
      <w:pPr>
        <w:spacing w:after="0" w:line="360" w:lineRule="auto"/>
        <w:ind w:firstLine="709"/>
        <w:jc w:val="both"/>
        <w:rPr>
          <w:rFonts w:ascii="Arial" w:hAnsi="Arial" w:cs="Arial"/>
          <w:sz w:val="24"/>
          <w:szCs w:val="24"/>
          <w:lang w:val="es-ES" w:eastAsia="es-ES"/>
        </w:rPr>
      </w:pPr>
    </w:p>
    <w:p w:rsidR="000F565E" w:rsidRDefault="000F565E" w:rsidP="0062560C">
      <w:pPr>
        <w:spacing w:after="0" w:line="360" w:lineRule="auto"/>
        <w:jc w:val="both"/>
        <w:rPr>
          <w:rFonts w:ascii="Arial" w:hAnsi="Arial" w:cs="Arial"/>
          <w:sz w:val="24"/>
          <w:szCs w:val="24"/>
          <w:lang w:val="es-ES" w:eastAsia="es-ES"/>
        </w:rPr>
      </w:pPr>
      <w:proofErr w:type="gramStart"/>
      <w:r>
        <w:rPr>
          <w:rFonts w:ascii="Arial" w:hAnsi="Arial" w:cs="Arial"/>
          <w:sz w:val="24"/>
          <w:szCs w:val="24"/>
          <w:lang w:val="es-ES" w:eastAsia="es-ES"/>
        </w:rPr>
        <w:t>de</w:t>
      </w:r>
      <w:proofErr w:type="gramEnd"/>
      <w:r>
        <w:rPr>
          <w:rFonts w:ascii="Arial" w:hAnsi="Arial" w:cs="Arial"/>
          <w:sz w:val="24"/>
          <w:szCs w:val="24"/>
          <w:lang w:val="es-ES" w:eastAsia="es-ES"/>
        </w:rPr>
        <w:t xml:space="preserve"> la contratación o a la evaluación de la oferta, o se trata de información que consta en el RUPE;</w:t>
      </w:r>
    </w:p>
    <w:p w:rsidR="000D447E" w:rsidRDefault="000F565E" w:rsidP="000D447E">
      <w:pPr>
        <w:tabs>
          <w:tab w:val="left" w:pos="2268"/>
        </w:tabs>
        <w:spacing w:after="0" w:line="360" w:lineRule="auto"/>
        <w:ind w:firstLine="2694"/>
        <w:jc w:val="both"/>
        <w:rPr>
          <w:rFonts w:ascii="Arial" w:hAnsi="Arial" w:cs="Arial"/>
          <w:sz w:val="24"/>
          <w:szCs w:val="24"/>
          <w:lang w:val="es-ES" w:eastAsia="es-ES"/>
        </w:rPr>
      </w:pPr>
      <w:r>
        <w:rPr>
          <w:rFonts w:ascii="Arial" w:hAnsi="Arial" w:cs="Arial"/>
          <w:b/>
          <w:bCs/>
          <w:sz w:val="24"/>
          <w:szCs w:val="24"/>
          <w:lang w:val="es-ES" w:eastAsia="es-ES"/>
        </w:rPr>
        <w:t>2)</w:t>
      </w:r>
      <w:r w:rsidR="000D447E">
        <w:rPr>
          <w:rFonts w:ascii="Arial" w:hAnsi="Arial" w:cs="Arial"/>
          <w:sz w:val="24"/>
          <w:szCs w:val="24"/>
          <w:lang w:val="es-ES" w:eastAsia="es-ES"/>
        </w:rPr>
        <w:t xml:space="preserve"> que el Artículo 48 L</w:t>
      </w:r>
      <w:r>
        <w:rPr>
          <w:rFonts w:ascii="Arial" w:hAnsi="Arial" w:cs="Arial"/>
          <w:sz w:val="24"/>
          <w:szCs w:val="24"/>
          <w:lang w:val="es-ES" w:eastAsia="es-ES"/>
        </w:rPr>
        <w:t>it</w:t>
      </w:r>
      <w:r w:rsidR="0062560C">
        <w:rPr>
          <w:rFonts w:ascii="Arial" w:hAnsi="Arial" w:cs="Arial"/>
          <w:sz w:val="24"/>
          <w:szCs w:val="24"/>
          <w:lang w:val="es-ES" w:eastAsia="es-ES"/>
        </w:rPr>
        <w:t>.</w:t>
      </w:r>
      <w:r>
        <w:rPr>
          <w:rFonts w:ascii="Arial" w:hAnsi="Arial" w:cs="Arial"/>
          <w:sz w:val="24"/>
          <w:szCs w:val="24"/>
          <w:lang w:val="es-ES" w:eastAsia="es-ES"/>
        </w:rPr>
        <w:t xml:space="preserve"> C) </w:t>
      </w:r>
      <w:r w:rsidR="000D447E">
        <w:rPr>
          <w:rFonts w:ascii="Arial" w:hAnsi="Arial" w:cs="Arial"/>
          <w:sz w:val="24"/>
          <w:szCs w:val="24"/>
          <w:lang w:val="es-ES" w:eastAsia="es-ES"/>
        </w:rPr>
        <w:t xml:space="preserve">del </w:t>
      </w:r>
      <w:r>
        <w:rPr>
          <w:rFonts w:ascii="Arial" w:hAnsi="Arial" w:cs="Arial"/>
          <w:sz w:val="24"/>
          <w:szCs w:val="24"/>
          <w:lang w:val="es-ES" w:eastAsia="es-ES"/>
        </w:rPr>
        <w:t>TOCAF preceptúa que en el Pliego deben establecerse los principales factores que se tendrán en cuenta para evaluar las ofertas, así como la ponderación de cada uno, a efectos de determinar la calificación asignada a cada oferta;</w:t>
      </w:r>
    </w:p>
    <w:p w:rsidR="000D447E" w:rsidRDefault="000F565E" w:rsidP="000D447E">
      <w:pPr>
        <w:tabs>
          <w:tab w:val="left" w:pos="2268"/>
        </w:tabs>
        <w:spacing w:after="0" w:line="360" w:lineRule="auto"/>
        <w:ind w:firstLine="2694"/>
        <w:jc w:val="both"/>
        <w:rPr>
          <w:rFonts w:ascii="Arial" w:hAnsi="Arial" w:cs="Arial"/>
          <w:sz w:val="24"/>
          <w:szCs w:val="24"/>
          <w:lang w:val="es-ES" w:eastAsia="es-ES"/>
        </w:rPr>
      </w:pPr>
      <w:r>
        <w:rPr>
          <w:rFonts w:ascii="Arial" w:hAnsi="Arial" w:cs="Arial"/>
          <w:b/>
          <w:bCs/>
          <w:sz w:val="24"/>
          <w:szCs w:val="24"/>
          <w:lang w:val="es-ES" w:eastAsia="es-ES"/>
        </w:rPr>
        <w:t>3)</w:t>
      </w:r>
      <w:r>
        <w:rPr>
          <w:rFonts w:ascii="Arial" w:hAnsi="Arial" w:cs="Arial"/>
          <w:sz w:val="24"/>
          <w:szCs w:val="24"/>
          <w:lang w:val="es-ES" w:eastAsia="es-ES"/>
        </w:rPr>
        <w:t xml:space="preserve"> que en el caso, si bien para la ponderación de las ofertas se establecieron los factores que se tendrán en cuenta para la evaluación, no se establecieron parámetros objetivos para la determinación del puntaje a asignar en los distintos </w:t>
      </w:r>
      <w:proofErr w:type="spellStart"/>
      <w:r>
        <w:rPr>
          <w:rFonts w:ascii="Arial" w:hAnsi="Arial" w:cs="Arial"/>
          <w:sz w:val="24"/>
          <w:szCs w:val="24"/>
          <w:lang w:val="es-ES" w:eastAsia="es-ES"/>
        </w:rPr>
        <w:t>subfactores</w:t>
      </w:r>
      <w:proofErr w:type="spellEnd"/>
      <w:r>
        <w:rPr>
          <w:rFonts w:ascii="Arial" w:hAnsi="Arial" w:cs="Arial"/>
          <w:sz w:val="24"/>
          <w:szCs w:val="24"/>
          <w:lang w:val="es-ES" w:eastAsia="es-ES"/>
        </w:rPr>
        <w:t xml:space="preserve"> del factor Antecedentes, en los cuales sólo se establecen puntajes máximos (Resultando 4), contraviniendo el </w:t>
      </w:r>
      <w:r w:rsidR="000D447E">
        <w:rPr>
          <w:rFonts w:ascii="Arial" w:hAnsi="Arial" w:cs="Arial"/>
          <w:sz w:val="24"/>
          <w:szCs w:val="24"/>
          <w:lang w:val="es-ES" w:eastAsia="es-ES"/>
        </w:rPr>
        <w:t>A</w:t>
      </w:r>
      <w:r>
        <w:rPr>
          <w:rFonts w:ascii="Arial" w:hAnsi="Arial" w:cs="Arial"/>
          <w:sz w:val="24"/>
          <w:szCs w:val="24"/>
          <w:lang w:val="es-ES" w:eastAsia="es-ES"/>
        </w:rPr>
        <w:t xml:space="preserve">rtículo 48 </w:t>
      </w:r>
      <w:r w:rsidR="000D447E">
        <w:rPr>
          <w:rFonts w:ascii="Arial" w:hAnsi="Arial" w:cs="Arial"/>
          <w:sz w:val="24"/>
          <w:szCs w:val="24"/>
          <w:lang w:val="es-ES" w:eastAsia="es-ES"/>
        </w:rPr>
        <w:t>L</w:t>
      </w:r>
      <w:r>
        <w:rPr>
          <w:rFonts w:ascii="Arial" w:hAnsi="Arial" w:cs="Arial"/>
          <w:sz w:val="24"/>
          <w:szCs w:val="24"/>
          <w:lang w:val="es-ES" w:eastAsia="es-ES"/>
        </w:rPr>
        <w:t>i</w:t>
      </w:r>
      <w:r w:rsidR="0062560C">
        <w:rPr>
          <w:rFonts w:ascii="Arial" w:hAnsi="Arial" w:cs="Arial"/>
          <w:sz w:val="24"/>
          <w:szCs w:val="24"/>
          <w:lang w:val="es-ES" w:eastAsia="es-ES"/>
        </w:rPr>
        <w:t>t.</w:t>
      </w:r>
      <w:r>
        <w:rPr>
          <w:rFonts w:ascii="Arial" w:hAnsi="Arial" w:cs="Arial"/>
          <w:sz w:val="24"/>
          <w:szCs w:val="24"/>
          <w:lang w:val="es-ES" w:eastAsia="es-ES"/>
        </w:rPr>
        <w:t xml:space="preserve"> C) del TOCAF;</w:t>
      </w:r>
    </w:p>
    <w:p w:rsidR="000D447E" w:rsidRDefault="000F565E" w:rsidP="000D447E">
      <w:pPr>
        <w:tabs>
          <w:tab w:val="left" w:pos="2268"/>
        </w:tabs>
        <w:spacing w:after="0" w:line="360" w:lineRule="auto"/>
        <w:ind w:firstLine="2694"/>
        <w:jc w:val="both"/>
        <w:rPr>
          <w:rFonts w:ascii="Arial" w:hAnsi="Arial" w:cs="Arial"/>
          <w:color w:val="000000"/>
          <w:sz w:val="24"/>
          <w:szCs w:val="24"/>
          <w:lang w:eastAsia="es-ES"/>
        </w:rPr>
      </w:pPr>
      <w:r>
        <w:rPr>
          <w:rFonts w:ascii="Arial" w:hAnsi="Arial" w:cs="Arial"/>
          <w:b/>
          <w:bCs/>
          <w:sz w:val="24"/>
          <w:szCs w:val="24"/>
          <w:lang w:val="es-ES" w:eastAsia="es-ES"/>
        </w:rPr>
        <w:t>4)</w:t>
      </w:r>
      <w:r w:rsidR="000D447E">
        <w:rPr>
          <w:rFonts w:ascii="Arial" w:hAnsi="Arial" w:cs="Arial"/>
          <w:b/>
          <w:bCs/>
          <w:sz w:val="24"/>
          <w:szCs w:val="24"/>
          <w:lang w:val="es-ES" w:eastAsia="es-ES"/>
        </w:rPr>
        <w:t xml:space="preserve"> </w:t>
      </w:r>
      <w:r>
        <w:rPr>
          <w:rFonts w:ascii="Arial" w:hAnsi="Arial" w:cs="Arial"/>
          <w:sz w:val="24"/>
          <w:szCs w:val="24"/>
          <w:lang w:val="es-ES" w:eastAsia="es-ES"/>
        </w:rPr>
        <w:t xml:space="preserve">que en tanto los </w:t>
      </w:r>
      <w:r>
        <w:rPr>
          <w:rFonts w:ascii="Arial" w:hAnsi="Arial" w:cs="Arial"/>
          <w:color w:val="000000"/>
          <w:sz w:val="24"/>
          <w:szCs w:val="24"/>
          <w:lang w:eastAsia="es-ES"/>
        </w:rPr>
        <w:t xml:space="preserve">antecedentes de los profesionales actuantes eran uno de los </w:t>
      </w:r>
      <w:proofErr w:type="spellStart"/>
      <w:r>
        <w:rPr>
          <w:rFonts w:ascii="Arial" w:hAnsi="Arial" w:cs="Arial"/>
          <w:color w:val="000000"/>
          <w:sz w:val="24"/>
          <w:szCs w:val="24"/>
          <w:lang w:eastAsia="es-ES"/>
        </w:rPr>
        <w:t>subfactores</w:t>
      </w:r>
      <w:proofErr w:type="spellEnd"/>
      <w:r>
        <w:rPr>
          <w:rFonts w:ascii="Arial" w:hAnsi="Arial" w:cs="Arial"/>
          <w:color w:val="000000"/>
          <w:sz w:val="24"/>
          <w:szCs w:val="24"/>
          <w:lang w:eastAsia="es-ES"/>
        </w:rPr>
        <w:t xml:space="preserve"> a evaluar (Resultando 4), no debieron ser solicitados y recibidos a la firma INSUR SRL en forma posterior a la apertura de ofertas y del estudio técnico (Resultandos 8 y 9), asimismo teniendo presente el listado de la documentación faltante, la situación no encua</w:t>
      </w:r>
      <w:r w:rsidR="000D447E">
        <w:rPr>
          <w:rFonts w:ascii="Arial" w:hAnsi="Arial" w:cs="Arial"/>
          <w:color w:val="000000"/>
          <w:sz w:val="24"/>
          <w:szCs w:val="24"/>
          <w:lang w:eastAsia="es-ES"/>
        </w:rPr>
        <w:t>dra dentro de la previsión del A</w:t>
      </w:r>
      <w:r>
        <w:rPr>
          <w:rFonts w:ascii="Arial" w:hAnsi="Arial" w:cs="Arial"/>
          <w:color w:val="000000"/>
          <w:sz w:val="24"/>
          <w:szCs w:val="24"/>
          <w:lang w:eastAsia="es-ES"/>
        </w:rPr>
        <w:t>rtículo 65 del TOCAF, que establece que la Administración podrá otorgar a los proponentes un plazo máximo de dos días hábiles para salvar defectos, carencias formales o errores evidentes o de escasa importancia;</w:t>
      </w:r>
    </w:p>
    <w:p w:rsidR="000F565E" w:rsidRDefault="000F565E" w:rsidP="000D447E">
      <w:pPr>
        <w:tabs>
          <w:tab w:val="left" w:pos="2268"/>
        </w:tabs>
        <w:spacing w:after="0" w:line="360" w:lineRule="auto"/>
        <w:ind w:firstLine="2694"/>
        <w:jc w:val="both"/>
        <w:rPr>
          <w:rFonts w:ascii="Arial" w:hAnsi="Arial" w:cs="Arial"/>
          <w:sz w:val="24"/>
          <w:szCs w:val="24"/>
        </w:rPr>
      </w:pPr>
      <w:r>
        <w:rPr>
          <w:rFonts w:ascii="Arial" w:hAnsi="Arial" w:cs="Arial"/>
          <w:b/>
          <w:bCs/>
          <w:sz w:val="24"/>
          <w:szCs w:val="24"/>
          <w:lang w:val="es-ES" w:eastAsia="es-ES"/>
        </w:rPr>
        <w:t xml:space="preserve">5) </w:t>
      </w:r>
      <w:r>
        <w:rPr>
          <w:rFonts w:ascii="Arial" w:hAnsi="Arial" w:cs="Arial"/>
          <w:sz w:val="24"/>
          <w:szCs w:val="24"/>
        </w:rPr>
        <w:t>que el origen de los fondos con los que se afrontará el gasto constituye un concepto diferente al requerimiento legal de contar con disponibilidad presupuestal, no cumpliéndose con lo es</w:t>
      </w:r>
      <w:r w:rsidR="0062560C">
        <w:rPr>
          <w:rFonts w:ascii="Arial" w:hAnsi="Arial" w:cs="Arial"/>
          <w:sz w:val="24"/>
          <w:szCs w:val="24"/>
        </w:rPr>
        <w:t xml:space="preserve">tablecido en la Ordenanza Nº 27  del  </w:t>
      </w:r>
      <w:r>
        <w:rPr>
          <w:rFonts w:ascii="Arial" w:hAnsi="Arial" w:cs="Arial"/>
          <w:sz w:val="24"/>
          <w:szCs w:val="24"/>
        </w:rPr>
        <w:t>22</w:t>
      </w:r>
      <w:r w:rsidR="000D447E">
        <w:rPr>
          <w:rFonts w:ascii="Arial" w:hAnsi="Arial" w:cs="Arial"/>
          <w:sz w:val="24"/>
          <w:szCs w:val="24"/>
        </w:rPr>
        <w:t>/</w:t>
      </w:r>
      <w:r>
        <w:rPr>
          <w:rFonts w:ascii="Arial" w:hAnsi="Arial" w:cs="Arial"/>
          <w:sz w:val="24"/>
          <w:szCs w:val="24"/>
        </w:rPr>
        <w:t>05</w:t>
      </w:r>
      <w:r w:rsidR="000D447E">
        <w:rPr>
          <w:rFonts w:ascii="Arial" w:hAnsi="Arial" w:cs="Arial"/>
          <w:sz w:val="24"/>
          <w:szCs w:val="24"/>
        </w:rPr>
        <w:t>/</w:t>
      </w:r>
      <w:r>
        <w:rPr>
          <w:rFonts w:ascii="Arial" w:hAnsi="Arial" w:cs="Arial"/>
          <w:sz w:val="24"/>
          <w:szCs w:val="24"/>
        </w:rPr>
        <w:t>58, Art</w:t>
      </w:r>
      <w:r w:rsidR="000D447E">
        <w:rPr>
          <w:rFonts w:ascii="Arial" w:hAnsi="Arial" w:cs="Arial"/>
          <w:sz w:val="24"/>
          <w:szCs w:val="24"/>
        </w:rPr>
        <w:t>ículo</w:t>
      </w:r>
      <w:r>
        <w:rPr>
          <w:rFonts w:ascii="Arial" w:hAnsi="Arial" w:cs="Arial"/>
          <w:sz w:val="24"/>
          <w:szCs w:val="24"/>
        </w:rPr>
        <w:t xml:space="preserve"> 13</w:t>
      </w:r>
      <w:r w:rsidR="000D447E">
        <w:rPr>
          <w:rFonts w:ascii="Arial" w:hAnsi="Arial" w:cs="Arial"/>
          <w:sz w:val="24"/>
          <w:szCs w:val="24"/>
        </w:rPr>
        <w:t>,</w:t>
      </w:r>
      <w:r>
        <w:rPr>
          <w:rFonts w:ascii="Arial" w:hAnsi="Arial" w:cs="Arial"/>
          <w:sz w:val="24"/>
          <w:szCs w:val="24"/>
        </w:rPr>
        <w:t xml:space="preserve"> </w:t>
      </w:r>
      <w:r w:rsidR="000D447E">
        <w:rPr>
          <w:rFonts w:ascii="Arial" w:hAnsi="Arial" w:cs="Arial"/>
          <w:sz w:val="24"/>
          <w:szCs w:val="24"/>
        </w:rPr>
        <w:t>L</w:t>
      </w:r>
      <w:r>
        <w:rPr>
          <w:rFonts w:ascii="Arial" w:hAnsi="Arial" w:cs="Arial"/>
          <w:sz w:val="24"/>
          <w:szCs w:val="24"/>
        </w:rPr>
        <w:t>it</w:t>
      </w:r>
      <w:r w:rsidR="0062560C">
        <w:rPr>
          <w:rFonts w:ascii="Arial" w:hAnsi="Arial" w:cs="Arial"/>
          <w:sz w:val="24"/>
          <w:szCs w:val="24"/>
        </w:rPr>
        <w:t>.</w:t>
      </w:r>
      <w:r>
        <w:rPr>
          <w:rFonts w:ascii="Arial" w:hAnsi="Arial" w:cs="Arial"/>
          <w:sz w:val="24"/>
          <w:szCs w:val="24"/>
        </w:rPr>
        <w:t xml:space="preserve"> D);</w:t>
      </w:r>
    </w:p>
    <w:p w:rsidR="000F565E" w:rsidRDefault="000F565E" w:rsidP="000D447E">
      <w:pPr>
        <w:tabs>
          <w:tab w:val="left" w:pos="2268"/>
        </w:tabs>
        <w:spacing w:after="0" w:line="360" w:lineRule="auto"/>
        <w:ind w:firstLine="709"/>
        <w:jc w:val="both"/>
        <w:rPr>
          <w:rFonts w:ascii="Arial" w:hAnsi="Arial" w:cs="Arial"/>
          <w:sz w:val="24"/>
          <w:szCs w:val="24"/>
          <w:lang w:eastAsia="es-ES"/>
        </w:rPr>
      </w:pPr>
      <w:r>
        <w:rPr>
          <w:rFonts w:ascii="Arial" w:hAnsi="Arial" w:cs="Arial"/>
          <w:b/>
          <w:bCs/>
          <w:color w:val="000000"/>
          <w:sz w:val="24"/>
          <w:szCs w:val="24"/>
          <w:lang w:eastAsia="es-ES"/>
        </w:rPr>
        <w:t xml:space="preserve">ATENTO: </w:t>
      </w:r>
      <w:r>
        <w:rPr>
          <w:rFonts w:ascii="Arial" w:hAnsi="Arial" w:cs="Arial"/>
          <w:color w:val="000000"/>
          <w:sz w:val="24"/>
          <w:szCs w:val="24"/>
          <w:lang w:eastAsia="es-ES"/>
        </w:rPr>
        <w:t xml:space="preserve">a lo precedentemente expuesto y a lo </w:t>
      </w:r>
      <w:r>
        <w:rPr>
          <w:rFonts w:ascii="Arial" w:hAnsi="Arial" w:cs="Arial"/>
          <w:sz w:val="24"/>
          <w:szCs w:val="24"/>
          <w:lang w:eastAsia="es-ES"/>
        </w:rPr>
        <w:t>a lo dispuesto por el Art</w:t>
      </w:r>
      <w:r w:rsidR="000D447E">
        <w:rPr>
          <w:rFonts w:ascii="Arial" w:hAnsi="Arial" w:cs="Arial"/>
          <w:sz w:val="24"/>
          <w:szCs w:val="24"/>
          <w:lang w:eastAsia="es-ES"/>
        </w:rPr>
        <w:t>ículo</w:t>
      </w:r>
      <w:r>
        <w:rPr>
          <w:rFonts w:ascii="Arial" w:hAnsi="Arial" w:cs="Arial"/>
          <w:sz w:val="24"/>
          <w:szCs w:val="24"/>
          <w:lang w:eastAsia="es-ES"/>
        </w:rPr>
        <w:t xml:space="preserve"> 211 Lit</w:t>
      </w:r>
      <w:r w:rsidR="0062560C">
        <w:rPr>
          <w:rFonts w:ascii="Arial" w:hAnsi="Arial" w:cs="Arial"/>
          <w:sz w:val="24"/>
          <w:szCs w:val="24"/>
          <w:lang w:eastAsia="es-ES"/>
        </w:rPr>
        <w:t>.</w:t>
      </w:r>
      <w:r>
        <w:rPr>
          <w:rFonts w:ascii="Arial" w:hAnsi="Arial" w:cs="Arial"/>
          <w:sz w:val="24"/>
          <w:szCs w:val="24"/>
          <w:lang w:eastAsia="es-ES"/>
        </w:rPr>
        <w:t xml:space="preserve"> B) de la Constitución de la República;</w:t>
      </w:r>
    </w:p>
    <w:p w:rsidR="0062560C" w:rsidRDefault="0062560C" w:rsidP="00A937DE">
      <w:pPr>
        <w:spacing w:after="0" w:line="360" w:lineRule="auto"/>
        <w:ind w:firstLine="708"/>
        <w:jc w:val="center"/>
        <w:rPr>
          <w:rFonts w:ascii="Arial" w:hAnsi="Arial" w:cs="Arial"/>
          <w:b/>
          <w:bCs/>
          <w:iCs/>
          <w:sz w:val="24"/>
          <w:szCs w:val="24"/>
          <w:lang w:eastAsia="es-ES"/>
        </w:rPr>
      </w:pPr>
    </w:p>
    <w:p w:rsidR="0062560C" w:rsidRDefault="0062560C" w:rsidP="00A937DE">
      <w:pPr>
        <w:spacing w:after="0" w:line="360" w:lineRule="auto"/>
        <w:ind w:firstLine="708"/>
        <w:jc w:val="center"/>
        <w:rPr>
          <w:rFonts w:ascii="Arial" w:hAnsi="Arial" w:cs="Arial"/>
          <w:b/>
          <w:bCs/>
          <w:iCs/>
          <w:sz w:val="24"/>
          <w:szCs w:val="24"/>
          <w:lang w:eastAsia="es-ES"/>
        </w:rPr>
      </w:pPr>
    </w:p>
    <w:p w:rsidR="0062560C" w:rsidRDefault="0062560C" w:rsidP="00A937DE">
      <w:pPr>
        <w:spacing w:after="0" w:line="360" w:lineRule="auto"/>
        <w:ind w:firstLine="708"/>
        <w:jc w:val="center"/>
        <w:rPr>
          <w:rFonts w:ascii="Arial" w:hAnsi="Arial" w:cs="Arial"/>
          <w:b/>
          <w:bCs/>
          <w:iCs/>
          <w:sz w:val="24"/>
          <w:szCs w:val="24"/>
          <w:lang w:eastAsia="es-ES"/>
        </w:rPr>
      </w:pPr>
    </w:p>
    <w:p w:rsidR="000F565E" w:rsidRDefault="000F565E" w:rsidP="00A937DE">
      <w:pPr>
        <w:spacing w:after="0" w:line="360" w:lineRule="auto"/>
        <w:ind w:firstLine="708"/>
        <w:jc w:val="center"/>
        <w:rPr>
          <w:rFonts w:ascii="Arial" w:hAnsi="Arial" w:cs="Arial"/>
          <w:b/>
          <w:bCs/>
          <w:i/>
          <w:iCs/>
          <w:sz w:val="24"/>
          <w:szCs w:val="24"/>
          <w:lang w:val="es-ES_tradnl" w:eastAsia="es-ES"/>
        </w:rPr>
      </w:pPr>
      <w:r w:rsidRPr="000D447E">
        <w:rPr>
          <w:rFonts w:ascii="Arial" w:hAnsi="Arial" w:cs="Arial"/>
          <w:b/>
          <w:bCs/>
          <w:iCs/>
          <w:sz w:val="24"/>
          <w:szCs w:val="24"/>
          <w:lang w:eastAsia="es-ES"/>
        </w:rPr>
        <w:t>EL TRIBUNAL ACUERDA</w:t>
      </w:r>
    </w:p>
    <w:p w:rsidR="000D447E" w:rsidRDefault="000D447E" w:rsidP="000D447E">
      <w:pPr>
        <w:spacing w:after="0" w:line="360" w:lineRule="auto"/>
        <w:jc w:val="both"/>
        <w:rPr>
          <w:rFonts w:ascii="Arial" w:hAnsi="Arial" w:cs="Arial"/>
          <w:color w:val="000000"/>
          <w:sz w:val="24"/>
          <w:szCs w:val="24"/>
          <w:lang w:val="es-ES" w:eastAsia="es-ES"/>
        </w:rPr>
      </w:pPr>
      <w:r>
        <w:rPr>
          <w:rFonts w:ascii="Arial" w:hAnsi="Arial" w:cs="Arial"/>
          <w:b/>
          <w:color w:val="000000"/>
          <w:sz w:val="24"/>
          <w:szCs w:val="24"/>
          <w:lang w:val="es-ES_tradnl" w:eastAsia="es-ES"/>
        </w:rPr>
        <w:t xml:space="preserve">1) </w:t>
      </w:r>
      <w:r w:rsidR="000F565E">
        <w:rPr>
          <w:rFonts w:ascii="Arial" w:hAnsi="Arial" w:cs="Arial"/>
          <w:color w:val="000000"/>
          <w:sz w:val="24"/>
          <w:szCs w:val="24"/>
          <w:lang w:eastAsia="es-ES"/>
        </w:rPr>
        <w:t>Observar el gasto;</w:t>
      </w:r>
      <w:r>
        <w:rPr>
          <w:rFonts w:ascii="Arial" w:hAnsi="Arial" w:cs="Arial"/>
          <w:color w:val="000000"/>
          <w:sz w:val="24"/>
          <w:szCs w:val="24"/>
          <w:lang w:eastAsia="es-ES"/>
        </w:rPr>
        <w:t xml:space="preserve"> y</w:t>
      </w:r>
    </w:p>
    <w:p w:rsidR="000F565E" w:rsidRDefault="000D447E" w:rsidP="000D447E">
      <w:pPr>
        <w:spacing w:after="0" w:line="360" w:lineRule="auto"/>
        <w:jc w:val="both"/>
        <w:rPr>
          <w:rFonts w:ascii="Arial" w:hAnsi="Arial" w:cs="Arial"/>
          <w:color w:val="000000"/>
          <w:sz w:val="24"/>
          <w:szCs w:val="24"/>
          <w:lang w:val="es-ES" w:eastAsia="es-ES"/>
        </w:rPr>
      </w:pPr>
      <w:r>
        <w:rPr>
          <w:rFonts w:ascii="Arial" w:hAnsi="Arial" w:cs="Arial"/>
          <w:b/>
          <w:color w:val="000000"/>
          <w:sz w:val="24"/>
          <w:szCs w:val="24"/>
          <w:lang w:val="es-ES" w:eastAsia="es-ES"/>
        </w:rPr>
        <w:t xml:space="preserve">2) </w:t>
      </w:r>
      <w:r w:rsidR="000F565E">
        <w:rPr>
          <w:rFonts w:ascii="Arial" w:hAnsi="Arial" w:cs="Arial"/>
          <w:color w:val="000000"/>
          <w:sz w:val="24"/>
          <w:szCs w:val="24"/>
          <w:lang w:val="es-ES" w:eastAsia="es-ES"/>
        </w:rPr>
        <w:t>Devolver las actuaciones.</w:t>
      </w:r>
    </w:p>
    <w:p w:rsidR="000D447E" w:rsidRDefault="000D447E" w:rsidP="000D447E">
      <w:pPr>
        <w:spacing w:after="0" w:line="360" w:lineRule="auto"/>
        <w:jc w:val="both"/>
        <w:rPr>
          <w:rFonts w:ascii="Arial" w:hAnsi="Arial" w:cs="Arial"/>
          <w:color w:val="000000"/>
          <w:sz w:val="24"/>
          <w:szCs w:val="24"/>
          <w:lang w:val="es-ES" w:eastAsia="es-ES"/>
        </w:rPr>
      </w:pPr>
    </w:p>
    <w:sectPr w:rsidR="000D447E" w:rsidSect="0062560C">
      <w:footerReference w:type="default" r:id="rId8"/>
      <w:pgSz w:w="11906" w:h="16838"/>
      <w:pgMar w:top="3119"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5E" w:rsidRDefault="000F565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F565E" w:rsidRDefault="000F565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GothicPS">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7E" w:rsidRDefault="000D447E">
    <w:pPr>
      <w:pStyle w:val="Piedepgina"/>
      <w:jc w:val="center"/>
    </w:pPr>
    <w:r>
      <w:fldChar w:fldCharType="begin"/>
    </w:r>
    <w:r>
      <w:instrText>PAGE   \* MERGEFORMAT</w:instrText>
    </w:r>
    <w:r>
      <w:fldChar w:fldCharType="separate"/>
    </w:r>
    <w:r w:rsidR="0062560C">
      <w:rPr>
        <w:noProof/>
      </w:rPr>
      <w:t>1</w:t>
    </w:r>
    <w:r>
      <w:fldChar w:fldCharType="end"/>
    </w:r>
  </w:p>
  <w:p w:rsidR="000F565E" w:rsidRDefault="000F565E">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5E" w:rsidRDefault="000F565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F565E" w:rsidRDefault="000F565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84949432"/>
    <w:lvl w:ilvl="0" w:tplc="BBB0F50E">
      <w:start w:val="1"/>
      <w:numFmt w:val="decimal"/>
      <w:lvlText w:val="%1)"/>
      <w:lvlJc w:val="left"/>
      <w:pPr>
        <w:tabs>
          <w:tab w:val="num" w:pos="360"/>
        </w:tabs>
        <w:ind w:left="360" w:hanging="360"/>
      </w:pPr>
      <w:rPr>
        <w:rFonts w:ascii="Times New Roman" w:hAnsi="Times New Roman" w:cs="Times New Roman" w:hint="default"/>
        <w:b/>
        <w:bCs/>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
    <w:nsid w:val="3B5331DA"/>
    <w:multiLevelType w:val="hybridMultilevel"/>
    <w:tmpl w:val="4E928794"/>
    <w:lvl w:ilvl="0" w:tplc="67C46A10">
      <w:start w:val="8"/>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426E43C0"/>
    <w:multiLevelType w:val="hybridMultilevel"/>
    <w:tmpl w:val="793450BE"/>
    <w:lvl w:ilvl="0" w:tplc="21B0A4FE">
      <w:start w:val="1"/>
      <w:numFmt w:val="upperRoman"/>
      <w:pStyle w:val="Ttulo8"/>
      <w:lvlText w:val="%1."/>
      <w:lvlJc w:val="left"/>
      <w:pPr>
        <w:tabs>
          <w:tab w:val="num" w:pos="1004"/>
        </w:tabs>
        <w:ind w:left="1004"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0"/>
  </w:num>
  <w:num w:numId="3">
    <w:abstractNumId w:val="2"/>
  </w:num>
  <w:num w:numId="4">
    <w:abstractNumId w:val="2"/>
    <w:lvlOverride w:ilvl="0">
      <w:startOverride w:val="8"/>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5E"/>
    <w:rsid w:val="000D447E"/>
    <w:rsid w:val="000F565E"/>
    <w:rsid w:val="003261B8"/>
    <w:rsid w:val="0062560C"/>
    <w:rsid w:val="00A937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eastAsia="en-US"/>
    </w:rPr>
  </w:style>
  <w:style w:type="paragraph" w:styleId="Ttulo2">
    <w:name w:val="heading 2"/>
    <w:basedOn w:val="Normal"/>
    <w:next w:val="Normal"/>
    <w:link w:val="Ttulo2Car"/>
    <w:uiPriority w:val="99"/>
    <w:qFormat/>
    <w:pPr>
      <w:keepNext/>
      <w:keepLines/>
      <w:spacing w:before="200" w:after="0"/>
      <w:outlineLvl w:val="1"/>
    </w:pPr>
    <w:rPr>
      <w:rFonts w:ascii="Cambria" w:hAnsi="Cambria" w:cs="Cambria"/>
      <w:b/>
      <w:bCs/>
      <w:sz w:val="26"/>
      <w:szCs w:val="26"/>
    </w:rPr>
  </w:style>
  <w:style w:type="paragraph" w:styleId="Ttulo7">
    <w:name w:val="heading 7"/>
    <w:basedOn w:val="Normal"/>
    <w:next w:val="Normal"/>
    <w:link w:val="Ttulo7Car"/>
    <w:uiPriority w:val="99"/>
    <w:qFormat/>
    <w:pPr>
      <w:keepNext/>
      <w:keepLines/>
      <w:spacing w:before="200" w:after="0"/>
      <w:outlineLvl w:val="6"/>
    </w:pPr>
    <w:rPr>
      <w:rFonts w:ascii="Cambria" w:hAnsi="Cambria" w:cs="Cambria"/>
      <w:i/>
      <w:iCs/>
    </w:rPr>
  </w:style>
  <w:style w:type="paragraph" w:styleId="Ttulo8">
    <w:name w:val="heading 8"/>
    <w:basedOn w:val="Normal"/>
    <w:next w:val="Normal"/>
    <w:link w:val="Ttulo8Car"/>
    <w:uiPriority w:val="99"/>
    <w:qFormat/>
    <w:pPr>
      <w:keepNext/>
      <w:numPr>
        <w:numId w:val="1"/>
      </w:numPr>
      <w:spacing w:after="0" w:line="360" w:lineRule="auto"/>
      <w:jc w:val="both"/>
      <w:outlineLvl w:val="7"/>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rPr>
      <w:rFonts w:ascii="Cambria" w:hAnsi="Cambria" w:cs="Cambria"/>
      <w:b/>
      <w:bCs/>
      <w:color w:val="auto"/>
      <w:sz w:val="26"/>
      <w:szCs w:val="26"/>
    </w:rPr>
  </w:style>
  <w:style w:type="character" w:customStyle="1" w:styleId="Ttulo7Car">
    <w:name w:val="Título 7 Car"/>
    <w:link w:val="Ttulo7"/>
    <w:uiPriority w:val="99"/>
    <w:rPr>
      <w:rFonts w:ascii="Cambria" w:hAnsi="Cambria" w:cs="Cambria"/>
      <w:i/>
      <w:iCs/>
      <w:color w:val="auto"/>
    </w:rPr>
  </w:style>
  <w:style w:type="character" w:customStyle="1" w:styleId="Ttulo8Car">
    <w:name w:val="Título 8 Car"/>
    <w:link w:val="Ttulo8"/>
    <w:uiPriority w:val="99"/>
    <w:rPr>
      <w:rFonts w:ascii="Arial" w:hAnsi="Arial" w:cs="Arial"/>
      <w:b/>
      <w:bCs/>
      <w:color w:val="000000"/>
      <w:sz w:val="20"/>
      <w:szCs w:val="20"/>
      <w:lang w:val="es-ES_tradnl" w:eastAsia="es-ES"/>
    </w:rPr>
  </w:style>
  <w:style w:type="paragraph" w:styleId="Piedepgina">
    <w:name w:val="footer"/>
    <w:basedOn w:val="Normal"/>
    <w:link w:val="PiedepginaCar"/>
    <w:uiPriority w:val="99"/>
    <w:pPr>
      <w:tabs>
        <w:tab w:val="center" w:pos="4252"/>
        <w:tab w:val="right" w:pos="8504"/>
      </w:tabs>
      <w:spacing w:after="0" w:line="240" w:lineRule="auto"/>
    </w:pPr>
    <w:rPr>
      <w:rFonts w:ascii="GothicPS" w:hAnsi="GothicPS" w:cs="GothicPS"/>
      <w:b/>
      <w:bCs/>
      <w:color w:val="000000"/>
      <w:sz w:val="24"/>
      <w:szCs w:val="24"/>
      <w:lang w:val="es-ES" w:eastAsia="es-ES"/>
    </w:rPr>
  </w:style>
  <w:style w:type="character" w:customStyle="1" w:styleId="PiedepginaCar">
    <w:name w:val="Pie de página Car"/>
    <w:link w:val="Piedepgina"/>
    <w:uiPriority w:val="99"/>
    <w:rPr>
      <w:rFonts w:ascii="GothicPS" w:hAnsi="GothicPS" w:cs="GothicPS"/>
      <w:b/>
      <w:bCs/>
      <w:color w:val="000000"/>
      <w:sz w:val="20"/>
      <w:szCs w:val="20"/>
      <w:lang w:val="es-ES" w:eastAsia="es-ES"/>
    </w:rPr>
  </w:style>
  <w:style w:type="character" w:styleId="Hipervnculo">
    <w:name w:val="Hyperlink"/>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0D447E"/>
    <w:pPr>
      <w:tabs>
        <w:tab w:val="center" w:pos="4252"/>
        <w:tab w:val="right" w:pos="8504"/>
      </w:tabs>
    </w:pPr>
  </w:style>
  <w:style w:type="character" w:customStyle="1" w:styleId="EncabezadoCar">
    <w:name w:val="Encabezado Car"/>
    <w:link w:val="Encabezado"/>
    <w:uiPriority w:val="99"/>
    <w:rsid w:val="000D447E"/>
    <w:rPr>
      <w:rFonts w:ascii="Calibri" w:hAnsi="Calibri" w:cs="Calibri"/>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eastAsia="en-US"/>
    </w:rPr>
  </w:style>
  <w:style w:type="paragraph" w:styleId="Ttulo2">
    <w:name w:val="heading 2"/>
    <w:basedOn w:val="Normal"/>
    <w:next w:val="Normal"/>
    <w:link w:val="Ttulo2Car"/>
    <w:uiPriority w:val="99"/>
    <w:qFormat/>
    <w:pPr>
      <w:keepNext/>
      <w:keepLines/>
      <w:spacing w:before="200" w:after="0"/>
      <w:outlineLvl w:val="1"/>
    </w:pPr>
    <w:rPr>
      <w:rFonts w:ascii="Cambria" w:hAnsi="Cambria" w:cs="Cambria"/>
      <w:b/>
      <w:bCs/>
      <w:sz w:val="26"/>
      <w:szCs w:val="26"/>
    </w:rPr>
  </w:style>
  <w:style w:type="paragraph" w:styleId="Ttulo7">
    <w:name w:val="heading 7"/>
    <w:basedOn w:val="Normal"/>
    <w:next w:val="Normal"/>
    <w:link w:val="Ttulo7Car"/>
    <w:uiPriority w:val="99"/>
    <w:qFormat/>
    <w:pPr>
      <w:keepNext/>
      <w:keepLines/>
      <w:spacing w:before="200" w:after="0"/>
      <w:outlineLvl w:val="6"/>
    </w:pPr>
    <w:rPr>
      <w:rFonts w:ascii="Cambria" w:hAnsi="Cambria" w:cs="Cambria"/>
      <w:i/>
      <w:iCs/>
    </w:rPr>
  </w:style>
  <w:style w:type="paragraph" w:styleId="Ttulo8">
    <w:name w:val="heading 8"/>
    <w:basedOn w:val="Normal"/>
    <w:next w:val="Normal"/>
    <w:link w:val="Ttulo8Car"/>
    <w:uiPriority w:val="99"/>
    <w:qFormat/>
    <w:pPr>
      <w:keepNext/>
      <w:numPr>
        <w:numId w:val="1"/>
      </w:numPr>
      <w:spacing w:after="0" w:line="360" w:lineRule="auto"/>
      <w:jc w:val="both"/>
      <w:outlineLvl w:val="7"/>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rPr>
      <w:rFonts w:ascii="Cambria" w:hAnsi="Cambria" w:cs="Cambria"/>
      <w:b/>
      <w:bCs/>
      <w:color w:val="auto"/>
      <w:sz w:val="26"/>
      <w:szCs w:val="26"/>
    </w:rPr>
  </w:style>
  <w:style w:type="character" w:customStyle="1" w:styleId="Ttulo7Car">
    <w:name w:val="Título 7 Car"/>
    <w:link w:val="Ttulo7"/>
    <w:uiPriority w:val="99"/>
    <w:rPr>
      <w:rFonts w:ascii="Cambria" w:hAnsi="Cambria" w:cs="Cambria"/>
      <w:i/>
      <w:iCs/>
      <w:color w:val="auto"/>
    </w:rPr>
  </w:style>
  <w:style w:type="character" w:customStyle="1" w:styleId="Ttulo8Car">
    <w:name w:val="Título 8 Car"/>
    <w:link w:val="Ttulo8"/>
    <w:uiPriority w:val="99"/>
    <w:rPr>
      <w:rFonts w:ascii="Arial" w:hAnsi="Arial" w:cs="Arial"/>
      <w:b/>
      <w:bCs/>
      <w:color w:val="000000"/>
      <w:sz w:val="20"/>
      <w:szCs w:val="20"/>
      <w:lang w:val="es-ES_tradnl" w:eastAsia="es-ES"/>
    </w:rPr>
  </w:style>
  <w:style w:type="paragraph" w:styleId="Piedepgina">
    <w:name w:val="footer"/>
    <w:basedOn w:val="Normal"/>
    <w:link w:val="PiedepginaCar"/>
    <w:uiPriority w:val="99"/>
    <w:pPr>
      <w:tabs>
        <w:tab w:val="center" w:pos="4252"/>
        <w:tab w:val="right" w:pos="8504"/>
      </w:tabs>
      <w:spacing w:after="0" w:line="240" w:lineRule="auto"/>
    </w:pPr>
    <w:rPr>
      <w:rFonts w:ascii="GothicPS" w:hAnsi="GothicPS" w:cs="GothicPS"/>
      <w:b/>
      <w:bCs/>
      <w:color w:val="000000"/>
      <w:sz w:val="24"/>
      <w:szCs w:val="24"/>
      <w:lang w:val="es-ES" w:eastAsia="es-ES"/>
    </w:rPr>
  </w:style>
  <w:style w:type="character" w:customStyle="1" w:styleId="PiedepginaCar">
    <w:name w:val="Pie de página Car"/>
    <w:link w:val="Piedepgina"/>
    <w:uiPriority w:val="99"/>
    <w:rPr>
      <w:rFonts w:ascii="GothicPS" w:hAnsi="GothicPS" w:cs="GothicPS"/>
      <w:b/>
      <w:bCs/>
      <w:color w:val="000000"/>
      <w:sz w:val="20"/>
      <w:szCs w:val="20"/>
      <w:lang w:val="es-ES" w:eastAsia="es-ES"/>
    </w:rPr>
  </w:style>
  <w:style w:type="character" w:styleId="Hipervnculo">
    <w:name w:val="Hyperlink"/>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0D447E"/>
    <w:pPr>
      <w:tabs>
        <w:tab w:val="center" w:pos="4252"/>
        <w:tab w:val="right" w:pos="8504"/>
      </w:tabs>
    </w:pPr>
  </w:style>
  <w:style w:type="character" w:customStyle="1" w:styleId="EncabezadoCar">
    <w:name w:val="Encabezado Car"/>
    <w:link w:val="Encabezado"/>
    <w:uiPriority w:val="99"/>
    <w:rsid w:val="000D447E"/>
    <w:rPr>
      <w:rFonts w:ascii="Calibri" w:hAnsi="Calibri" w:cs="Calibri"/>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LICITACION  PUBLICA</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LICITACION  PUBLICA</dc:title>
  <dc:creator>tribunal1</dc:creator>
  <cp:lastModifiedBy>Tribunal1</cp:lastModifiedBy>
  <cp:revision>2</cp:revision>
  <dcterms:created xsi:type="dcterms:W3CDTF">2017-12-12T16:43:00Z</dcterms:created>
  <dcterms:modified xsi:type="dcterms:W3CDTF">2017-12-12T16:43:00Z</dcterms:modified>
</cp:coreProperties>
</file>