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E9" w:rsidRPr="00260CE9" w:rsidRDefault="00260CE9" w:rsidP="00260CE9">
      <w:pPr>
        <w:tabs>
          <w:tab w:val="center" w:pos="4253"/>
        </w:tabs>
        <w:suppressAutoHyphens/>
        <w:jc w:val="right"/>
        <w:rPr>
          <w:rFonts w:ascii="Arial" w:hAnsi="Arial" w:cs="Arial"/>
          <w:color w:val="auto"/>
          <w:sz w:val="28"/>
          <w:szCs w:val="28"/>
          <w:lang w:val="es-ES_tradnl"/>
        </w:rPr>
      </w:pPr>
      <w:r w:rsidRPr="00260CE9">
        <w:rPr>
          <w:rFonts w:ascii="Arial" w:hAnsi="Arial" w:cs="Arial"/>
          <w:color w:val="auto"/>
          <w:sz w:val="28"/>
          <w:szCs w:val="28"/>
          <w:lang w:val="es-ES_tradnl"/>
        </w:rPr>
        <w:t>RES. 37</w:t>
      </w:r>
      <w:r w:rsidR="00334498">
        <w:rPr>
          <w:rFonts w:ascii="Arial" w:hAnsi="Arial" w:cs="Arial"/>
          <w:color w:val="auto"/>
          <w:sz w:val="28"/>
          <w:szCs w:val="28"/>
          <w:lang w:val="es-ES_tradnl"/>
        </w:rPr>
        <w:t>79</w:t>
      </w:r>
      <w:r w:rsidRPr="00260CE9">
        <w:rPr>
          <w:rFonts w:ascii="Arial" w:hAnsi="Arial" w:cs="Arial"/>
          <w:color w:val="auto"/>
          <w:sz w:val="28"/>
          <w:szCs w:val="28"/>
          <w:lang w:val="es-ES_tradnl"/>
        </w:rPr>
        <w:t>/17</w:t>
      </w:r>
    </w:p>
    <w:p w:rsidR="00260CE9" w:rsidRPr="00260CE9" w:rsidRDefault="00260CE9" w:rsidP="00260CE9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szCs w:val="24"/>
          <w:lang w:val="es-ES_tradnl"/>
        </w:rPr>
      </w:pPr>
    </w:p>
    <w:p w:rsidR="00260CE9" w:rsidRPr="00260CE9" w:rsidRDefault="00260CE9" w:rsidP="00260CE9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  <w:r w:rsidRPr="00260CE9">
        <w:rPr>
          <w:rFonts w:ascii="Helvetica" w:hAnsi="Helvetica"/>
          <w:color w:val="auto"/>
          <w:szCs w:val="24"/>
          <w:lang w:val="es-ES_tradnl"/>
        </w:rPr>
        <w:t>RESOLUCION ADOPTADA POR EL</w:t>
      </w:r>
    </w:p>
    <w:p w:rsidR="00260CE9" w:rsidRPr="00260CE9" w:rsidRDefault="00260CE9" w:rsidP="00260CE9">
      <w:pPr>
        <w:tabs>
          <w:tab w:val="left" w:pos="-720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</w:p>
    <w:p w:rsidR="00260CE9" w:rsidRPr="00260CE9" w:rsidRDefault="00260CE9" w:rsidP="00260CE9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  <w:r w:rsidRPr="00260CE9">
        <w:rPr>
          <w:rFonts w:ascii="Helvetica" w:hAnsi="Helvetica"/>
          <w:color w:val="auto"/>
          <w:szCs w:val="24"/>
          <w:lang w:val="es-ES_tradnl"/>
        </w:rPr>
        <w:t>TRIBUNAL DE CUENTAS</w:t>
      </w:r>
    </w:p>
    <w:p w:rsidR="00260CE9" w:rsidRPr="00260CE9" w:rsidRDefault="00260CE9" w:rsidP="00260CE9">
      <w:pPr>
        <w:tabs>
          <w:tab w:val="left" w:pos="-720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</w:p>
    <w:p w:rsidR="00260CE9" w:rsidRPr="00260CE9" w:rsidRDefault="00260CE9" w:rsidP="00260CE9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  <w:r w:rsidRPr="00260CE9">
        <w:rPr>
          <w:rFonts w:ascii="Helvetica" w:hAnsi="Helvetica"/>
          <w:color w:val="auto"/>
          <w:szCs w:val="24"/>
          <w:lang w:val="es-ES_tradnl"/>
        </w:rPr>
        <w:t>EN SESION DE FECHA 15</w:t>
      </w:r>
      <w:r w:rsidRPr="00260CE9">
        <w:rPr>
          <w:rFonts w:ascii="Arial" w:hAnsi="Arial" w:cs="Arial"/>
          <w:color w:val="auto"/>
          <w:szCs w:val="24"/>
          <w:lang w:val="es-ES_tradnl"/>
        </w:rPr>
        <w:t xml:space="preserve"> DE NOVIEMBRE </w:t>
      </w:r>
      <w:r w:rsidRPr="00260CE9">
        <w:rPr>
          <w:rFonts w:ascii="Helvetica" w:hAnsi="Helvetica"/>
          <w:color w:val="auto"/>
          <w:szCs w:val="24"/>
          <w:lang w:val="es-ES_tradnl"/>
        </w:rPr>
        <w:t>DE 2017</w:t>
      </w:r>
    </w:p>
    <w:p w:rsidR="00260CE9" w:rsidRPr="00260CE9" w:rsidRDefault="00260CE9" w:rsidP="00260CE9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</w:p>
    <w:p w:rsidR="00260CE9" w:rsidRPr="00260CE9" w:rsidRDefault="00260CE9" w:rsidP="00260CE9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szCs w:val="24"/>
        </w:rPr>
      </w:pPr>
      <w:r w:rsidRPr="00260CE9">
        <w:rPr>
          <w:rFonts w:ascii="Helvetica" w:hAnsi="Helvetica"/>
          <w:color w:val="auto"/>
          <w:szCs w:val="24"/>
        </w:rPr>
        <w:t>(E. E. Nº 2017-17-1-000</w:t>
      </w:r>
      <w:r>
        <w:rPr>
          <w:rFonts w:ascii="Helvetica" w:hAnsi="Helvetica"/>
          <w:color w:val="auto"/>
          <w:szCs w:val="24"/>
        </w:rPr>
        <w:t>6900</w:t>
      </w:r>
      <w:r w:rsidRPr="00260CE9">
        <w:rPr>
          <w:rFonts w:ascii="Helvetica" w:hAnsi="Helvetica"/>
          <w:color w:val="auto"/>
          <w:szCs w:val="24"/>
        </w:rPr>
        <w:t xml:space="preserve">, </w:t>
      </w:r>
      <w:proofErr w:type="spellStart"/>
      <w:r w:rsidRPr="00260CE9">
        <w:rPr>
          <w:rFonts w:ascii="Helvetica" w:hAnsi="Helvetica"/>
          <w:color w:val="auto"/>
          <w:szCs w:val="24"/>
        </w:rPr>
        <w:t>Ent</w:t>
      </w:r>
      <w:proofErr w:type="spellEnd"/>
      <w:r w:rsidRPr="00260CE9">
        <w:rPr>
          <w:rFonts w:ascii="Helvetica" w:hAnsi="Helvetica"/>
          <w:color w:val="auto"/>
          <w:szCs w:val="24"/>
        </w:rPr>
        <w:t>. N° 5</w:t>
      </w:r>
      <w:r>
        <w:rPr>
          <w:rFonts w:ascii="Helvetica" w:hAnsi="Helvetica"/>
          <w:color w:val="auto"/>
          <w:szCs w:val="24"/>
        </w:rPr>
        <w:t>519</w:t>
      </w:r>
      <w:r w:rsidRPr="00260CE9">
        <w:rPr>
          <w:rFonts w:ascii="Helvetica" w:hAnsi="Helvetica"/>
          <w:color w:val="auto"/>
          <w:szCs w:val="24"/>
        </w:rPr>
        <w:t>/17)</w:t>
      </w:r>
    </w:p>
    <w:p w:rsidR="00260CE9" w:rsidRDefault="00260CE9" w:rsidP="003C1195">
      <w:pPr>
        <w:pStyle w:val="Ttulo2"/>
        <w:spacing w:line="360" w:lineRule="auto"/>
        <w:jc w:val="left"/>
      </w:pPr>
    </w:p>
    <w:p w:rsidR="00601E4F" w:rsidRDefault="00601E4F" w:rsidP="003C1195">
      <w:pPr>
        <w:jc w:val="right"/>
        <w:rPr>
          <w:rFonts w:ascii="Arial" w:hAnsi="Arial" w:cs="Arial"/>
          <w:b w:val="0"/>
          <w:bCs/>
        </w:rPr>
      </w:pPr>
    </w:p>
    <w:p w:rsidR="003C1195" w:rsidRDefault="003C1195" w:rsidP="00334498">
      <w:pPr>
        <w:pStyle w:val="Ttulo8"/>
        <w:numPr>
          <w:ilvl w:val="0"/>
          <w:numId w:val="0"/>
        </w:numPr>
        <w:ind w:firstLine="851"/>
        <w:rPr>
          <w:b w:val="0"/>
          <w:bCs/>
        </w:rPr>
      </w:pPr>
      <w:r>
        <w:t xml:space="preserve">VISTO: </w:t>
      </w:r>
      <w:r>
        <w:rPr>
          <w:b w:val="0"/>
        </w:rPr>
        <w:t>las actuaciones remitidas por el Contador Delegado en la Intendencia de Canelones, relacionadas con la Licitación Pública Nº</w:t>
      </w:r>
      <w:r>
        <w:rPr>
          <w:b w:val="0"/>
          <w:bCs/>
        </w:rPr>
        <w:t xml:space="preserve"> </w:t>
      </w:r>
      <w:r w:rsidR="009C6502">
        <w:rPr>
          <w:b w:val="0"/>
          <w:bCs/>
        </w:rPr>
        <w:t>16/2016, convocada para realización de obras de infraestructura vial e hidráulica en el oeste del Departamento de Canelones;</w:t>
      </w:r>
      <w:r w:rsidR="00EA0128">
        <w:rPr>
          <w:b w:val="0"/>
          <w:bCs/>
        </w:rPr>
        <w:t xml:space="preserve"> </w:t>
      </w:r>
    </w:p>
    <w:p w:rsidR="00D33128" w:rsidRDefault="003C1195" w:rsidP="00334498">
      <w:pPr>
        <w:pStyle w:val="Ttulo"/>
        <w:ind w:firstLine="851"/>
        <w:jc w:val="both"/>
        <w:rPr>
          <w:b w:val="0"/>
          <w:bCs/>
          <w:u w:val="none"/>
        </w:rPr>
      </w:pPr>
      <w:r>
        <w:rPr>
          <w:u w:val="none"/>
        </w:rPr>
        <w:t xml:space="preserve">RESULTANDO: 1) </w:t>
      </w:r>
      <w:r w:rsidR="00E61238">
        <w:rPr>
          <w:b w:val="0"/>
          <w:bCs/>
          <w:u w:val="none"/>
        </w:rPr>
        <w:t xml:space="preserve">que el Intendente, mediante Resolución </w:t>
      </w:r>
      <w:r w:rsidR="00334498">
        <w:rPr>
          <w:b w:val="0"/>
          <w:bCs/>
          <w:u w:val="none"/>
        </w:rPr>
        <w:t xml:space="preserve">                               </w:t>
      </w:r>
      <w:r w:rsidR="00E61238">
        <w:rPr>
          <w:b w:val="0"/>
          <w:bCs/>
          <w:u w:val="none"/>
        </w:rPr>
        <w:t>Nº 16/06868 de fecha 10.11.16, autorizó el llamado a licitación pública con el objeto referido, que comprende las localidades de Canelones, Santa Lucía, Los Cerrillos y Aguas Corrientes;</w:t>
      </w:r>
    </w:p>
    <w:p w:rsidR="00D33128" w:rsidRDefault="00D33128" w:rsidP="00334498">
      <w:pPr>
        <w:pStyle w:val="Ttulo"/>
        <w:tabs>
          <w:tab w:val="left" w:pos="1843"/>
        </w:tabs>
        <w:ind w:firstLine="2977"/>
        <w:jc w:val="both"/>
        <w:rPr>
          <w:b w:val="0"/>
          <w:bCs/>
          <w:u w:val="none"/>
        </w:rPr>
      </w:pPr>
      <w:r w:rsidRPr="0047777E">
        <w:rPr>
          <w:bCs/>
          <w:u w:val="none"/>
        </w:rPr>
        <w:t>2)</w:t>
      </w:r>
      <w:r>
        <w:rPr>
          <w:bCs/>
          <w:u w:val="none"/>
        </w:rPr>
        <w:t xml:space="preserve"> </w:t>
      </w:r>
      <w:r w:rsidR="00334498">
        <w:rPr>
          <w:b w:val="0"/>
          <w:bCs/>
          <w:u w:val="none"/>
        </w:rPr>
        <w:t>que de acuerdo al Artículo</w:t>
      </w:r>
      <w:r>
        <w:rPr>
          <w:b w:val="0"/>
          <w:bCs/>
          <w:u w:val="none"/>
        </w:rPr>
        <w:t xml:space="preserve"> 6 del Pliego aprobado y de conformidad con lo exigido en los </w:t>
      </w:r>
      <w:r w:rsidR="008C7C49">
        <w:rPr>
          <w:b w:val="0"/>
          <w:bCs/>
          <w:u w:val="none"/>
        </w:rPr>
        <w:t>A</w:t>
      </w:r>
      <w:r>
        <w:rPr>
          <w:b w:val="0"/>
          <w:bCs/>
          <w:u w:val="none"/>
        </w:rPr>
        <w:t>rtículos 4 y 9.3 se</w:t>
      </w:r>
      <w:r w:rsidRPr="002379B7">
        <w:rPr>
          <w:rFonts w:cs="Arial"/>
          <w:b w:val="0"/>
          <w:u w:val="none"/>
          <w:lang w:val="es-ES_tradnl"/>
        </w:rPr>
        <w:t xml:space="preserve"> deberá adjuntar</w:t>
      </w:r>
      <w:r>
        <w:rPr>
          <w:rFonts w:cs="Arial"/>
          <w:b w:val="0"/>
          <w:u w:val="none"/>
          <w:lang w:val="es-ES_tradnl"/>
        </w:rPr>
        <w:t xml:space="preserve"> a la oferta antecedentes legales relativos a la constitución, naturaleza jurídica y nacionalidad de la empresa o consorcio proponente, </w:t>
      </w:r>
      <w:r w:rsidRPr="002379B7">
        <w:rPr>
          <w:rFonts w:cs="Arial"/>
          <w:b w:val="0"/>
          <w:u w:val="none"/>
          <w:lang w:val="es-ES_tradnl"/>
        </w:rPr>
        <w:t xml:space="preserve"> </w:t>
      </w:r>
      <w:r>
        <w:rPr>
          <w:rFonts w:cs="Arial"/>
          <w:b w:val="0"/>
          <w:u w:val="none"/>
          <w:lang w:val="es-ES_tradnl"/>
        </w:rPr>
        <w:t>así como recibo de compra del pliego</w:t>
      </w:r>
      <w:r>
        <w:rPr>
          <w:b w:val="0"/>
          <w:bCs/>
          <w:u w:val="none"/>
        </w:rPr>
        <w:t xml:space="preserve">; </w:t>
      </w:r>
    </w:p>
    <w:p w:rsidR="00CB5B42" w:rsidRDefault="00D33128" w:rsidP="008C7C49">
      <w:pPr>
        <w:pStyle w:val="Ttulo"/>
        <w:tabs>
          <w:tab w:val="left" w:pos="1843"/>
        </w:tabs>
        <w:ind w:firstLine="2977"/>
        <w:jc w:val="both"/>
        <w:rPr>
          <w:b w:val="0"/>
          <w:bCs/>
          <w:u w:val="none"/>
        </w:rPr>
      </w:pPr>
      <w:r w:rsidRPr="00D33128">
        <w:rPr>
          <w:bCs/>
          <w:u w:val="none"/>
        </w:rPr>
        <w:t>3)</w:t>
      </w:r>
      <w:r>
        <w:rPr>
          <w:bCs/>
          <w:u w:val="none"/>
        </w:rPr>
        <w:t xml:space="preserve"> </w:t>
      </w:r>
      <w:r>
        <w:rPr>
          <w:b w:val="0"/>
          <w:bCs/>
          <w:u w:val="none"/>
        </w:rPr>
        <w:t xml:space="preserve">que </w:t>
      </w:r>
      <w:r w:rsidR="00CB5B42">
        <w:rPr>
          <w:b w:val="0"/>
          <w:bCs/>
          <w:u w:val="none"/>
        </w:rPr>
        <w:t xml:space="preserve">el </w:t>
      </w:r>
      <w:r w:rsidR="008C7C49">
        <w:rPr>
          <w:b w:val="0"/>
          <w:bCs/>
          <w:u w:val="none"/>
        </w:rPr>
        <w:t>A</w:t>
      </w:r>
      <w:r w:rsidR="00CB5B42">
        <w:rPr>
          <w:b w:val="0"/>
          <w:bCs/>
          <w:u w:val="none"/>
        </w:rPr>
        <w:t>rt</w:t>
      </w:r>
      <w:r w:rsidR="008C7C49">
        <w:rPr>
          <w:b w:val="0"/>
          <w:bCs/>
          <w:u w:val="none"/>
        </w:rPr>
        <w:t>ículo</w:t>
      </w:r>
      <w:r w:rsidR="00CB5B42">
        <w:rPr>
          <w:b w:val="0"/>
          <w:bCs/>
          <w:u w:val="none"/>
        </w:rPr>
        <w:t xml:space="preserve"> 11 del Pliego establece que la Intendencia calificará los Antecedentes</w:t>
      </w:r>
      <w:r w:rsidR="00223C12">
        <w:rPr>
          <w:b w:val="0"/>
          <w:bCs/>
          <w:u w:val="none"/>
        </w:rPr>
        <w:t xml:space="preserve"> (Ca)</w:t>
      </w:r>
      <w:r w:rsidR="00CB5B42">
        <w:rPr>
          <w:b w:val="0"/>
          <w:bCs/>
          <w:u w:val="none"/>
        </w:rPr>
        <w:t xml:space="preserve"> y las Ofertas Económicas</w:t>
      </w:r>
      <w:r w:rsidR="00223C12">
        <w:rPr>
          <w:b w:val="0"/>
          <w:bCs/>
          <w:u w:val="none"/>
        </w:rPr>
        <w:t xml:space="preserve"> (Ce)</w:t>
      </w:r>
      <w:r w:rsidR="00CB5B42">
        <w:rPr>
          <w:b w:val="0"/>
          <w:bCs/>
          <w:u w:val="none"/>
        </w:rPr>
        <w:t xml:space="preserve"> por separado en forma previa a calcular la calificación final</w:t>
      </w:r>
      <w:r w:rsidR="00223C12">
        <w:rPr>
          <w:b w:val="0"/>
          <w:bCs/>
          <w:u w:val="none"/>
        </w:rPr>
        <w:t xml:space="preserve"> (Cf)</w:t>
      </w:r>
      <w:r w:rsidR="00CB5B42">
        <w:rPr>
          <w:b w:val="0"/>
          <w:bCs/>
          <w:u w:val="none"/>
        </w:rPr>
        <w:t>,</w:t>
      </w:r>
      <w:r w:rsidR="00223C12">
        <w:rPr>
          <w:b w:val="0"/>
          <w:bCs/>
          <w:u w:val="none"/>
        </w:rPr>
        <w:t xml:space="preserve"> Se calificará las ofertas económicas aceptadas por su puntaje en la Calificación de Antecedentes. P</w:t>
      </w:r>
      <w:r w:rsidR="00CB5B42">
        <w:rPr>
          <w:b w:val="0"/>
          <w:bCs/>
          <w:u w:val="none"/>
        </w:rPr>
        <w:t xml:space="preserve">ara el factor </w:t>
      </w:r>
      <w:r w:rsidR="006A3E00">
        <w:rPr>
          <w:b w:val="0"/>
          <w:bCs/>
          <w:u w:val="none"/>
        </w:rPr>
        <w:t>A</w:t>
      </w:r>
      <w:r w:rsidR="00CB5B42">
        <w:rPr>
          <w:b w:val="0"/>
          <w:bCs/>
          <w:u w:val="none"/>
        </w:rPr>
        <w:t>ntecedentes</w:t>
      </w:r>
      <w:r w:rsidR="00223C12">
        <w:rPr>
          <w:b w:val="0"/>
          <w:bCs/>
          <w:u w:val="none"/>
        </w:rPr>
        <w:t xml:space="preserve"> se valorarán de 0 a 100 puntos con los puntajes máximos indicados</w:t>
      </w:r>
      <w:r w:rsidR="006A3E00">
        <w:rPr>
          <w:b w:val="0"/>
          <w:bCs/>
          <w:u w:val="none"/>
        </w:rPr>
        <w:t>:</w:t>
      </w:r>
      <w:r w:rsidR="00CB5B42">
        <w:rPr>
          <w:b w:val="0"/>
          <w:bCs/>
          <w:u w:val="none"/>
        </w:rPr>
        <w:t xml:space="preserve"> máximo de 10 puntos para el </w:t>
      </w:r>
      <w:proofErr w:type="spellStart"/>
      <w:r w:rsidR="00CB5B42">
        <w:rPr>
          <w:b w:val="0"/>
          <w:bCs/>
          <w:u w:val="none"/>
        </w:rPr>
        <w:t>subfactor</w:t>
      </w:r>
      <w:proofErr w:type="spellEnd"/>
      <w:r w:rsidR="00CB5B42">
        <w:rPr>
          <w:b w:val="0"/>
          <w:bCs/>
          <w:u w:val="none"/>
        </w:rPr>
        <w:t xml:space="preserve"> </w:t>
      </w:r>
      <w:r w:rsidR="006A3E00">
        <w:rPr>
          <w:b w:val="0"/>
          <w:bCs/>
          <w:u w:val="none"/>
        </w:rPr>
        <w:t>P</w:t>
      </w:r>
      <w:r w:rsidR="00CB5B42">
        <w:rPr>
          <w:b w:val="0"/>
          <w:bCs/>
          <w:u w:val="none"/>
        </w:rPr>
        <w:t xml:space="preserve">ersonal técnico y </w:t>
      </w:r>
      <w:proofErr w:type="spellStart"/>
      <w:r w:rsidR="00CB5B42">
        <w:rPr>
          <w:b w:val="0"/>
          <w:bCs/>
          <w:u w:val="none"/>
        </w:rPr>
        <w:t>semitécnico</w:t>
      </w:r>
      <w:proofErr w:type="spellEnd"/>
      <w:r w:rsidR="00CB5B42">
        <w:rPr>
          <w:b w:val="0"/>
          <w:bCs/>
          <w:u w:val="none"/>
        </w:rPr>
        <w:t xml:space="preserve"> propuesto, máximo de 20 puntos</w:t>
      </w:r>
      <w:r w:rsidR="006A3E00">
        <w:rPr>
          <w:b w:val="0"/>
          <w:bCs/>
          <w:u w:val="none"/>
        </w:rPr>
        <w:t>,</w:t>
      </w:r>
      <w:r w:rsidR="00CB5B42">
        <w:rPr>
          <w:b w:val="0"/>
          <w:bCs/>
          <w:u w:val="none"/>
        </w:rPr>
        <w:t xml:space="preserve"> para </w:t>
      </w:r>
      <w:proofErr w:type="spellStart"/>
      <w:r w:rsidR="00CB5B42">
        <w:rPr>
          <w:b w:val="0"/>
          <w:bCs/>
          <w:u w:val="none"/>
        </w:rPr>
        <w:t>subfactor</w:t>
      </w:r>
      <w:proofErr w:type="spellEnd"/>
      <w:r w:rsidR="00CB5B42">
        <w:rPr>
          <w:b w:val="0"/>
          <w:bCs/>
          <w:u w:val="none"/>
        </w:rPr>
        <w:t xml:space="preserve"> </w:t>
      </w:r>
      <w:r w:rsidR="006A3E00">
        <w:rPr>
          <w:b w:val="0"/>
          <w:bCs/>
          <w:u w:val="none"/>
        </w:rPr>
        <w:t>E</w:t>
      </w:r>
      <w:r w:rsidR="00CB5B42">
        <w:rPr>
          <w:b w:val="0"/>
          <w:bCs/>
          <w:u w:val="none"/>
        </w:rPr>
        <w:t xml:space="preserve">quipo </w:t>
      </w:r>
      <w:r w:rsidR="006A3E00">
        <w:rPr>
          <w:b w:val="0"/>
          <w:bCs/>
          <w:u w:val="none"/>
        </w:rPr>
        <w:t>S</w:t>
      </w:r>
      <w:r w:rsidR="00CB5B42">
        <w:rPr>
          <w:b w:val="0"/>
          <w:bCs/>
          <w:u w:val="none"/>
        </w:rPr>
        <w:t xml:space="preserve">uficiente en cantidad y calidad para ejecutar los trabajos, </w:t>
      </w:r>
      <w:r w:rsidR="00CB5B42">
        <w:rPr>
          <w:b w:val="0"/>
          <w:bCs/>
          <w:u w:val="none"/>
        </w:rPr>
        <w:lastRenderedPageBreak/>
        <w:t xml:space="preserve">máximo de 40 puntos para </w:t>
      </w:r>
      <w:r w:rsidR="006A3E00">
        <w:rPr>
          <w:b w:val="0"/>
          <w:bCs/>
          <w:u w:val="none"/>
        </w:rPr>
        <w:t>A</w:t>
      </w:r>
      <w:r w:rsidR="00CB5B42">
        <w:rPr>
          <w:b w:val="0"/>
          <w:bCs/>
          <w:u w:val="none"/>
        </w:rPr>
        <w:t>ntecedentes en obras similares a la licitada y</w:t>
      </w:r>
      <w:r w:rsidR="006A3E00">
        <w:rPr>
          <w:b w:val="0"/>
          <w:bCs/>
          <w:u w:val="none"/>
        </w:rPr>
        <w:t>,</w:t>
      </w:r>
      <w:r w:rsidR="00CB5B42">
        <w:rPr>
          <w:b w:val="0"/>
          <w:bCs/>
          <w:u w:val="none"/>
        </w:rPr>
        <w:t xml:space="preserve"> máximo de 30 puntos para </w:t>
      </w:r>
      <w:r w:rsidR="006A3E00">
        <w:rPr>
          <w:b w:val="0"/>
          <w:bCs/>
          <w:u w:val="none"/>
        </w:rPr>
        <w:t>S</w:t>
      </w:r>
      <w:r w:rsidR="00CB5B42">
        <w:rPr>
          <w:b w:val="0"/>
          <w:bCs/>
          <w:u w:val="none"/>
        </w:rPr>
        <w:t>ituación y capacidad económico financiera;</w:t>
      </w:r>
    </w:p>
    <w:p w:rsidR="0061278D" w:rsidRDefault="00D33128" w:rsidP="008C7C49">
      <w:pPr>
        <w:pStyle w:val="Ttulo"/>
        <w:tabs>
          <w:tab w:val="left" w:pos="1843"/>
        </w:tabs>
        <w:ind w:firstLine="2977"/>
        <w:jc w:val="both"/>
        <w:rPr>
          <w:b w:val="0"/>
          <w:bCs/>
          <w:u w:val="none"/>
        </w:rPr>
      </w:pPr>
      <w:r>
        <w:rPr>
          <w:bCs/>
          <w:u w:val="none"/>
        </w:rPr>
        <w:t>4</w:t>
      </w:r>
      <w:r w:rsidR="0061278D" w:rsidRPr="0061278D">
        <w:rPr>
          <w:bCs/>
          <w:u w:val="none"/>
        </w:rPr>
        <w:t>)</w:t>
      </w:r>
      <w:r w:rsidR="0061278D">
        <w:rPr>
          <w:bCs/>
          <w:u w:val="none"/>
        </w:rPr>
        <w:t xml:space="preserve"> </w:t>
      </w:r>
      <w:r w:rsidR="0061278D">
        <w:rPr>
          <w:b w:val="0"/>
          <w:bCs/>
          <w:u w:val="none"/>
        </w:rPr>
        <w:t xml:space="preserve">que se realizó publicidad de la convocatoria en el Sitio Web de Compras y Contrataciones Estatales en fecha 24.11.16, y en el Diario Oficial en fecha </w:t>
      </w:r>
      <w:r w:rsidR="007B668B">
        <w:rPr>
          <w:b w:val="0"/>
          <w:bCs/>
          <w:u w:val="none"/>
        </w:rPr>
        <w:t>02.12.16;</w:t>
      </w:r>
    </w:p>
    <w:p w:rsidR="007B668B" w:rsidRDefault="00D33128" w:rsidP="008C7C49">
      <w:pPr>
        <w:pStyle w:val="Ttulo"/>
        <w:tabs>
          <w:tab w:val="left" w:pos="1843"/>
        </w:tabs>
        <w:ind w:firstLine="2977"/>
        <w:jc w:val="both"/>
        <w:rPr>
          <w:b w:val="0"/>
          <w:bCs/>
          <w:u w:val="none"/>
        </w:rPr>
      </w:pPr>
      <w:r>
        <w:rPr>
          <w:bCs/>
          <w:u w:val="none"/>
        </w:rPr>
        <w:t>5</w:t>
      </w:r>
      <w:r w:rsidR="007B668B" w:rsidRPr="007B668B">
        <w:rPr>
          <w:bCs/>
          <w:u w:val="none"/>
        </w:rPr>
        <w:t>)</w:t>
      </w:r>
      <w:r w:rsidR="007B668B">
        <w:rPr>
          <w:bCs/>
          <w:u w:val="none"/>
        </w:rPr>
        <w:t xml:space="preserve"> </w:t>
      </w:r>
      <w:r w:rsidR="007B668B">
        <w:rPr>
          <w:b w:val="0"/>
          <w:bCs/>
          <w:u w:val="none"/>
        </w:rPr>
        <w:t>que el acto de apertura se desarrolló el 14.12.16, y de dicho acto surgieron 6 ofertas, correspondientes a las siguientes firmas</w:t>
      </w:r>
      <w:r w:rsidR="00D31D46">
        <w:rPr>
          <w:b w:val="0"/>
          <w:bCs/>
          <w:u w:val="none"/>
        </w:rPr>
        <w:t xml:space="preserve"> que cotizan los siguientes precios</w:t>
      </w:r>
      <w:r w:rsidR="007B668B">
        <w:rPr>
          <w:b w:val="0"/>
          <w:bCs/>
          <w:u w:val="none"/>
        </w:rPr>
        <w:t>: MOLINSUR S.A.</w:t>
      </w:r>
      <w:r w:rsidR="00784F9F">
        <w:rPr>
          <w:b w:val="0"/>
          <w:bCs/>
          <w:u w:val="none"/>
        </w:rPr>
        <w:t xml:space="preserve"> $ 260.074.984,33</w:t>
      </w:r>
      <w:r w:rsidR="007B668B">
        <w:rPr>
          <w:b w:val="0"/>
          <w:bCs/>
          <w:u w:val="none"/>
        </w:rPr>
        <w:t>, GRINOR S.A</w:t>
      </w:r>
      <w:r w:rsidR="00784F9F">
        <w:rPr>
          <w:b w:val="0"/>
          <w:bCs/>
          <w:u w:val="none"/>
        </w:rPr>
        <w:t xml:space="preserve"> $</w:t>
      </w:r>
      <w:r w:rsidR="008C7C49">
        <w:rPr>
          <w:b w:val="0"/>
          <w:bCs/>
          <w:u w:val="none"/>
        </w:rPr>
        <w:t xml:space="preserve"> </w:t>
      </w:r>
      <w:r w:rsidR="00784F9F">
        <w:rPr>
          <w:b w:val="0"/>
          <w:bCs/>
          <w:u w:val="none"/>
        </w:rPr>
        <w:t>251.728.886</w:t>
      </w:r>
      <w:r w:rsidR="007B668B">
        <w:rPr>
          <w:b w:val="0"/>
          <w:bCs/>
          <w:u w:val="none"/>
        </w:rPr>
        <w:t>, INCOCI S.A.</w:t>
      </w:r>
      <w:r w:rsidR="00784F9F">
        <w:rPr>
          <w:b w:val="0"/>
          <w:bCs/>
          <w:u w:val="none"/>
        </w:rPr>
        <w:t xml:space="preserve"> $</w:t>
      </w:r>
      <w:r w:rsidR="008C7C49">
        <w:rPr>
          <w:b w:val="0"/>
          <w:bCs/>
          <w:u w:val="none"/>
        </w:rPr>
        <w:t xml:space="preserve"> </w:t>
      </w:r>
      <w:r w:rsidR="00784F9F">
        <w:rPr>
          <w:b w:val="0"/>
          <w:bCs/>
          <w:u w:val="none"/>
        </w:rPr>
        <w:t>251.769.131,42</w:t>
      </w:r>
      <w:r w:rsidR="007B668B">
        <w:rPr>
          <w:b w:val="0"/>
          <w:bCs/>
          <w:u w:val="none"/>
        </w:rPr>
        <w:t>, CONSTRUCCIONES VIALES Y CIVILES S.A.</w:t>
      </w:r>
      <w:r w:rsidR="00784F9F">
        <w:rPr>
          <w:b w:val="0"/>
          <w:bCs/>
          <w:u w:val="none"/>
        </w:rPr>
        <w:t xml:space="preserve"> 247.474.841</w:t>
      </w:r>
      <w:r w:rsidR="007B668B">
        <w:rPr>
          <w:b w:val="0"/>
          <w:bCs/>
          <w:u w:val="none"/>
        </w:rPr>
        <w:t xml:space="preserve">, R&amp;K INGENIEROS S.R.L. </w:t>
      </w:r>
      <w:r w:rsidR="00784F9F">
        <w:rPr>
          <w:b w:val="0"/>
          <w:bCs/>
          <w:u w:val="none"/>
        </w:rPr>
        <w:t xml:space="preserve">262.223.748 </w:t>
      </w:r>
      <w:r w:rsidR="007B668B">
        <w:rPr>
          <w:b w:val="0"/>
          <w:bCs/>
          <w:u w:val="none"/>
        </w:rPr>
        <w:t>y CONSORCIO IMPACTO CONSTRUCCIONES S.A. - IDALAR S.A</w:t>
      </w:r>
      <w:r w:rsidR="00784F9F">
        <w:rPr>
          <w:b w:val="0"/>
          <w:bCs/>
          <w:u w:val="none"/>
        </w:rPr>
        <w:t xml:space="preserve">. 235.309.496,36 y otra con descuentos de $ 228.250.211,47. Todos los </w:t>
      </w:r>
      <w:r w:rsidR="00D31D46">
        <w:rPr>
          <w:b w:val="0"/>
          <w:bCs/>
          <w:u w:val="none"/>
        </w:rPr>
        <w:t>montos incluyen</w:t>
      </w:r>
      <w:r w:rsidR="00784F9F">
        <w:rPr>
          <w:b w:val="0"/>
          <w:bCs/>
          <w:u w:val="none"/>
        </w:rPr>
        <w:t xml:space="preserve"> IVA y leyes sociales</w:t>
      </w:r>
      <w:r w:rsidR="007B668B">
        <w:rPr>
          <w:b w:val="0"/>
          <w:bCs/>
          <w:u w:val="none"/>
        </w:rPr>
        <w:t>;</w:t>
      </w:r>
    </w:p>
    <w:p w:rsidR="007B668B" w:rsidRDefault="00D33128" w:rsidP="008C7C49">
      <w:pPr>
        <w:pStyle w:val="Ttulo"/>
        <w:tabs>
          <w:tab w:val="left" w:pos="1843"/>
        </w:tabs>
        <w:ind w:firstLine="2977"/>
        <w:jc w:val="both"/>
        <w:rPr>
          <w:b w:val="0"/>
          <w:bCs/>
          <w:u w:val="none"/>
        </w:rPr>
      </w:pPr>
      <w:r>
        <w:rPr>
          <w:bCs/>
          <w:u w:val="none"/>
        </w:rPr>
        <w:t>6</w:t>
      </w:r>
      <w:r w:rsidR="007B668B" w:rsidRPr="007B668B">
        <w:rPr>
          <w:bCs/>
          <w:u w:val="none"/>
        </w:rPr>
        <w:t>)</w:t>
      </w:r>
      <w:r w:rsidR="007B668B">
        <w:rPr>
          <w:bCs/>
          <w:u w:val="none"/>
        </w:rPr>
        <w:t xml:space="preserve"> </w:t>
      </w:r>
      <w:r w:rsidR="004E1458">
        <w:rPr>
          <w:b w:val="0"/>
          <w:bCs/>
          <w:u w:val="none"/>
        </w:rPr>
        <w:t xml:space="preserve">que la Comisión Asesora en actuación de fecha 21.06.17 rechazó la oferta de la firma INCOCI por no adjuntar comprobante de las obras realizadas a efectos de la ponderación de los Antecedentes en obras similares, como fuera establecido por el </w:t>
      </w:r>
      <w:r w:rsidR="00BB3F6A">
        <w:rPr>
          <w:b w:val="0"/>
          <w:bCs/>
          <w:u w:val="none"/>
        </w:rPr>
        <w:t>A</w:t>
      </w:r>
      <w:r w:rsidR="004E1458">
        <w:rPr>
          <w:b w:val="0"/>
          <w:bCs/>
          <w:u w:val="none"/>
        </w:rPr>
        <w:t>rtículo 4.2 del Pliego de Condiciones Particulares;</w:t>
      </w:r>
    </w:p>
    <w:p w:rsidR="004E1458" w:rsidRDefault="00D33128" w:rsidP="00BB3F6A">
      <w:pPr>
        <w:pStyle w:val="Ttulo"/>
        <w:tabs>
          <w:tab w:val="left" w:pos="1843"/>
        </w:tabs>
        <w:ind w:firstLine="2977"/>
        <w:jc w:val="both"/>
        <w:rPr>
          <w:b w:val="0"/>
          <w:bCs/>
          <w:u w:val="none"/>
        </w:rPr>
      </w:pPr>
      <w:r>
        <w:rPr>
          <w:bCs/>
          <w:u w:val="none"/>
        </w:rPr>
        <w:t>7</w:t>
      </w:r>
      <w:r w:rsidR="004E1458" w:rsidRPr="004E1458">
        <w:rPr>
          <w:bCs/>
          <w:u w:val="none"/>
        </w:rPr>
        <w:t>)</w:t>
      </w:r>
      <w:r w:rsidR="004E1458">
        <w:rPr>
          <w:bCs/>
          <w:u w:val="none"/>
        </w:rPr>
        <w:t xml:space="preserve"> </w:t>
      </w:r>
      <w:r w:rsidR="004E1458">
        <w:rPr>
          <w:b w:val="0"/>
          <w:bCs/>
          <w:u w:val="none"/>
        </w:rPr>
        <w:t>que asimismo la Comisión rechazó la oferta de Consorcio Impacto-</w:t>
      </w:r>
      <w:proofErr w:type="spellStart"/>
      <w:r w:rsidR="004E1458">
        <w:rPr>
          <w:b w:val="0"/>
          <w:bCs/>
          <w:u w:val="none"/>
        </w:rPr>
        <w:t>Idalar</w:t>
      </w:r>
      <w:proofErr w:type="spellEnd"/>
      <w:r w:rsidR="004E1458">
        <w:rPr>
          <w:b w:val="0"/>
          <w:bCs/>
          <w:u w:val="none"/>
        </w:rPr>
        <w:t xml:space="preserve"> por presentar tres montos mínimos imponibles inferiores al mínimo estipulado en el Pliego de Condiciones Particulares, </w:t>
      </w:r>
      <w:r w:rsidR="00BB3F6A">
        <w:rPr>
          <w:b w:val="0"/>
          <w:bCs/>
          <w:u w:val="none"/>
        </w:rPr>
        <w:t>A</w:t>
      </w:r>
      <w:r w:rsidR="004E1458">
        <w:rPr>
          <w:b w:val="0"/>
          <w:bCs/>
          <w:u w:val="none"/>
        </w:rPr>
        <w:t>rtículo 7;</w:t>
      </w:r>
    </w:p>
    <w:p w:rsidR="004E1458" w:rsidRDefault="00D33128" w:rsidP="00BB3F6A">
      <w:pPr>
        <w:pStyle w:val="Ttulo"/>
        <w:tabs>
          <w:tab w:val="left" w:pos="1843"/>
        </w:tabs>
        <w:ind w:firstLine="2977"/>
        <w:jc w:val="both"/>
        <w:rPr>
          <w:b w:val="0"/>
          <w:bCs/>
          <w:u w:val="none"/>
        </w:rPr>
      </w:pPr>
      <w:r>
        <w:rPr>
          <w:bCs/>
          <w:u w:val="none"/>
        </w:rPr>
        <w:t>8</w:t>
      </w:r>
      <w:r w:rsidR="004E1458" w:rsidRPr="004E1458">
        <w:rPr>
          <w:bCs/>
          <w:u w:val="none"/>
        </w:rPr>
        <w:t>)</w:t>
      </w:r>
      <w:r w:rsidR="004E1458">
        <w:rPr>
          <w:bCs/>
          <w:u w:val="none"/>
        </w:rPr>
        <w:t xml:space="preserve"> </w:t>
      </w:r>
      <w:r w:rsidR="004E1458">
        <w:rPr>
          <w:b w:val="0"/>
          <w:bCs/>
          <w:u w:val="none"/>
        </w:rPr>
        <w:t xml:space="preserve">que asignados los puntajes a las ofertas de las cuatro ofertas admitidas, la Comisión Asesora concluye que la oferta </w:t>
      </w:r>
      <w:r w:rsidR="00E24D26">
        <w:rPr>
          <w:b w:val="0"/>
          <w:bCs/>
          <w:u w:val="none"/>
        </w:rPr>
        <w:t>más</w:t>
      </w:r>
      <w:r w:rsidR="004E1458">
        <w:rPr>
          <w:b w:val="0"/>
          <w:bCs/>
          <w:u w:val="none"/>
        </w:rPr>
        <w:t xml:space="preserve"> conveniente es la de la firma Construcciones Viales y Civiles S.A. (99,65 puntos), por el precio de $</w:t>
      </w:r>
      <w:r w:rsidR="00BB3F6A">
        <w:rPr>
          <w:b w:val="0"/>
          <w:bCs/>
          <w:u w:val="none"/>
        </w:rPr>
        <w:t xml:space="preserve"> </w:t>
      </w:r>
      <w:r w:rsidR="004E1458">
        <w:rPr>
          <w:b w:val="0"/>
          <w:bCs/>
          <w:u w:val="none"/>
        </w:rPr>
        <w:t>247.474.841 con I</w:t>
      </w:r>
      <w:r w:rsidR="00BA7711">
        <w:rPr>
          <w:b w:val="0"/>
          <w:bCs/>
          <w:u w:val="none"/>
        </w:rPr>
        <w:t>VA</w:t>
      </w:r>
      <w:r w:rsidR="004E1458">
        <w:rPr>
          <w:b w:val="0"/>
          <w:bCs/>
          <w:u w:val="none"/>
        </w:rPr>
        <w:t xml:space="preserve"> y Leyes Sociales incluidos</w:t>
      </w:r>
      <w:r w:rsidR="00E24D26">
        <w:rPr>
          <w:b w:val="0"/>
          <w:bCs/>
          <w:u w:val="none"/>
        </w:rPr>
        <w:t>, sugiriendo la adjudicación a dicha firma</w:t>
      </w:r>
      <w:r w:rsidR="004E1458">
        <w:rPr>
          <w:b w:val="0"/>
          <w:bCs/>
          <w:u w:val="none"/>
        </w:rPr>
        <w:t>;</w:t>
      </w:r>
    </w:p>
    <w:p w:rsidR="004E1458" w:rsidRDefault="00D33128" w:rsidP="00263052">
      <w:pPr>
        <w:pStyle w:val="Ttulo"/>
        <w:tabs>
          <w:tab w:val="left" w:pos="1843"/>
        </w:tabs>
        <w:ind w:firstLine="2977"/>
        <w:jc w:val="both"/>
        <w:rPr>
          <w:b w:val="0"/>
          <w:bCs/>
          <w:u w:val="none"/>
        </w:rPr>
      </w:pPr>
      <w:r>
        <w:rPr>
          <w:bCs/>
          <w:u w:val="none"/>
        </w:rPr>
        <w:lastRenderedPageBreak/>
        <w:t>9</w:t>
      </w:r>
      <w:r w:rsidR="004E1458" w:rsidRPr="004E1458">
        <w:rPr>
          <w:bCs/>
          <w:u w:val="none"/>
        </w:rPr>
        <w:t>)</w:t>
      </w:r>
      <w:r w:rsidR="004E1458">
        <w:rPr>
          <w:bCs/>
          <w:u w:val="none"/>
        </w:rPr>
        <w:t xml:space="preserve"> </w:t>
      </w:r>
      <w:r w:rsidR="004E1458">
        <w:rPr>
          <w:b w:val="0"/>
          <w:bCs/>
          <w:u w:val="none"/>
        </w:rPr>
        <w:t xml:space="preserve">que </w:t>
      </w:r>
      <w:r w:rsidR="00E24D26">
        <w:rPr>
          <w:b w:val="0"/>
          <w:bCs/>
          <w:u w:val="none"/>
        </w:rPr>
        <w:t>la Oficina de Licitaciones en actuación de fecha 06.07.17 señala que se notificó a los oferentes y pusieron las actuaciones de manifiesto por el plazo de 5 días hábiles, y la Comisión Asesora en fecha 19.07.17 eleva las actuaciones al Intendente, teniendo presente que no se presentaron observaciones en la puesta de manifiesto del mismo;</w:t>
      </w:r>
    </w:p>
    <w:p w:rsidR="00601E4F" w:rsidRDefault="00D33128" w:rsidP="00263052">
      <w:pPr>
        <w:pStyle w:val="Ttulo"/>
        <w:tabs>
          <w:tab w:val="left" w:pos="1843"/>
        </w:tabs>
        <w:ind w:firstLine="2977"/>
        <w:jc w:val="both"/>
        <w:rPr>
          <w:b w:val="0"/>
          <w:bCs/>
          <w:u w:val="none"/>
        </w:rPr>
      </w:pPr>
      <w:r>
        <w:rPr>
          <w:bCs/>
          <w:u w:val="none"/>
        </w:rPr>
        <w:t>10</w:t>
      </w:r>
      <w:r w:rsidR="00235CEA" w:rsidRPr="00235CEA">
        <w:rPr>
          <w:bCs/>
          <w:u w:val="none"/>
        </w:rPr>
        <w:t>)</w:t>
      </w:r>
      <w:r w:rsidR="00235CEA">
        <w:rPr>
          <w:bCs/>
          <w:u w:val="none"/>
        </w:rPr>
        <w:t xml:space="preserve"> </w:t>
      </w:r>
      <w:r w:rsidR="00235CEA">
        <w:rPr>
          <w:b w:val="0"/>
          <w:bCs/>
          <w:u w:val="none"/>
        </w:rPr>
        <w:t xml:space="preserve">que el Intendente, mediante Resolución </w:t>
      </w:r>
      <w:r w:rsidR="00263052">
        <w:rPr>
          <w:b w:val="0"/>
          <w:bCs/>
          <w:u w:val="none"/>
        </w:rPr>
        <w:t xml:space="preserve">                       </w:t>
      </w:r>
      <w:r w:rsidR="00235CEA">
        <w:rPr>
          <w:b w:val="0"/>
          <w:bCs/>
          <w:u w:val="none"/>
        </w:rPr>
        <w:t xml:space="preserve">Nº 17/05119 de fecha 21.07.17, dispuso adjudicar la Licitación de referencia en la forma aconsejada por la Comisión Asesora y ad referéndum de este Tribunal, señalando que el financiamiento de esta contratación se realizará con fondos provenientes del Fideicomiso Financiero para Obras – Canelones III, por lo que la adjudicación se realiza al amparo de lo establecido en el </w:t>
      </w:r>
      <w:r w:rsidR="00263052">
        <w:rPr>
          <w:b w:val="0"/>
          <w:bCs/>
          <w:u w:val="none"/>
        </w:rPr>
        <w:t xml:space="preserve">                   A</w:t>
      </w:r>
      <w:r w:rsidR="00235CEA">
        <w:rPr>
          <w:b w:val="0"/>
          <w:bCs/>
          <w:u w:val="none"/>
        </w:rPr>
        <w:t>rtículo 19 del T.O.C.A.F., hasta que el fideicomiso quede activo;</w:t>
      </w:r>
    </w:p>
    <w:p w:rsidR="00601E4F" w:rsidRPr="00601E4F" w:rsidRDefault="00D33128" w:rsidP="00263052">
      <w:pPr>
        <w:pStyle w:val="Ttulo"/>
        <w:tabs>
          <w:tab w:val="left" w:pos="1843"/>
        </w:tabs>
        <w:ind w:firstLine="2977"/>
        <w:jc w:val="both"/>
        <w:rPr>
          <w:rFonts w:cs="Arial"/>
          <w:b w:val="0"/>
          <w:lang w:val="es-ES_tradnl"/>
        </w:rPr>
      </w:pPr>
      <w:r>
        <w:rPr>
          <w:bCs/>
          <w:u w:val="none"/>
        </w:rPr>
        <w:t>11</w:t>
      </w:r>
      <w:r w:rsidR="00905828" w:rsidRPr="00905828">
        <w:rPr>
          <w:bCs/>
          <w:u w:val="none"/>
        </w:rPr>
        <w:t>)</w:t>
      </w:r>
      <w:r w:rsidR="00905828">
        <w:rPr>
          <w:bCs/>
          <w:u w:val="none"/>
        </w:rPr>
        <w:t xml:space="preserve"> </w:t>
      </w:r>
      <w:r w:rsidR="00905828">
        <w:rPr>
          <w:b w:val="0"/>
          <w:bCs/>
          <w:u w:val="none"/>
        </w:rPr>
        <w:t xml:space="preserve">que la Dirección General de Obras en fecha 20.09.17 informa que entiende pertinente llegada la oportunidad, reducir en un 10% el monto adjudicado, por lo cual la estructura de financiamiento de la obra sería la siguiente: Financiamiento Fideicomiso (Proyecto F810004) </w:t>
      </w:r>
      <w:r w:rsidR="00342096">
        <w:rPr>
          <w:b w:val="0"/>
          <w:bCs/>
          <w:u w:val="none"/>
        </w:rPr>
        <w:t xml:space="preserve">                              </w:t>
      </w:r>
      <w:r w:rsidR="00905828">
        <w:rPr>
          <w:b w:val="0"/>
          <w:bCs/>
          <w:u w:val="none"/>
        </w:rPr>
        <w:t>$</w:t>
      </w:r>
      <w:r w:rsidR="00342096">
        <w:rPr>
          <w:b w:val="0"/>
          <w:bCs/>
          <w:u w:val="none"/>
        </w:rPr>
        <w:t xml:space="preserve"> </w:t>
      </w:r>
      <w:r w:rsidR="00905828">
        <w:rPr>
          <w:b w:val="0"/>
          <w:bCs/>
          <w:u w:val="none"/>
        </w:rPr>
        <w:t>91.687.357 y Financiamiento CAF-MEF $</w:t>
      </w:r>
      <w:r w:rsidR="00342096">
        <w:rPr>
          <w:b w:val="0"/>
          <w:bCs/>
          <w:u w:val="none"/>
        </w:rPr>
        <w:t xml:space="preserve"> </w:t>
      </w:r>
      <w:r w:rsidR="00905828">
        <w:rPr>
          <w:b w:val="0"/>
          <w:bCs/>
          <w:u w:val="none"/>
        </w:rPr>
        <w:t>131.040.000;</w:t>
      </w:r>
    </w:p>
    <w:p w:rsidR="003C1195" w:rsidRDefault="003C1195" w:rsidP="00342096">
      <w:pPr>
        <w:spacing w:line="360" w:lineRule="auto"/>
        <w:ind w:firstLine="851"/>
        <w:jc w:val="both"/>
        <w:rPr>
          <w:rFonts w:ascii="Arial" w:hAnsi="Arial" w:cs="Arial"/>
          <w:b w:val="0"/>
          <w:bCs/>
        </w:rPr>
      </w:pPr>
      <w:r w:rsidRPr="00601E4F">
        <w:rPr>
          <w:rFonts w:ascii="Arial" w:hAnsi="Arial" w:cs="Arial"/>
          <w:bCs/>
        </w:rPr>
        <w:t>CONSIDERANDO:</w:t>
      </w:r>
      <w:r w:rsidRPr="00601E4F">
        <w:rPr>
          <w:rFonts w:ascii="Arial" w:hAnsi="Arial" w:cs="Arial"/>
          <w:b w:val="0"/>
          <w:bCs/>
        </w:rPr>
        <w:t xml:space="preserve"> </w:t>
      </w:r>
      <w:r w:rsidRPr="00601E4F">
        <w:rPr>
          <w:rFonts w:ascii="Arial" w:hAnsi="Arial" w:cs="Arial"/>
          <w:bCs/>
        </w:rPr>
        <w:t>1)</w:t>
      </w:r>
      <w:r w:rsidRPr="00601E4F">
        <w:rPr>
          <w:rFonts w:ascii="Arial" w:hAnsi="Arial" w:cs="Arial"/>
          <w:b w:val="0"/>
          <w:bCs/>
        </w:rPr>
        <w:t xml:space="preserve"> que de acuerdo a la fecha de inicio del procedimiento, el mismo, en lo que hace a los documentos a agregar con la oferta</w:t>
      </w:r>
      <w:r w:rsidR="001570D1">
        <w:rPr>
          <w:rFonts w:ascii="Arial" w:hAnsi="Arial" w:cs="Arial"/>
          <w:b w:val="0"/>
          <w:bCs/>
        </w:rPr>
        <w:t>,</w:t>
      </w:r>
      <w:r w:rsidRPr="00601E4F">
        <w:rPr>
          <w:rFonts w:ascii="Arial" w:hAnsi="Arial" w:cs="Arial"/>
          <w:b w:val="0"/>
          <w:bCs/>
        </w:rPr>
        <w:t xml:space="preserve"> se regía por los Art</w:t>
      </w:r>
      <w:r w:rsidR="00345F10">
        <w:rPr>
          <w:rFonts w:ascii="Arial" w:hAnsi="Arial" w:cs="Arial"/>
          <w:b w:val="0"/>
          <w:bCs/>
        </w:rPr>
        <w:t>ículo</w:t>
      </w:r>
      <w:r w:rsidRPr="00601E4F">
        <w:rPr>
          <w:rFonts w:ascii="Arial" w:hAnsi="Arial" w:cs="Arial"/>
          <w:b w:val="0"/>
          <w:bCs/>
        </w:rPr>
        <w:t>s 23 y 25 de la Ley 19.355, que daban diferente y contradictoria redacción al penúltimo inciso del Art</w:t>
      </w:r>
      <w:r w:rsidR="00345F10">
        <w:rPr>
          <w:rFonts w:ascii="Arial" w:hAnsi="Arial" w:cs="Arial"/>
          <w:b w:val="0"/>
          <w:bCs/>
        </w:rPr>
        <w:t>ículo</w:t>
      </w:r>
      <w:r w:rsidRPr="00601E4F">
        <w:rPr>
          <w:rFonts w:ascii="Arial" w:hAnsi="Arial" w:cs="Arial"/>
          <w:b w:val="0"/>
          <w:bCs/>
        </w:rPr>
        <w:t xml:space="preserve"> 48 del T.O.C.A.F. (Art</w:t>
      </w:r>
      <w:r w:rsidR="00345F10">
        <w:rPr>
          <w:rFonts w:ascii="Arial" w:hAnsi="Arial" w:cs="Arial"/>
          <w:b w:val="0"/>
          <w:bCs/>
        </w:rPr>
        <w:t>ículo</w:t>
      </w:r>
      <w:r w:rsidRPr="00601E4F">
        <w:rPr>
          <w:rFonts w:ascii="Arial" w:hAnsi="Arial" w:cs="Arial"/>
          <w:b w:val="0"/>
          <w:bCs/>
        </w:rPr>
        <w:t xml:space="preserve"> 489 de la Ley 15.9</w:t>
      </w:r>
      <w:r w:rsidR="00345F10">
        <w:rPr>
          <w:rFonts w:ascii="Arial" w:hAnsi="Arial" w:cs="Arial"/>
          <w:b w:val="0"/>
          <w:bCs/>
        </w:rPr>
        <w:t>03 en redacción dada por el Artículo</w:t>
      </w:r>
      <w:r w:rsidRPr="00601E4F">
        <w:rPr>
          <w:rFonts w:ascii="Arial" w:hAnsi="Arial" w:cs="Arial"/>
          <w:b w:val="0"/>
          <w:bCs/>
        </w:rPr>
        <w:t xml:space="preserve"> 29 de la </w:t>
      </w:r>
      <w:r w:rsidR="00345F10">
        <w:rPr>
          <w:rFonts w:ascii="Arial" w:hAnsi="Arial" w:cs="Arial"/>
          <w:b w:val="0"/>
          <w:bCs/>
        </w:rPr>
        <w:t xml:space="preserve">                     </w:t>
      </w:r>
      <w:r w:rsidRPr="00601E4F">
        <w:rPr>
          <w:rFonts w:ascii="Arial" w:hAnsi="Arial" w:cs="Arial"/>
          <w:b w:val="0"/>
          <w:bCs/>
        </w:rPr>
        <w:t xml:space="preserve">Ley 18.834), planteando un problema insoluble al intérprete, en razón de lo cual se estima procedente no formular ninguna observación a la documentación requerida por el Pliego a los oferentes (Resultando </w:t>
      </w:r>
      <w:r w:rsidR="00D33128">
        <w:rPr>
          <w:rFonts w:ascii="Arial" w:hAnsi="Arial" w:cs="Arial"/>
          <w:b w:val="0"/>
          <w:bCs/>
        </w:rPr>
        <w:t>2</w:t>
      </w:r>
      <w:r w:rsidRPr="00601E4F">
        <w:rPr>
          <w:rFonts w:ascii="Arial" w:hAnsi="Arial" w:cs="Arial"/>
          <w:b w:val="0"/>
          <w:bCs/>
        </w:rPr>
        <w:t>);</w:t>
      </w:r>
    </w:p>
    <w:p w:rsidR="001570D1" w:rsidRDefault="001570D1" w:rsidP="00345F10">
      <w:pPr>
        <w:tabs>
          <w:tab w:val="left" w:pos="2127"/>
        </w:tabs>
        <w:spacing w:line="360" w:lineRule="auto"/>
        <w:ind w:firstLine="3119"/>
        <w:jc w:val="both"/>
        <w:rPr>
          <w:rFonts w:ascii="Arial" w:hAnsi="Arial" w:cs="Arial"/>
          <w:b w:val="0"/>
          <w:szCs w:val="24"/>
        </w:rPr>
      </w:pPr>
      <w:r w:rsidRPr="001570D1">
        <w:rPr>
          <w:rFonts w:ascii="Arial" w:hAnsi="Arial" w:cs="Arial"/>
          <w:bCs/>
        </w:rPr>
        <w:t>2)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 w:val="0"/>
          <w:bCs/>
        </w:rPr>
        <w:t xml:space="preserve">que </w:t>
      </w:r>
      <w:r w:rsidR="003C1195" w:rsidRPr="00601E4F">
        <w:rPr>
          <w:rFonts w:ascii="Arial" w:hAnsi="Arial" w:cs="Arial"/>
          <w:b w:val="0"/>
          <w:szCs w:val="24"/>
        </w:rPr>
        <w:t>el Art</w:t>
      </w:r>
      <w:r>
        <w:rPr>
          <w:rFonts w:ascii="Arial" w:hAnsi="Arial" w:cs="Arial"/>
          <w:b w:val="0"/>
          <w:szCs w:val="24"/>
        </w:rPr>
        <w:t xml:space="preserve">ículo 48 </w:t>
      </w:r>
      <w:r w:rsidR="00345F10">
        <w:rPr>
          <w:rFonts w:ascii="Arial" w:hAnsi="Arial" w:cs="Arial"/>
          <w:b w:val="0"/>
          <w:szCs w:val="24"/>
        </w:rPr>
        <w:t>L</w:t>
      </w:r>
      <w:r>
        <w:rPr>
          <w:rFonts w:ascii="Arial" w:hAnsi="Arial" w:cs="Arial"/>
          <w:b w:val="0"/>
          <w:szCs w:val="24"/>
        </w:rPr>
        <w:t xml:space="preserve">iteral C) T.O.C.A.F. </w:t>
      </w:r>
      <w:r w:rsidR="003C1195" w:rsidRPr="00601E4F">
        <w:rPr>
          <w:rFonts w:ascii="Arial" w:hAnsi="Arial" w:cs="Arial"/>
          <w:b w:val="0"/>
          <w:szCs w:val="24"/>
        </w:rPr>
        <w:t>preceptúa que en el Pliego deben establecer</w:t>
      </w:r>
      <w:r w:rsidR="001D48B1" w:rsidRPr="00601E4F">
        <w:rPr>
          <w:rFonts w:ascii="Arial" w:hAnsi="Arial" w:cs="Arial"/>
          <w:b w:val="0"/>
          <w:szCs w:val="24"/>
        </w:rPr>
        <w:t>se</w:t>
      </w:r>
      <w:r w:rsidR="003C1195" w:rsidRPr="00601E4F">
        <w:rPr>
          <w:rFonts w:ascii="Arial" w:hAnsi="Arial" w:cs="Arial"/>
          <w:b w:val="0"/>
          <w:szCs w:val="24"/>
        </w:rPr>
        <w:t xml:space="preserve"> los principales factores que se tendrán en cuenta para evaluar las ofertas, así como la ponderación de cada uno</w:t>
      </w:r>
      <w:r w:rsidR="001D48B1" w:rsidRPr="00601E4F">
        <w:rPr>
          <w:rFonts w:ascii="Arial" w:hAnsi="Arial" w:cs="Arial"/>
          <w:b w:val="0"/>
          <w:szCs w:val="24"/>
        </w:rPr>
        <w:t>,</w:t>
      </w:r>
      <w:r w:rsidR="003C1195" w:rsidRPr="00601E4F">
        <w:rPr>
          <w:rFonts w:ascii="Arial" w:hAnsi="Arial" w:cs="Arial"/>
          <w:b w:val="0"/>
          <w:szCs w:val="24"/>
        </w:rPr>
        <w:t xml:space="preserve"> a efectos de determinar la calificación asignada a cada oferta;</w:t>
      </w:r>
    </w:p>
    <w:p w:rsidR="001E2353" w:rsidRPr="00601E4F" w:rsidRDefault="003C1195" w:rsidP="002A31F6">
      <w:pPr>
        <w:tabs>
          <w:tab w:val="left" w:pos="2127"/>
        </w:tabs>
        <w:spacing w:line="360" w:lineRule="auto"/>
        <w:ind w:firstLine="3119"/>
        <w:jc w:val="both"/>
        <w:rPr>
          <w:rFonts w:cs="Arial"/>
          <w:b w:val="0"/>
        </w:rPr>
      </w:pPr>
      <w:r w:rsidRPr="001570D1">
        <w:rPr>
          <w:rFonts w:ascii="Arial" w:hAnsi="Arial" w:cs="Arial"/>
        </w:rPr>
        <w:lastRenderedPageBreak/>
        <w:t>3)</w:t>
      </w:r>
      <w:r w:rsidRPr="001570D1">
        <w:rPr>
          <w:rFonts w:ascii="Arial" w:hAnsi="Arial" w:cs="Arial"/>
          <w:b w:val="0"/>
          <w:bCs/>
        </w:rPr>
        <w:t xml:space="preserve"> que en el caso, si bien </w:t>
      </w:r>
      <w:r w:rsidRPr="001570D1">
        <w:rPr>
          <w:rFonts w:ascii="Arial" w:hAnsi="Arial" w:cs="Arial"/>
          <w:b w:val="0"/>
        </w:rPr>
        <w:t xml:space="preserve">para la ponderación de las ofertas </w:t>
      </w:r>
      <w:r w:rsidRPr="001570D1">
        <w:rPr>
          <w:rFonts w:ascii="Arial" w:hAnsi="Arial" w:cs="Arial"/>
          <w:b w:val="0"/>
          <w:bCs/>
        </w:rPr>
        <w:t>se</w:t>
      </w:r>
      <w:r w:rsidRPr="001570D1">
        <w:rPr>
          <w:rFonts w:ascii="Arial" w:hAnsi="Arial" w:cs="Arial"/>
          <w:b w:val="0"/>
        </w:rPr>
        <w:t xml:space="preserve"> establecieron los factores que se tendrán en cuenta para </w:t>
      </w:r>
      <w:r w:rsidR="00CB5B42">
        <w:rPr>
          <w:rFonts w:ascii="Arial" w:hAnsi="Arial" w:cs="Arial"/>
          <w:b w:val="0"/>
        </w:rPr>
        <w:t xml:space="preserve">la evaluación, no se establecieron parámetros objetivos para la determinación del puntaje a asignar en los distintos </w:t>
      </w:r>
      <w:proofErr w:type="spellStart"/>
      <w:r w:rsidR="00CB5B42">
        <w:rPr>
          <w:rFonts w:ascii="Arial" w:hAnsi="Arial" w:cs="Arial"/>
          <w:b w:val="0"/>
        </w:rPr>
        <w:t>subfactores</w:t>
      </w:r>
      <w:proofErr w:type="spellEnd"/>
      <w:r w:rsidR="00CB5B42">
        <w:rPr>
          <w:rFonts w:ascii="Arial" w:hAnsi="Arial" w:cs="Arial"/>
          <w:b w:val="0"/>
        </w:rPr>
        <w:t xml:space="preserve"> del factor Antecedentes, en los cuales sólo se establece</w:t>
      </w:r>
      <w:r w:rsidR="00223C12">
        <w:rPr>
          <w:rFonts w:ascii="Arial" w:hAnsi="Arial" w:cs="Arial"/>
          <w:b w:val="0"/>
        </w:rPr>
        <w:t>n puntajes</w:t>
      </w:r>
      <w:r w:rsidR="00CB5B42">
        <w:rPr>
          <w:rFonts w:ascii="Arial" w:hAnsi="Arial" w:cs="Arial"/>
          <w:b w:val="0"/>
        </w:rPr>
        <w:t xml:space="preserve"> máximo</w:t>
      </w:r>
      <w:r w:rsidR="00223C12">
        <w:rPr>
          <w:rFonts w:ascii="Arial" w:hAnsi="Arial" w:cs="Arial"/>
          <w:b w:val="0"/>
        </w:rPr>
        <w:t>s</w:t>
      </w:r>
      <w:r w:rsidR="00CB5B42">
        <w:rPr>
          <w:rFonts w:ascii="Arial" w:hAnsi="Arial" w:cs="Arial"/>
          <w:b w:val="0"/>
        </w:rPr>
        <w:t xml:space="preserve"> </w:t>
      </w:r>
      <w:r w:rsidRPr="001570D1">
        <w:rPr>
          <w:rFonts w:ascii="Arial" w:hAnsi="Arial" w:cs="Arial"/>
          <w:b w:val="0"/>
        </w:rPr>
        <w:t>(Resultando</w:t>
      </w:r>
      <w:r w:rsidR="00D33128">
        <w:rPr>
          <w:rFonts w:ascii="Arial" w:hAnsi="Arial" w:cs="Arial"/>
          <w:b w:val="0"/>
        </w:rPr>
        <w:t xml:space="preserve"> 3</w:t>
      </w:r>
      <w:r w:rsidRPr="001570D1">
        <w:rPr>
          <w:rFonts w:ascii="Arial" w:hAnsi="Arial" w:cs="Arial"/>
          <w:b w:val="0"/>
        </w:rPr>
        <w:t>)</w:t>
      </w:r>
      <w:r w:rsidR="001D48B1" w:rsidRPr="001570D1">
        <w:rPr>
          <w:rFonts w:ascii="Arial" w:hAnsi="Arial" w:cs="Arial"/>
          <w:b w:val="0"/>
        </w:rPr>
        <w:t>;</w:t>
      </w:r>
    </w:p>
    <w:p w:rsidR="001E2353" w:rsidRPr="00601E4F" w:rsidRDefault="008E313E" w:rsidP="002A31F6">
      <w:pPr>
        <w:pStyle w:val="Ttulo"/>
        <w:tabs>
          <w:tab w:val="left" w:pos="2268"/>
        </w:tabs>
        <w:ind w:firstLine="3119"/>
        <w:jc w:val="both"/>
        <w:rPr>
          <w:rFonts w:cs="Arial"/>
          <w:b w:val="0"/>
          <w:bCs/>
          <w:u w:val="none"/>
        </w:rPr>
      </w:pPr>
      <w:r>
        <w:rPr>
          <w:rFonts w:cs="Arial"/>
          <w:bCs/>
          <w:u w:val="none"/>
        </w:rPr>
        <w:t>4</w:t>
      </w:r>
      <w:bookmarkStart w:id="0" w:name="_GoBack"/>
      <w:bookmarkEnd w:id="0"/>
      <w:r w:rsidR="001E2353" w:rsidRPr="00601E4F">
        <w:rPr>
          <w:rFonts w:cs="Arial"/>
          <w:bCs/>
          <w:u w:val="none"/>
        </w:rPr>
        <w:t>)</w:t>
      </w:r>
      <w:r w:rsidR="001E2353" w:rsidRPr="00601E4F">
        <w:rPr>
          <w:rFonts w:cs="Arial"/>
          <w:b w:val="0"/>
          <w:bCs/>
          <w:u w:val="none"/>
        </w:rPr>
        <w:t xml:space="preserve"> que el origen de los fondos con los que se afrontará el gasto </w:t>
      </w:r>
      <w:r w:rsidR="00D33128">
        <w:rPr>
          <w:rFonts w:cs="Arial"/>
          <w:b w:val="0"/>
          <w:bCs/>
          <w:u w:val="none"/>
        </w:rPr>
        <w:t xml:space="preserve">(Resultando 10 in fine) </w:t>
      </w:r>
      <w:r w:rsidR="001E2353" w:rsidRPr="00601E4F">
        <w:rPr>
          <w:rFonts w:cs="Arial"/>
          <w:b w:val="0"/>
          <w:bCs/>
          <w:u w:val="none"/>
        </w:rPr>
        <w:t>constituye un concepto diferente al requerimiento legal de contar con disponibilidad presupuestal, no cumpliéndose con lo establecido en la Ordenanza Nº 27, de 22.05.58, Art</w:t>
      </w:r>
      <w:r w:rsidR="002A31F6">
        <w:rPr>
          <w:rFonts w:cs="Arial"/>
          <w:b w:val="0"/>
          <w:bCs/>
          <w:u w:val="none"/>
        </w:rPr>
        <w:t>ículo</w:t>
      </w:r>
      <w:r w:rsidR="001E2353" w:rsidRPr="00601E4F">
        <w:rPr>
          <w:rFonts w:cs="Arial"/>
          <w:b w:val="0"/>
          <w:bCs/>
          <w:u w:val="none"/>
        </w:rPr>
        <w:t xml:space="preserve"> 13 </w:t>
      </w:r>
      <w:r w:rsidR="002A31F6">
        <w:rPr>
          <w:rFonts w:cs="Arial"/>
          <w:b w:val="0"/>
          <w:bCs/>
          <w:u w:val="none"/>
        </w:rPr>
        <w:t>L</w:t>
      </w:r>
      <w:r w:rsidR="001E2353" w:rsidRPr="00601E4F">
        <w:rPr>
          <w:rFonts w:cs="Arial"/>
          <w:b w:val="0"/>
          <w:bCs/>
          <w:u w:val="none"/>
        </w:rPr>
        <w:t xml:space="preserve">iteral D); </w:t>
      </w:r>
    </w:p>
    <w:p w:rsidR="003C1195" w:rsidRDefault="003C1195" w:rsidP="002A31F6">
      <w:pPr>
        <w:pStyle w:val="Ttulo"/>
        <w:ind w:firstLine="851"/>
        <w:jc w:val="both"/>
        <w:rPr>
          <w:b w:val="0"/>
          <w:bCs/>
          <w:u w:val="none"/>
        </w:rPr>
      </w:pPr>
      <w:r>
        <w:rPr>
          <w:u w:val="none"/>
        </w:rPr>
        <w:t xml:space="preserve">ATENTO: </w:t>
      </w:r>
      <w:r>
        <w:rPr>
          <w:b w:val="0"/>
          <w:bCs/>
          <w:u w:val="none"/>
        </w:rPr>
        <w:t xml:space="preserve">a lo precedentemente expuesto y a lo establecido en el Artículo 211 </w:t>
      </w:r>
      <w:r w:rsidR="002A31F6">
        <w:rPr>
          <w:b w:val="0"/>
          <w:bCs/>
          <w:u w:val="none"/>
        </w:rPr>
        <w:t>L</w:t>
      </w:r>
      <w:r>
        <w:rPr>
          <w:b w:val="0"/>
          <w:bCs/>
          <w:u w:val="none"/>
        </w:rPr>
        <w:t>iteral B) d</w:t>
      </w:r>
      <w:r w:rsidRPr="0084090C">
        <w:rPr>
          <w:b w:val="0"/>
          <w:bCs/>
          <w:i/>
          <w:u w:val="none"/>
        </w:rPr>
        <w:t>e</w:t>
      </w:r>
      <w:r>
        <w:rPr>
          <w:b w:val="0"/>
          <w:bCs/>
          <w:u w:val="none"/>
        </w:rPr>
        <w:t xml:space="preserve"> la Constitución de la República;</w:t>
      </w:r>
    </w:p>
    <w:p w:rsidR="003C1195" w:rsidRPr="00784F9F" w:rsidRDefault="003C1195" w:rsidP="002A31F6">
      <w:pPr>
        <w:pStyle w:val="Ttulo2"/>
        <w:spacing w:line="360" w:lineRule="auto"/>
        <w:rPr>
          <w:lang w:val="es-UY"/>
        </w:rPr>
      </w:pPr>
      <w:r w:rsidRPr="00784F9F">
        <w:rPr>
          <w:lang w:val="es-UY"/>
        </w:rPr>
        <w:t>EL TRIBUNAL ACUERDA</w:t>
      </w:r>
    </w:p>
    <w:p w:rsidR="003C1195" w:rsidRPr="00022EC3" w:rsidRDefault="002A31F6" w:rsidP="002A31F6">
      <w:pPr>
        <w:pStyle w:val="Ttulo4"/>
        <w:rPr>
          <w:u w:val="none"/>
        </w:rPr>
      </w:pPr>
      <w:r w:rsidRPr="002A31F6">
        <w:rPr>
          <w:b/>
          <w:u w:val="none"/>
        </w:rPr>
        <w:t>1)</w:t>
      </w:r>
      <w:r>
        <w:rPr>
          <w:u w:val="none"/>
        </w:rPr>
        <w:t xml:space="preserve"> </w:t>
      </w:r>
      <w:r w:rsidR="003C1195">
        <w:rPr>
          <w:u w:val="none"/>
        </w:rPr>
        <w:t>Observar el gasto</w:t>
      </w:r>
      <w:r w:rsidR="00601E4F">
        <w:rPr>
          <w:u w:val="none"/>
        </w:rPr>
        <w:t>;</w:t>
      </w:r>
    </w:p>
    <w:p w:rsidR="003C1195" w:rsidRDefault="002A31F6" w:rsidP="002A31F6">
      <w:pPr>
        <w:pStyle w:val="Ttulo4"/>
        <w:rPr>
          <w:b/>
          <w:bCs w:val="0"/>
        </w:rPr>
      </w:pPr>
      <w:r>
        <w:rPr>
          <w:b/>
          <w:u w:val="none"/>
        </w:rPr>
        <w:t xml:space="preserve">2) </w:t>
      </w:r>
      <w:r w:rsidR="003C1195">
        <w:rPr>
          <w:bCs w:val="0"/>
          <w:u w:val="none"/>
        </w:rPr>
        <w:t xml:space="preserve">Devolver las actuaciones. </w:t>
      </w:r>
    </w:p>
    <w:p w:rsidR="003C1195" w:rsidRDefault="003C1195" w:rsidP="002A31F6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p w:rsidR="003C1195" w:rsidRDefault="002A31F6" w:rsidP="002A31F6">
      <w:pPr>
        <w:spacing w:line="360" w:lineRule="auto"/>
        <w:jc w:val="both"/>
      </w:pPr>
      <w:proofErr w:type="spellStart"/>
      <w:proofErr w:type="gramStart"/>
      <w:r>
        <w:rPr>
          <w:rFonts w:ascii="Arial" w:hAnsi="Arial" w:cs="Arial"/>
          <w:b w:val="0"/>
          <w:bCs/>
          <w:lang w:val="es-ES_tradnl"/>
        </w:rPr>
        <w:t>ag</w:t>
      </w:r>
      <w:proofErr w:type="spellEnd"/>
      <w:proofErr w:type="gramEnd"/>
    </w:p>
    <w:p w:rsidR="003C1195" w:rsidRDefault="003C1195" w:rsidP="002A31F6">
      <w:pPr>
        <w:pStyle w:val="Ttulo2"/>
        <w:spacing w:line="360" w:lineRule="auto"/>
        <w:jc w:val="left"/>
      </w:pPr>
    </w:p>
    <w:sectPr w:rsidR="003C1195" w:rsidSect="00140CE5">
      <w:footerReference w:type="default" r:id="rId9"/>
      <w:pgSz w:w="11906" w:h="16838" w:code="9"/>
      <w:pgMar w:top="3289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AD6" w:rsidRDefault="00EF5AD6" w:rsidP="00EF5AD6">
      <w:r>
        <w:separator/>
      </w:r>
    </w:p>
  </w:endnote>
  <w:endnote w:type="continuationSeparator" w:id="0">
    <w:p w:rsidR="00EF5AD6" w:rsidRDefault="00EF5AD6" w:rsidP="00EF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8830346"/>
      <w:docPartObj>
        <w:docPartGallery w:val="Page Numbers (Bottom of Page)"/>
        <w:docPartUnique/>
      </w:docPartObj>
    </w:sdtPr>
    <w:sdtContent>
      <w:p w:rsidR="00EF5AD6" w:rsidRDefault="00EF5AD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CE5">
          <w:rPr>
            <w:noProof/>
          </w:rPr>
          <w:t>4</w:t>
        </w:r>
        <w:r>
          <w:fldChar w:fldCharType="end"/>
        </w:r>
      </w:p>
    </w:sdtContent>
  </w:sdt>
  <w:p w:rsidR="00EF5AD6" w:rsidRDefault="00EF5A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AD6" w:rsidRDefault="00EF5AD6" w:rsidP="00EF5AD6">
      <w:r>
        <w:separator/>
      </w:r>
    </w:p>
  </w:footnote>
  <w:footnote w:type="continuationSeparator" w:id="0">
    <w:p w:rsidR="00EF5AD6" w:rsidRDefault="00EF5AD6" w:rsidP="00EF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5EDE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7C64EAA"/>
    <w:multiLevelType w:val="hybridMultilevel"/>
    <w:tmpl w:val="E64A4F58"/>
    <w:lvl w:ilvl="0" w:tplc="3D02DA0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E94DB4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44E5CAC"/>
    <w:multiLevelType w:val="hybridMultilevel"/>
    <w:tmpl w:val="33E2C458"/>
    <w:lvl w:ilvl="0" w:tplc="11960A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0829DF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6"/>
  </w:num>
  <w:num w:numId="7">
    <w:abstractNumId w:val="19"/>
  </w:num>
  <w:num w:numId="8">
    <w:abstractNumId w:val="9"/>
  </w:num>
  <w:num w:numId="9">
    <w:abstractNumId w:val="5"/>
  </w:num>
  <w:num w:numId="10">
    <w:abstractNumId w:val="15"/>
  </w:num>
  <w:num w:numId="11">
    <w:abstractNumId w:val="22"/>
  </w:num>
  <w:num w:numId="12">
    <w:abstractNumId w:val="24"/>
  </w:num>
  <w:num w:numId="13">
    <w:abstractNumId w:val="26"/>
  </w:num>
  <w:num w:numId="14">
    <w:abstractNumId w:val="8"/>
  </w:num>
  <w:num w:numId="15">
    <w:abstractNumId w:val="18"/>
  </w:num>
  <w:num w:numId="16">
    <w:abstractNumId w:val="20"/>
  </w:num>
  <w:num w:numId="17">
    <w:abstractNumId w:val="23"/>
  </w:num>
  <w:num w:numId="18">
    <w:abstractNumId w:val="12"/>
  </w:num>
  <w:num w:numId="19">
    <w:abstractNumId w:val="13"/>
  </w:num>
  <w:num w:numId="20">
    <w:abstractNumId w:val="10"/>
  </w:num>
  <w:num w:numId="21">
    <w:abstractNumId w:val="2"/>
  </w:num>
  <w:num w:numId="22">
    <w:abstractNumId w:val="1"/>
  </w:num>
  <w:num w:numId="23">
    <w:abstractNumId w:val="13"/>
    <w:lvlOverride w:ilvl="0">
      <w:startOverride w:val="9"/>
    </w:lvlOverride>
  </w:num>
  <w:num w:numId="24">
    <w:abstractNumId w:val="0"/>
  </w:num>
  <w:num w:numId="25">
    <w:abstractNumId w:val="13"/>
    <w:lvlOverride w:ilvl="0">
      <w:startOverride w:val="1"/>
    </w:lvlOverride>
  </w:num>
  <w:num w:numId="26">
    <w:abstractNumId w:val="6"/>
  </w:num>
  <w:num w:numId="27">
    <w:abstractNumId w:val="14"/>
  </w:num>
  <w:num w:numId="28">
    <w:abstractNumId w:val="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B5"/>
    <w:rsid w:val="00002004"/>
    <w:rsid w:val="00022EC3"/>
    <w:rsid w:val="00030659"/>
    <w:rsid w:val="0003304C"/>
    <w:rsid w:val="00033E4E"/>
    <w:rsid w:val="000367DC"/>
    <w:rsid w:val="00041AEF"/>
    <w:rsid w:val="0004438F"/>
    <w:rsid w:val="000753BE"/>
    <w:rsid w:val="000807A2"/>
    <w:rsid w:val="000843FA"/>
    <w:rsid w:val="00096ACD"/>
    <w:rsid w:val="000A5A3E"/>
    <w:rsid w:val="000A5EA5"/>
    <w:rsid w:val="000C3515"/>
    <w:rsid w:val="000C7CD4"/>
    <w:rsid w:val="00103D72"/>
    <w:rsid w:val="00140CE5"/>
    <w:rsid w:val="00145386"/>
    <w:rsid w:val="00153EAA"/>
    <w:rsid w:val="001570D1"/>
    <w:rsid w:val="001D48B1"/>
    <w:rsid w:val="001E1660"/>
    <w:rsid w:val="001E2353"/>
    <w:rsid w:val="00215506"/>
    <w:rsid w:val="002172C8"/>
    <w:rsid w:val="00221D15"/>
    <w:rsid w:val="00223C12"/>
    <w:rsid w:val="0022674B"/>
    <w:rsid w:val="00235CEA"/>
    <w:rsid w:val="00247AC2"/>
    <w:rsid w:val="002538FF"/>
    <w:rsid w:val="00255E8E"/>
    <w:rsid w:val="00260CE9"/>
    <w:rsid w:val="00263052"/>
    <w:rsid w:val="0026752E"/>
    <w:rsid w:val="00276654"/>
    <w:rsid w:val="002817B9"/>
    <w:rsid w:val="0028749F"/>
    <w:rsid w:val="002927C0"/>
    <w:rsid w:val="0029776B"/>
    <w:rsid w:val="002A31F6"/>
    <w:rsid w:val="002A53D6"/>
    <w:rsid w:val="002C08B6"/>
    <w:rsid w:val="002D16D0"/>
    <w:rsid w:val="002F6C66"/>
    <w:rsid w:val="00320D03"/>
    <w:rsid w:val="00334498"/>
    <w:rsid w:val="003418E4"/>
    <w:rsid w:val="00342096"/>
    <w:rsid w:val="00345F10"/>
    <w:rsid w:val="00350407"/>
    <w:rsid w:val="003530EF"/>
    <w:rsid w:val="00353D03"/>
    <w:rsid w:val="00357C56"/>
    <w:rsid w:val="00370AE9"/>
    <w:rsid w:val="00380750"/>
    <w:rsid w:val="00381082"/>
    <w:rsid w:val="003966CB"/>
    <w:rsid w:val="003A3DBE"/>
    <w:rsid w:val="003A4D98"/>
    <w:rsid w:val="003B55FD"/>
    <w:rsid w:val="003B7EDC"/>
    <w:rsid w:val="003C1195"/>
    <w:rsid w:val="00424813"/>
    <w:rsid w:val="004252C4"/>
    <w:rsid w:val="0045600B"/>
    <w:rsid w:val="004756BD"/>
    <w:rsid w:val="0047777E"/>
    <w:rsid w:val="004852D6"/>
    <w:rsid w:val="0049383C"/>
    <w:rsid w:val="004C7612"/>
    <w:rsid w:val="004C7AE3"/>
    <w:rsid w:val="004E1458"/>
    <w:rsid w:val="004F5404"/>
    <w:rsid w:val="005009AF"/>
    <w:rsid w:val="00511625"/>
    <w:rsid w:val="005139E8"/>
    <w:rsid w:val="00531AC9"/>
    <w:rsid w:val="00544E8F"/>
    <w:rsid w:val="00555170"/>
    <w:rsid w:val="00572381"/>
    <w:rsid w:val="00586633"/>
    <w:rsid w:val="0058773D"/>
    <w:rsid w:val="005B102A"/>
    <w:rsid w:val="005C614C"/>
    <w:rsid w:val="005C67C0"/>
    <w:rsid w:val="005E1B90"/>
    <w:rsid w:val="005E6768"/>
    <w:rsid w:val="005F7153"/>
    <w:rsid w:val="00601E4F"/>
    <w:rsid w:val="00612470"/>
    <w:rsid w:val="0061278D"/>
    <w:rsid w:val="00613162"/>
    <w:rsid w:val="00622F2A"/>
    <w:rsid w:val="006369ED"/>
    <w:rsid w:val="00641177"/>
    <w:rsid w:val="006412FE"/>
    <w:rsid w:val="006531AD"/>
    <w:rsid w:val="006760ED"/>
    <w:rsid w:val="00687E64"/>
    <w:rsid w:val="006A3E00"/>
    <w:rsid w:val="006B5E06"/>
    <w:rsid w:val="006C00DD"/>
    <w:rsid w:val="00721404"/>
    <w:rsid w:val="00722B0A"/>
    <w:rsid w:val="00726E7A"/>
    <w:rsid w:val="00736BEB"/>
    <w:rsid w:val="00750D55"/>
    <w:rsid w:val="00784F9F"/>
    <w:rsid w:val="007B668B"/>
    <w:rsid w:val="007B7B7A"/>
    <w:rsid w:val="007C203F"/>
    <w:rsid w:val="007F4A08"/>
    <w:rsid w:val="007F7E40"/>
    <w:rsid w:val="00800116"/>
    <w:rsid w:val="008057A5"/>
    <w:rsid w:val="00810780"/>
    <w:rsid w:val="0081088B"/>
    <w:rsid w:val="00825C11"/>
    <w:rsid w:val="0082793F"/>
    <w:rsid w:val="0083138D"/>
    <w:rsid w:val="0084090C"/>
    <w:rsid w:val="00846D56"/>
    <w:rsid w:val="00851000"/>
    <w:rsid w:val="00857B93"/>
    <w:rsid w:val="00862C9E"/>
    <w:rsid w:val="00867FD9"/>
    <w:rsid w:val="008A4818"/>
    <w:rsid w:val="008A5111"/>
    <w:rsid w:val="008B5885"/>
    <w:rsid w:val="008C1792"/>
    <w:rsid w:val="008C7C49"/>
    <w:rsid w:val="008E313E"/>
    <w:rsid w:val="008E55C9"/>
    <w:rsid w:val="008F0D9A"/>
    <w:rsid w:val="008F21F1"/>
    <w:rsid w:val="00905828"/>
    <w:rsid w:val="009066D3"/>
    <w:rsid w:val="00912552"/>
    <w:rsid w:val="009200EF"/>
    <w:rsid w:val="00925769"/>
    <w:rsid w:val="009573E0"/>
    <w:rsid w:val="0096199C"/>
    <w:rsid w:val="00975AC9"/>
    <w:rsid w:val="00977744"/>
    <w:rsid w:val="00996B9D"/>
    <w:rsid w:val="0099710B"/>
    <w:rsid w:val="009B5592"/>
    <w:rsid w:val="009C6502"/>
    <w:rsid w:val="009D016A"/>
    <w:rsid w:val="009E1E03"/>
    <w:rsid w:val="009E434E"/>
    <w:rsid w:val="009F77FA"/>
    <w:rsid w:val="009F7A21"/>
    <w:rsid w:val="00A04D22"/>
    <w:rsid w:val="00A175B6"/>
    <w:rsid w:val="00A21B1E"/>
    <w:rsid w:val="00A22E53"/>
    <w:rsid w:val="00A355AE"/>
    <w:rsid w:val="00A5095A"/>
    <w:rsid w:val="00A84A70"/>
    <w:rsid w:val="00AD739F"/>
    <w:rsid w:val="00AE6EFD"/>
    <w:rsid w:val="00AF3FAC"/>
    <w:rsid w:val="00B21C4D"/>
    <w:rsid w:val="00B2365B"/>
    <w:rsid w:val="00B30A67"/>
    <w:rsid w:val="00B34AD6"/>
    <w:rsid w:val="00B472B5"/>
    <w:rsid w:val="00B558A7"/>
    <w:rsid w:val="00B67822"/>
    <w:rsid w:val="00B80643"/>
    <w:rsid w:val="00B912D5"/>
    <w:rsid w:val="00B95DBE"/>
    <w:rsid w:val="00BA56D3"/>
    <w:rsid w:val="00BA7711"/>
    <w:rsid w:val="00BB3F6A"/>
    <w:rsid w:val="00BC4A31"/>
    <w:rsid w:val="00BC55FE"/>
    <w:rsid w:val="00BC67AD"/>
    <w:rsid w:val="00BE53AE"/>
    <w:rsid w:val="00BF13F3"/>
    <w:rsid w:val="00BF6CE6"/>
    <w:rsid w:val="00C2288F"/>
    <w:rsid w:val="00C41FA8"/>
    <w:rsid w:val="00C53D04"/>
    <w:rsid w:val="00C600E5"/>
    <w:rsid w:val="00C6499B"/>
    <w:rsid w:val="00C67E33"/>
    <w:rsid w:val="00C74518"/>
    <w:rsid w:val="00C8657C"/>
    <w:rsid w:val="00C92816"/>
    <w:rsid w:val="00C94C35"/>
    <w:rsid w:val="00CA26F1"/>
    <w:rsid w:val="00CA6B09"/>
    <w:rsid w:val="00CB5B42"/>
    <w:rsid w:val="00D120C7"/>
    <w:rsid w:val="00D31D46"/>
    <w:rsid w:val="00D33128"/>
    <w:rsid w:val="00D410ED"/>
    <w:rsid w:val="00D46623"/>
    <w:rsid w:val="00D519E1"/>
    <w:rsid w:val="00D5772F"/>
    <w:rsid w:val="00D6358B"/>
    <w:rsid w:val="00D6784A"/>
    <w:rsid w:val="00D71541"/>
    <w:rsid w:val="00D719C2"/>
    <w:rsid w:val="00D81917"/>
    <w:rsid w:val="00D87F22"/>
    <w:rsid w:val="00D90529"/>
    <w:rsid w:val="00DC293A"/>
    <w:rsid w:val="00DF14D5"/>
    <w:rsid w:val="00DF290B"/>
    <w:rsid w:val="00DF651D"/>
    <w:rsid w:val="00E0028E"/>
    <w:rsid w:val="00E1386C"/>
    <w:rsid w:val="00E24D26"/>
    <w:rsid w:val="00E27002"/>
    <w:rsid w:val="00E35B90"/>
    <w:rsid w:val="00E36BCD"/>
    <w:rsid w:val="00E4192B"/>
    <w:rsid w:val="00E60A11"/>
    <w:rsid w:val="00E61238"/>
    <w:rsid w:val="00E710B4"/>
    <w:rsid w:val="00E74804"/>
    <w:rsid w:val="00E835D5"/>
    <w:rsid w:val="00E8655F"/>
    <w:rsid w:val="00E87075"/>
    <w:rsid w:val="00EA0128"/>
    <w:rsid w:val="00EA3C10"/>
    <w:rsid w:val="00EB3438"/>
    <w:rsid w:val="00EB344F"/>
    <w:rsid w:val="00EC2DEE"/>
    <w:rsid w:val="00EC3BE4"/>
    <w:rsid w:val="00EC481E"/>
    <w:rsid w:val="00EE2AB4"/>
    <w:rsid w:val="00EE7D0D"/>
    <w:rsid w:val="00EF2C6C"/>
    <w:rsid w:val="00EF5AD6"/>
    <w:rsid w:val="00F05BA2"/>
    <w:rsid w:val="00F13343"/>
    <w:rsid w:val="00F13D47"/>
    <w:rsid w:val="00F16B8B"/>
    <w:rsid w:val="00F305F2"/>
    <w:rsid w:val="00F47746"/>
    <w:rsid w:val="00F856EB"/>
    <w:rsid w:val="00FB34B1"/>
    <w:rsid w:val="00FC46A8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link w:val="Ttulo7Car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Prrafodelista">
    <w:name w:val="List Paragraph"/>
    <w:basedOn w:val="Normal"/>
    <w:qFormat/>
    <w:pPr>
      <w:ind w:left="708"/>
    </w:p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E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EAA"/>
    <w:rPr>
      <w:rFonts w:ascii="Tahoma" w:hAnsi="Tahoma" w:cs="Tahoma"/>
      <w:b/>
      <w:color w:val="000000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5E6768"/>
    <w:rPr>
      <w:rFonts w:ascii="Arial" w:hAnsi="Arial" w:cs="Arial"/>
      <w:bCs/>
      <w:color w:val="000000"/>
      <w:sz w:val="24"/>
      <w:u w:val="single"/>
      <w:lang w:val="es-ES_tradnl"/>
    </w:rPr>
  </w:style>
  <w:style w:type="character" w:customStyle="1" w:styleId="Ttulo7Car">
    <w:name w:val="Título 7 Car"/>
    <w:basedOn w:val="Fuentedeprrafopredeter"/>
    <w:link w:val="Ttulo7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E6768"/>
    <w:rPr>
      <w:rFonts w:ascii="Arial" w:hAnsi="Arial" w:cs="Arial"/>
      <w:bCs/>
      <w:color w:val="000000"/>
      <w:sz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EF5A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AD6"/>
    <w:rPr>
      <w:rFonts w:ascii="GothicPS" w:hAnsi="GothicPS"/>
      <w:b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F5A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AD6"/>
    <w:rPr>
      <w:rFonts w:ascii="GothicPS" w:hAnsi="GothicPS"/>
      <w:b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link w:val="Ttulo7Car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Prrafodelista">
    <w:name w:val="List Paragraph"/>
    <w:basedOn w:val="Normal"/>
    <w:qFormat/>
    <w:pPr>
      <w:ind w:left="708"/>
    </w:p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E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EAA"/>
    <w:rPr>
      <w:rFonts w:ascii="Tahoma" w:hAnsi="Tahoma" w:cs="Tahoma"/>
      <w:b/>
      <w:color w:val="000000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5E6768"/>
    <w:rPr>
      <w:rFonts w:ascii="Arial" w:hAnsi="Arial" w:cs="Arial"/>
      <w:bCs/>
      <w:color w:val="000000"/>
      <w:sz w:val="24"/>
      <w:u w:val="single"/>
      <w:lang w:val="es-ES_tradnl"/>
    </w:rPr>
  </w:style>
  <w:style w:type="character" w:customStyle="1" w:styleId="Ttulo7Car">
    <w:name w:val="Título 7 Car"/>
    <w:basedOn w:val="Fuentedeprrafopredeter"/>
    <w:link w:val="Ttulo7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E6768"/>
    <w:rPr>
      <w:rFonts w:ascii="Arial" w:hAnsi="Arial" w:cs="Arial"/>
      <w:bCs/>
      <w:color w:val="000000"/>
      <w:sz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EF5A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AD6"/>
    <w:rPr>
      <w:rFonts w:ascii="GothicPS" w:hAnsi="GothicPS"/>
      <w:b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F5A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AD6"/>
    <w:rPr>
      <w:rFonts w:ascii="GothicPS" w:hAnsi="GothicPS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9F6EB-1F33-4B98-83A8-A867245F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945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6086</CharactersWithSpaces>
  <SharedDoc>false</SharedDoc>
  <HLinks>
    <vt:vector size="6" baseType="variant">
      <vt:variant>
        <vt:i4>852080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documentos\LICITACIONES\Canelones\2017-17-1-0003835-LP-Can-6-2016-AA.doc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15</cp:revision>
  <cp:lastPrinted>2017-11-20T17:52:00Z</cp:lastPrinted>
  <dcterms:created xsi:type="dcterms:W3CDTF">2017-11-20T16:31:00Z</dcterms:created>
  <dcterms:modified xsi:type="dcterms:W3CDTF">2017-11-20T17:52:00Z</dcterms:modified>
</cp:coreProperties>
</file>