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3F598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3688/17</w:t>
      </w: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F598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3F5984" w:rsidRPr="003F5984" w:rsidRDefault="003F5984" w:rsidP="003F59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F598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3F5984" w:rsidRPr="003F5984" w:rsidRDefault="003F5984" w:rsidP="003F59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F598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8 DE NOVIEMBRE </w:t>
      </w:r>
      <w:r w:rsidRPr="003F5984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2017</w:t>
      </w: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 w:rsidRPr="003F5984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(E. E. Nº 2017-17-1-0006986, </w:t>
      </w:r>
      <w:proofErr w:type="gramStart"/>
      <w:r w:rsidRPr="003F5984">
        <w:rPr>
          <w:rFonts w:ascii="Arial" w:eastAsia="Times New Roman" w:hAnsi="Arial" w:cs="Arial"/>
          <w:b/>
          <w:sz w:val="24"/>
          <w:szCs w:val="24"/>
          <w:lang w:val="en-US" w:eastAsia="es-ES"/>
        </w:rPr>
        <w:t>Ent</w:t>
      </w:r>
      <w:proofErr w:type="gramEnd"/>
      <w:r w:rsidRPr="003F5984">
        <w:rPr>
          <w:rFonts w:ascii="Arial" w:eastAsia="Times New Roman" w:hAnsi="Arial" w:cs="Arial"/>
          <w:b/>
          <w:sz w:val="24"/>
          <w:szCs w:val="24"/>
          <w:lang w:val="en-US" w:eastAsia="es-ES"/>
        </w:rPr>
        <w:t>. N° 5518/17)</w:t>
      </w:r>
    </w:p>
    <w:p w:rsidR="003F5984" w:rsidRPr="003F5984" w:rsidRDefault="003F5984" w:rsidP="003F598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n-US" w:eastAsia="es-ES"/>
        </w:rPr>
      </w:pPr>
    </w:p>
    <w:p w:rsidR="003F5984" w:rsidRPr="003F5984" w:rsidRDefault="003F5984" w:rsidP="003F598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VISTO: 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las actuaciones remitidas por el Contador Delegado en la Intendencia de Canelones, relacionadas con la transacción extrajudicial  celebrada por la Comuna y la Sra. Carla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Anabella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Cartalla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3F5984" w:rsidRPr="003F5984" w:rsidRDefault="003F5984" w:rsidP="003F598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RESULTANDO: </w:t>
      </w: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por Sentencia de fecha 30/09/2011 del Juzgado de Letrado de Primera Instancia de Pando de 5º Turno, dictada en autos caratulados: “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Cartalla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Carla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Anabella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c/ Intendencia Municipal de Canelones – Cobro de Daños y Perjuicios” I.U.E. 470-126/2010, se condenó parcialmente a la Intendencia, difiriendo la liquidación de la condena al procedimiento previsto por el Artículo 378 del C.G.P. a excepción del daño moral que se estimó en $ 100.000. La misma fue confirmada por Sentencia Nº137/2012 del Tribunal de Apelaciones en lo Civil de 7º Turno;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surge de las actuaciones que se promovió proceso de liquidación de Sentencia IUE 470-326/2012, librándose por el Jugado Letrado de Primera Instancia de Pando de 5º Turno, el Oficio Nº760/2013 de fecha 20/06/2013, por el que se comunicó a la Intendencia que debía proceder conforme lo dispuesto por el Artículo 401 Inciso 4º del CGP disponiendo el depósito de la suma de $ 502.429,29, menos los descuentos legales correspondientes a los rubros recaídos, en cuenta B.R.O.U. Nº 34 31531;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se informa que por auto Nº 1168/2015 de fecha 19/08/15 que la Sede actuante a requerimiento de parte interesada, intimó en calidad de reiteración el cumplimiento de la Sentencia de condena bajo apercibimiento, que, de no hacerlo, se aumentan las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astreintes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ya fijadas a 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>10 U.R. Por Decreto 1048/2016 de 27/07/2016 se hizo efectivo el apercibi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softHyphen/>
        <w:t>miento, llegando posteriormente ante nuevos apercibimientos a 50 U.R. diarias;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se adjunta informe del Área Contencioso Judicial de fecha 08/09/17, del que surge que el monto total de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astreintes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 esa fecha asciende a UR 16.410 equivalentes a $ 16:612.991,70 y la deuda de la sentencia asciende a $ 877.948;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5)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con fecha 09/10/17 se celebró un acuerdo de pago entre las partes mediante el cual, la Sra. Carla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Anabella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proofErr w:type="spell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Cartalla</w:t>
      </w:r>
      <w:proofErr w:type="spell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, acepta recibir la suma de $ 1:400.000, por la totalidad de la condena no teniendo nada más que reclamar por ningún concepto. El mismo se realizará en tres pagos, según el siguiente detalle: $ 500.000 al contado mediante depósito en la Caja de Ahorro del BROU Nº 0750053234 y el resto con la entrega de dos cheques de pago diferido por la suma de $ 450.000;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6)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con fecha 10/10/17 se realizó reserva por la suma $ 1:400.000, al Código 343, Auxiliar IUE 470-326/2012, según RE 731;</w:t>
      </w:r>
    </w:p>
    <w:p w:rsidR="003F5984" w:rsidRPr="003F5984" w:rsidRDefault="003F5984" w:rsidP="003F598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7) 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el Secretario General con fecha 13/10/17 autoriza el gasto de $ 1:400.000; </w:t>
      </w: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  </w:t>
      </w:r>
    </w:p>
    <w:p w:rsidR="003F5984" w:rsidRPr="003F5984" w:rsidRDefault="003F5984" w:rsidP="003F598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CONSIDERANDO: </w:t>
      </w: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por Resolución de fecha 23/12/2009, este Tribunal dispuso que los gastos derivados de transacciones extrajudiciales deben ser remitidos directamente al Tribunal de Cuentas para su intervención;</w:t>
      </w:r>
    </w:p>
    <w:p w:rsidR="003F5984" w:rsidRPr="003F5984" w:rsidRDefault="003F5984" w:rsidP="003F5984">
      <w:pPr>
        <w:spacing w:after="0" w:line="360" w:lineRule="auto"/>
        <w:ind w:firstLine="3119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no se ha dado cumplimiento con lo dispuesto por el Artículo 35 Numeral 11) de la Ley Nº 9.515, en lo relacionado con la autorización de la Junta Departamental;</w:t>
      </w:r>
    </w:p>
    <w:p w:rsidR="003F5984" w:rsidRPr="003F5984" w:rsidRDefault="003F5984" w:rsidP="003F598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ATENTO: </w:t>
      </w: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a lo expuesto y a lo dispuesto por el Artículo 211 Literal B) de la Constitución de la República;</w:t>
      </w:r>
    </w:p>
    <w:p w:rsidR="003F5984" w:rsidRPr="003F5984" w:rsidRDefault="003F5984" w:rsidP="003F5984">
      <w:pPr>
        <w:keepNext/>
        <w:spacing w:after="0" w:line="360" w:lineRule="auto"/>
        <w:ind w:firstLine="708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EL TRIBUNAL ACUERDA</w:t>
      </w:r>
    </w:p>
    <w:p w:rsidR="003F5984" w:rsidRPr="003F5984" w:rsidRDefault="003F5984" w:rsidP="003F5984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106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Observar el gasto;  y</w:t>
      </w:r>
    </w:p>
    <w:p w:rsidR="003F5984" w:rsidRPr="003F5984" w:rsidRDefault="003F5984" w:rsidP="003F5984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106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Devolver los antecedentes.</w:t>
      </w:r>
      <w:bookmarkStart w:id="0" w:name="_GoBack"/>
      <w:bookmarkEnd w:id="0"/>
    </w:p>
    <w:p w:rsidR="003F5984" w:rsidRPr="003F5984" w:rsidRDefault="003F5984" w:rsidP="003F5984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F84639" w:rsidRDefault="003F5984" w:rsidP="003F5984">
      <w:pPr>
        <w:spacing w:after="0" w:line="360" w:lineRule="auto"/>
        <w:ind w:hanging="426"/>
        <w:jc w:val="both"/>
      </w:pPr>
      <w:proofErr w:type="gramStart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>dc</w:t>
      </w:r>
      <w:proofErr w:type="gramEnd"/>
      <w:r w:rsidRPr="003F598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</w:p>
    <w:sectPr w:rsidR="00F84639" w:rsidSect="00EB4459">
      <w:headerReference w:type="default" r:id="rId6"/>
      <w:pgSz w:w="11906" w:h="16838" w:code="9"/>
      <w:pgMar w:top="1701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3F5984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>
      <w:rPr>
        <w:noProof/>
        <w:lang w:eastAsia="es-UY"/>
      </w:rPr>
      <w:drawing>
        <wp:inline distT="0" distB="0" distL="0" distR="0" wp14:anchorId="00ADD5F7" wp14:editId="27F624DF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3F5984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3F5984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61479"/>
    <w:multiLevelType w:val="hybridMultilevel"/>
    <w:tmpl w:val="8DF0C922"/>
    <w:lvl w:ilvl="0" w:tplc="A90EEF3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84"/>
    <w:rsid w:val="003F5984"/>
    <w:rsid w:val="00F8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F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5984"/>
  </w:style>
  <w:style w:type="paragraph" w:styleId="Textodeglobo">
    <w:name w:val="Balloon Text"/>
    <w:basedOn w:val="Normal"/>
    <w:link w:val="TextodegloboCar"/>
    <w:uiPriority w:val="99"/>
    <w:semiHidden/>
    <w:unhideWhenUsed/>
    <w:rsid w:val="003F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F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5984"/>
  </w:style>
  <w:style w:type="paragraph" w:styleId="Textodeglobo">
    <w:name w:val="Balloon Text"/>
    <w:basedOn w:val="Normal"/>
    <w:link w:val="TextodegloboCar"/>
    <w:uiPriority w:val="99"/>
    <w:semiHidden/>
    <w:unhideWhenUsed/>
    <w:rsid w:val="003F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2017-11-13T17:29:00Z</cp:lastPrinted>
  <dcterms:created xsi:type="dcterms:W3CDTF">2017-11-13T17:28:00Z</dcterms:created>
  <dcterms:modified xsi:type="dcterms:W3CDTF">2017-11-13T17:30:00Z</dcterms:modified>
</cp:coreProperties>
</file>