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450" w:rsidRPr="00786EEB" w:rsidRDefault="00626450" w:rsidP="00626450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3660/17</w:t>
      </w:r>
    </w:p>
    <w:p w:rsidR="00626450" w:rsidRDefault="00626450" w:rsidP="00626450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626450" w:rsidRPr="00762B34" w:rsidRDefault="00626450" w:rsidP="00626450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626450" w:rsidRPr="00762B34" w:rsidRDefault="00626450" w:rsidP="00626450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626450" w:rsidRPr="00762B34" w:rsidRDefault="00626450" w:rsidP="00626450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626450" w:rsidRPr="00762B34" w:rsidRDefault="00626450" w:rsidP="00626450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626450" w:rsidRPr="00762B34" w:rsidRDefault="00626450" w:rsidP="00626450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8 DE NOVIEMBRE </w:t>
      </w:r>
      <w:r>
        <w:rPr>
          <w:rFonts w:ascii="Helvetica" w:hAnsi="Helvetica"/>
          <w:b/>
          <w:lang w:val="es-ES_tradnl"/>
        </w:rPr>
        <w:t>DE 2017</w:t>
      </w:r>
    </w:p>
    <w:p w:rsidR="00626450" w:rsidRPr="00762B34" w:rsidRDefault="00626450" w:rsidP="00626450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626450" w:rsidRPr="00501A0F" w:rsidRDefault="00626450" w:rsidP="00626450">
      <w:pPr>
        <w:tabs>
          <w:tab w:val="center" w:pos="4253"/>
        </w:tabs>
        <w:suppressAutoHyphens/>
        <w:jc w:val="center"/>
        <w:rPr>
          <w:rFonts w:cs="Arial"/>
          <w:b/>
        </w:rPr>
      </w:pPr>
      <w:r w:rsidRPr="00501A0F">
        <w:rPr>
          <w:rFonts w:cs="Arial"/>
          <w:b/>
        </w:rPr>
        <w:t xml:space="preserve">(E. E. Nº </w:t>
      </w:r>
      <w:r w:rsidRPr="00501A0F">
        <w:rPr>
          <w:b/>
        </w:rPr>
        <w:t>201</w:t>
      </w:r>
      <w:r>
        <w:rPr>
          <w:b/>
        </w:rPr>
        <w:t>3</w:t>
      </w:r>
      <w:r w:rsidRPr="00501A0F">
        <w:rPr>
          <w:b/>
        </w:rPr>
        <w:t>-17-1-000</w:t>
      </w:r>
      <w:r>
        <w:rPr>
          <w:b/>
        </w:rPr>
        <w:t>4447</w:t>
      </w:r>
      <w:r w:rsidRPr="00501A0F">
        <w:rPr>
          <w:rFonts w:cs="Arial"/>
          <w:b/>
        </w:rPr>
        <w:t xml:space="preserve">, </w:t>
      </w:r>
      <w:proofErr w:type="spellStart"/>
      <w:r w:rsidRPr="00501A0F">
        <w:rPr>
          <w:rFonts w:cs="Arial"/>
          <w:b/>
        </w:rPr>
        <w:t>Ent</w:t>
      </w:r>
      <w:proofErr w:type="spellEnd"/>
      <w:r w:rsidRPr="00501A0F">
        <w:rPr>
          <w:rFonts w:cs="Arial"/>
          <w:b/>
        </w:rPr>
        <w:t xml:space="preserve">. N° </w:t>
      </w:r>
      <w:r>
        <w:rPr>
          <w:b/>
        </w:rPr>
        <w:t>5496</w:t>
      </w:r>
      <w:r w:rsidRPr="00501A0F">
        <w:rPr>
          <w:b/>
        </w:rPr>
        <w:t>/17</w:t>
      </w:r>
      <w:r w:rsidRPr="00501A0F">
        <w:rPr>
          <w:rFonts w:cs="Arial"/>
          <w:b/>
        </w:rPr>
        <w:t>)</w:t>
      </w:r>
    </w:p>
    <w:p w:rsidR="00626450" w:rsidRPr="00E20441" w:rsidRDefault="00626450" w:rsidP="00626450">
      <w:pPr>
        <w:spacing w:line="360" w:lineRule="auto"/>
        <w:jc w:val="both"/>
        <w:rPr>
          <w:lang w:val="es-UY"/>
        </w:rPr>
      </w:pPr>
      <w:r>
        <w:rPr>
          <w:lang w:val="es-UY"/>
        </w:rPr>
        <w:tab/>
      </w:r>
    </w:p>
    <w:p w:rsidR="00626450" w:rsidRDefault="00626450" w:rsidP="00626450">
      <w:pPr>
        <w:spacing w:line="360" w:lineRule="auto"/>
        <w:ind w:firstLine="708"/>
        <w:jc w:val="both"/>
        <w:rPr>
          <w:color w:val="000000"/>
          <w:szCs w:val="20"/>
          <w:lang w:val="es-MX"/>
        </w:rPr>
      </w:pPr>
      <w:r>
        <w:rPr>
          <w:b/>
          <w:lang w:val="es-MX"/>
        </w:rPr>
        <w:t>VISTO:</w:t>
      </w:r>
      <w:r>
        <w:rPr>
          <w:lang w:val="es-MX"/>
        </w:rPr>
        <w:t xml:space="preserve"> </w:t>
      </w:r>
      <w:r>
        <w:rPr>
          <w:lang w:val="es-UY"/>
        </w:rPr>
        <w:t xml:space="preserve">las actuaciones remitidas por la Dirección Nacional de Hidrografía del Ministerio de Transporte y Obras Públicas, relacionadas con la contratación directa para la explotación comercial del local N°1 del Puerto de </w:t>
      </w:r>
      <w:proofErr w:type="spellStart"/>
      <w:r>
        <w:rPr>
          <w:lang w:val="es-UY"/>
        </w:rPr>
        <w:t>Piriápolis</w:t>
      </w:r>
      <w:proofErr w:type="spellEnd"/>
      <w:r>
        <w:rPr>
          <w:lang w:val="es-UY"/>
        </w:rPr>
        <w:t>, Departamento de Maldonado,  por el término de seis meses;</w:t>
      </w:r>
    </w:p>
    <w:p w:rsidR="00626450" w:rsidRDefault="00626450" w:rsidP="00626450">
      <w:pPr>
        <w:spacing w:line="360" w:lineRule="auto"/>
        <w:ind w:firstLine="708"/>
        <w:jc w:val="both"/>
        <w:rPr>
          <w:lang w:val="es-MX"/>
        </w:rPr>
      </w:pPr>
      <w:r>
        <w:rPr>
          <w:b/>
          <w:lang w:val="es-MX"/>
        </w:rPr>
        <w:t xml:space="preserve">RESULTANDO: </w:t>
      </w:r>
      <w:r w:rsidRPr="00F43AF4">
        <w:rPr>
          <w:b/>
          <w:lang w:val="es-MX"/>
        </w:rPr>
        <w:t>1)</w:t>
      </w:r>
      <w:r>
        <w:rPr>
          <w:lang w:val="es-MX"/>
        </w:rPr>
        <w:t xml:space="preserve"> que</w:t>
      </w:r>
      <w:r w:rsidRPr="00B154CB">
        <w:rPr>
          <w:lang w:val="es-MX"/>
        </w:rPr>
        <w:t xml:space="preserve"> </w:t>
      </w:r>
      <w:r>
        <w:rPr>
          <w:lang w:val="es-MX"/>
        </w:rPr>
        <w:t xml:space="preserve">la concesión es a favor de la firma </w:t>
      </w:r>
      <w:proofErr w:type="spellStart"/>
      <w:r>
        <w:rPr>
          <w:lang w:val="es-MX"/>
        </w:rPr>
        <w:t>Falor</w:t>
      </w:r>
      <w:proofErr w:type="spellEnd"/>
      <w:r>
        <w:rPr>
          <w:lang w:val="es-MX"/>
        </w:rPr>
        <w:t xml:space="preserve"> S.R.L., que explota el local N°1 en Puerto </w:t>
      </w:r>
      <w:proofErr w:type="spellStart"/>
      <w:r>
        <w:rPr>
          <w:lang w:val="es-MX"/>
        </w:rPr>
        <w:t>Piriápolis</w:t>
      </w:r>
      <w:proofErr w:type="spellEnd"/>
      <w:r>
        <w:rPr>
          <w:lang w:val="es-MX"/>
        </w:rPr>
        <w:t>, por ser el adjudicatario de la Licitación Abreviada N°12/2013,  cuya concesión  tiene su vencimiento final el 21 de octubre de 2017;</w:t>
      </w:r>
    </w:p>
    <w:p w:rsidR="00626450" w:rsidRDefault="00626450" w:rsidP="00626450">
      <w:pPr>
        <w:spacing w:line="360" w:lineRule="auto"/>
        <w:jc w:val="both"/>
        <w:rPr>
          <w:lang w:val="es-MX"/>
        </w:rPr>
      </w:pPr>
      <w:r w:rsidRPr="00F43AF4">
        <w:rPr>
          <w:b/>
          <w:lang w:val="es-MX"/>
        </w:rPr>
        <w:t xml:space="preserve">                                           2)</w:t>
      </w:r>
      <w:r>
        <w:rPr>
          <w:lang w:val="es-MX"/>
        </w:rPr>
        <w:t xml:space="preserve"> que con fecha 9 de setiembre de 2017, el concesionario solicitó continuar explotando el local comercial hasta fines de abril de 2018;</w:t>
      </w:r>
    </w:p>
    <w:p w:rsidR="00626450" w:rsidRDefault="00626450" w:rsidP="00626450">
      <w:pPr>
        <w:spacing w:line="360" w:lineRule="auto"/>
        <w:jc w:val="both"/>
        <w:rPr>
          <w:lang w:val="es-MX"/>
        </w:rPr>
      </w:pPr>
      <w:r>
        <w:rPr>
          <w:lang w:val="es-MX"/>
        </w:rPr>
        <w:t xml:space="preserve">                                           </w:t>
      </w:r>
      <w:r w:rsidRPr="00F43AF4">
        <w:rPr>
          <w:b/>
          <w:lang w:val="es-MX"/>
        </w:rPr>
        <w:t>3)</w:t>
      </w:r>
      <w:r>
        <w:rPr>
          <w:lang w:val="es-MX"/>
        </w:rPr>
        <w:t xml:space="preserve"> que el Área Administración y Mantenimiento Portuario, departamento zona Este de la Dirección Nacional de Hidrografía del MTOP, con fecha 25 de setiembre de 2017, informa que las áreas terrestres donde se ubica el local N° 1 son parte del proyecto (en estudio y elaboración) para concesión de las áreas terrestres en el Puerto </w:t>
      </w:r>
      <w:proofErr w:type="spellStart"/>
      <w:r>
        <w:rPr>
          <w:lang w:val="es-MX"/>
        </w:rPr>
        <w:t>Piriápolis</w:t>
      </w:r>
      <w:proofErr w:type="spellEnd"/>
      <w:r>
        <w:rPr>
          <w:lang w:val="es-MX"/>
        </w:rPr>
        <w:t>, razón por la cual no se realizó un nuevo llamado. Al no existir posibilidades de un procedimiento competitivo para tal fin antes de la temporada estival, de no procederse a la contratación directa el local quedaría vacío durante la temporada 2017-2018;</w:t>
      </w:r>
    </w:p>
    <w:p w:rsidR="00626450" w:rsidRDefault="00626450" w:rsidP="00626450">
      <w:pPr>
        <w:spacing w:line="360" w:lineRule="auto"/>
        <w:jc w:val="both"/>
        <w:rPr>
          <w:lang w:val="es-MX"/>
        </w:rPr>
      </w:pPr>
      <w:r>
        <w:rPr>
          <w:lang w:val="es-MX"/>
        </w:rPr>
        <w:t xml:space="preserve">                                          </w:t>
      </w:r>
      <w:r w:rsidRPr="00F43AF4">
        <w:rPr>
          <w:b/>
          <w:lang w:val="es-MX"/>
        </w:rPr>
        <w:t>4)</w:t>
      </w:r>
      <w:r>
        <w:rPr>
          <w:lang w:val="es-MX"/>
        </w:rPr>
        <w:t xml:space="preserve"> que se propone por la Administración que la tarifa a aplicar sea un promedio de la que mensualmente abonara el concesionario actualmente, siendo el monto mensual de </w:t>
      </w:r>
      <w:r w:rsidRPr="00B71C88">
        <w:rPr>
          <w:lang w:val="es-MX"/>
        </w:rPr>
        <w:t xml:space="preserve">Unidades Indexadas </w:t>
      </w:r>
      <w:r>
        <w:rPr>
          <w:lang w:val="es-MX"/>
        </w:rPr>
        <w:t xml:space="preserve">de 11.940,33; </w:t>
      </w:r>
    </w:p>
    <w:p w:rsidR="00626450" w:rsidRDefault="00626450" w:rsidP="00626450">
      <w:pPr>
        <w:spacing w:line="360" w:lineRule="auto"/>
        <w:jc w:val="both"/>
        <w:rPr>
          <w:color w:val="000000"/>
          <w:szCs w:val="20"/>
          <w:lang w:val="es-MX"/>
        </w:rPr>
      </w:pPr>
      <w:r w:rsidRPr="00F43AF4">
        <w:rPr>
          <w:b/>
          <w:lang w:val="es-MX"/>
        </w:rPr>
        <w:t xml:space="preserve">                                         5)</w:t>
      </w:r>
      <w:r>
        <w:rPr>
          <w:lang w:val="es-MX"/>
        </w:rPr>
        <w:t xml:space="preserve"> que se adjunta Resolución de la Dirección Nacional de Hidrografía del MTOP dictada el 18 de octubre de 2017 autorizando,    </w:t>
      </w:r>
      <w:bookmarkStart w:id="0" w:name="_GoBack"/>
      <w:bookmarkEnd w:id="0"/>
      <w:r>
        <w:rPr>
          <w:lang w:val="es-MX"/>
        </w:rPr>
        <w:t xml:space="preserve">ad - referéndum de este Tribunal, la explotación comercial del Local N°1 en Puerto </w:t>
      </w:r>
      <w:proofErr w:type="spellStart"/>
      <w:r>
        <w:rPr>
          <w:lang w:val="es-MX"/>
        </w:rPr>
        <w:t>Piriápolis</w:t>
      </w:r>
      <w:proofErr w:type="spellEnd"/>
      <w:r>
        <w:rPr>
          <w:lang w:val="es-MX"/>
        </w:rPr>
        <w:t xml:space="preserve">, Departamento de Maldonado, a </w:t>
      </w:r>
      <w:proofErr w:type="spellStart"/>
      <w:r>
        <w:rPr>
          <w:lang w:val="es-MX"/>
        </w:rPr>
        <w:t>Falor</w:t>
      </w:r>
      <w:proofErr w:type="spellEnd"/>
      <w:r>
        <w:rPr>
          <w:lang w:val="es-MX"/>
        </w:rPr>
        <w:t xml:space="preserve"> S.R.L., por un canon mensual de Unidades Indexadas de 11.940,33, hasta el 30 de abril de 2018;</w:t>
      </w:r>
    </w:p>
    <w:p w:rsidR="00626450" w:rsidRDefault="00626450" w:rsidP="00626450">
      <w:pPr>
        <w:spacing w:line="360" w:lineRule="auto"/>
        <w:ind w:firstLine="708"/>
        <w:jc w:val="both"/>
        <w:rPr>
          <w:lang w:val="es-MX"/>
        </w:rPr>
      </w:pPr>
      <w:r>
        <w:rPr>
          <w:b/>
          <w:lang w:val="es-MX"/>
        </w:rPr>
        <w:t>CONSIDERANDO:</w:t>
      </w:r>
      <w:r>
        <w:rPr>
          <w:lang w:val="es-MX"/>
        </w:rPr>
        <w:t xml:space="preserve"> </w:t>
      </w:r>
      <w:r w:rsidRPr="00F43AF4">
        <w:rPr>
          <w:b/>
          <w:lang w:val="es-MX"/>
        </w:rPr>
        <w:t>1)</w:t>
      </w:r>
      <w:r>
        <w:rPr>
          <w:lang w:val="es-MX"/>
        </w:rPr>
        <w:t xml:space="preserve"> que el art. 157 del TOCAF dispone que cuando se invoquen imprevistos de carácter excepcional, los mismos deberán fundarse adecuadamente;</w:t>
      </w:r>
    </w:p>
    <w:p w:rsidR="00626450" w:rsidRDefault="00626450" w:rsidP="00626450">
      <w:pPr>
        <w:spacing w:line="360" w:lineRule="auto"/>
        <w:ind w:firstLine="708"/>
        <w:jc w:val="both"/>
        <w:rPr>
          <w:lang w:val="es-MX"/>
        </w:rPr>
      </w:pPr>
      <w:r>
        <w:rPr>
          <w:lang w:val="es-MX"/>
        </w:rPr>
        <w:t xml:space="preserve">                                    </w:t>
      </w:r>
      <w:r w:rsidRPr="00F43AF4">
        <w:rPr>
          <w:b/>
          <w:lang w:val="es-MX"/>
        </w:rPr>
        <w:t>2)</w:t>
      </w:r>
      <w:r>
        <w:rPr>
          <w:lang w:val="es-MX"/>
        </w:rPr>
        <w:t xml:space="preserve"> que la contratación directa por seis meses encuentra justificación para la Administración en que no se culminó con un proyecto para concesión de áreas terrestres en el Puerto de </w:t>
      </w:r>
      <w:proofErr w:type="spellStart"/>
      <w:r>
        <w:rPr>
          <w:lang w:val="es-MX"/>
        </w:rPr>
        <w:t>Piriápolis</w:t>
      </w:r>
      <w:proofErr w:type="spellEnd"/>
      <w:r>
        <w:rPr>
          <w:lang w:val="es-MX"/>
        </w:rPr>
        <w:t xml:space="preserve">, lo que –según se expresa- llevó a que se entendiera conveniente no realizar un procedimiento competitivo, cuando ello hubiese sido procedente;  </w:t>
      </w:r>
    </w:p>
    <w:p w:rsidR="00626450" w:rsidRDefault="00626450" w:rsidP="00626450">
      <w:pPr>
        <w:spacing w:line="360" w:lineRule="auto"/>
        <w:ind w:firstLine="708"/>
        <w:jc w:val="both"/>
        <w:rPr>
          <w:lang w:val="es-MX"/>
        </w:rPr>
      </w:pPr>
      <w:r w:rsidRPr="00F43AF4">
        <w:rPr>
          <w:b/>
          <w:lang w:val="es-MX"/>
        </w:rPr>
        <w:t xml:space="preserve">                                    3)</w:t>
      </w:r>
      <w:r>
        <w:rPr>
          <w:lang w:val="es-MX"/>
        </w:rPr>
        <w:t xml:space="preserve"> que tal fundamento, basado en la propia imprevisión de la Administración, especialmente en un contrato de larga duración como la concesión de que se trata, deslegitima el procedimiento seguido y contraviene lo dispuesto por el art. 33 del TOCAF;</w:t>
      </w:r>
    </w:p>
    <w:p w:rsidR="00626450" w:rsidRPr="00A9681F" w:rsidRDefault="00626450" w:rsidP="00626450">
      <w:pPr>
        <w:spacing w:line="360" w:lineRule="auto"/>
        <w:ind w:firstLine="708"/>
        <w:jc w:val="both"/>
        <w:rPr>
          <w:bCs/>
          <w:color w:val="000000"/>
          <w:lang w:val="es-UY"/>
        </w:rPr>
      </w:pPr>
      <w:r>
        <w:rPr>
          <w:lang w:val="es-MX"/>
        </w:rPr>
        <w:t xml:space="preserve"> </w:t>
      </w:r>
      <w:r w:rsidRPr="00614BA0">
        <w:rPr>
          <w:b/>
          <w:lang w:val="es-MX"/>
        </w:rPr>
        <w:t>ATE</w:t>
      </w:r>
      <w:r w:rsidRPr="00A9681F">
        <w:rPr>
          <w:b/>
          <w:color w:val="000000"/>
          <w:lang w:val="es-UY"/>
        </w:rPr>
        <w:t xml:space="preserve">NTO: </w:t>
      </w:r>
      <w:r w:rsidRPr="00A9681F">
        <w:rPr>
          <w:bCs/>
          <w:color w:val="000000"/>
          <w:lang w:val="es-UY"/>
        </w:rPr>
        <w:t>a lo precedentemente expuesto</w:t>
      </w:r>
      <w:r>
        <w:rPr>
          <w:bCs/>
          <w:color w:val="000000"/>
          <w:lang w:val="es-UY"/>
        </w:rPr>
        <w:t xml:space="preserve"> y a lo dispuesto por el Artículo 211, literal B) de la Constitución de la República</w:t>
      </w:r>
      <w:r w:rsidRPr="00A9681F">
        <w:rPr>
          <w:bCs/>
          <w:color w:val="000000"/>
          <w:lang w:val="es-UY"/>
        </w:rPr>
        <w:t>;</w:t>
      </w:r>
    </w:p>
    <w:p w:rsidR="00626450" w:rsidRPr="00A9681F" w:rsidRDefault="00626450" w:rsidP="00626450">
      <w:pPr>
        <w:spacing w:line="360" w:lineRule="auto"/>
        <w:jc w:val="center"/>
        <w:rPr>
          <w:b/>
          <w:lang w:val="es-MX"/>
        </w:rPr>
      </w:pPr>
      <w:r w:rsidRPr="00A9681F">
        <w:rPr>
          <w:b/>
          <w:lang w:val="es-MX"/>
        </w:rPr>
        <w:t>EL  T</w:t>
      </w:r>
      <w:r>
        <w:rPr>
          <w:b/>
          <w:lang w:val="es-MX"/>
        </w:rPr>
        <w:t>RIBUNAL  ACUERDA</w:t>
      </w:r>
    </w:p>
    <w:p w:rsidR="00626450" w:rsidRDefault="00626450" w:rsidP="00626450">
      <w:pPr>
        <w:numPr>
          <w:ilvl w:val="0"/>
          <w:numId w:val="1"/>
        </w:numPr>
        <w:spacing w:line="360" w:lineRule="auto"/>
        <w:ind w:left="284" w:hanging="284"/>
        <w:jc w:val="both"/>
        <w:rPr>
          <w:color w:val="000000"/>
          <w:szCs w:val="20"/>
          <w:lang w:val="es-MX"/>
        </w:rPr>
      </w:pPr>
      <w:r w:rsidRPr="00A9681F">
        <w:rPr>
          <w:color w:val="000000"/>
          <w:szCs w:val="20"/>
          <w:lang w:val="es-MX"/>
        </w:rPr>
        <w:t xml:space="preserve">Observar el </w:t>
      </w:r>
      <w:r>
        <w:rPr>
          <w:color w:val="000000"/>
          <w:szCs w:val="20"/>
          <w:lang w:val="es-MX"/>
        </w:rPr>
        <w:t>procedimiento;</w:t>
      </w:r>
    </w:p>
    <w:p w:rsidR="00626450" w:rsidRDefault="00626450" w:rsidP="00626450">
      <w:pPr>
        <w:numPr>
          <w:ilvl w:val="0"/>
          <w:numId w:val="1"/>
        </w:numPr>
        <w:spacing w:line="360" w:lineRule="auto"/>
        <w:ind w:left="284" w:hanging="284"/>
        <w:jc w:val="both"/>
        <w:rPr>
          <w:color w:val="000000"/>
          <w:szCs w:val="20"/>
          <w:lang w:val="es-MX"/>
        </w:rPr>
      </w:pPr>
      <w:r>
        <w:rPr>
          <w:color w:val="000000"/>
          <w:szCs w:val="20"/>
          <w:lang w:val="es-MX"/>
        </w:rPr>
        <w:t>Comunicar al Contador Auditor;</w:t>
      </w:r>
    </w:p>
    <w:p w:rsidR="00626450" w:rsidRPr="00016338" w:rsidRDefault="00626450" w:rsidP="00626450">
      <w:pPr>
        <w:numPr>
          <w:ilvl w:val="0"/>
          <w:numId w:val="1"/>
        </w:numPr>
        <w:spacing w:line="360" w:lineRule="auto"/>
        <w:ind w:left="284" w:hanging="284"/>
        <w:jc w:val="both"/>
        <w:rPr>
          <w:color w:val="000000"/>
          <w:szCs w:val="20"/>
          <w:lang w:val="es-MX"/>
        </w:rPr>
      </w:pPr>
      <w:r w:rsidRPr="00016338">
        <w:rPr>
          <w:color w:val="000000"/>
          <w:szCs w:val="20"/>
          <w:lang w:val="es-MX"/>
        </w:rPr>
        <w:t>Dev</w:t>
      </w:r>
      <w:r>
        <w:rPr>
          <w:color w:val="000000"/>
          <w:szCs w:val="20"/>
          <w:lang w:val="es-MX"/>
        </w:rPr>
        <w:t xml:space="preserve">olver las actuaciones al </w:t>
      </w:r>
      <w:r>
        <w:rPr>
          <w:lang w:val="es-UY"/>
        </w:rPr>
        <w:t>Ministerio de Transporte y Obras Públicas</w:t>
      </w:r>
      <w:r>
        <w:rPr>
          <w:color w:val="000000"/>
          <w:szCs w:val="20"/>
          <w:lang w:val="es-MX"/>
        </w:rPr>
        <w:t>.</w:t>
      </w:r>
    </w:p>
    <w:p w:rsidR="00626450" w:rsidRPr="00F43AF4" w:rsidRDefault="00626450" w:rsidP="00626450">
      <w:pPr>
        <w:spacing w:line="360" w:lineRule="auto"/>
        <w:ind w:left="284" w:hanging="284"/>
        <w:jc w:val="both"/>
        <w:rPr>
          <w:rFonts w:cs="Arial"/>
          <w:bCs/>
          <w:sz w:val="20"/>
          <w:szCs w:val="20"/>
          <w:lang w:val="es-ES_tradnl"/>
        </w:rPr>
      </w:pPr>
      <w:r w:rsidRPr="00F43AF4">
        <w:rPr>
          <w:rFonts w:cs="Arial"/>
          <w:bCs/>
          <w:sz w:val="20"/>
          <w:szCs w:val="20"/>
          <w:lang w:val="es-ES_tradnl"/>
        </w:rPr>
        <w:t>CLC</w:t>
      </w:r>
    </w:p>
    <w:p w:rsidR="00626450" w:rsidRPr="00A9681F" w:rsidRDefault="00626450" w:rsidP="00626450">
      <w:pPr>
        <w:spacing w:line="360" w:lineRule="auto"/>
        <w:ind w:left="284" w:hanging="284"/>
        <w:jc w:val="both"/>
        <w:rPr>
          <w:rFonts w:cs="Arial"/>
          <w:bCs/>
          <w:lang w:val="es-ES_tradnl"/>
        </w:rPr>
      </w:pPr>
    </w:p>
    <w:p w:rsidR="00F72DBB" w:rsidRDefault="00F72DBB" w:rsidP="0075431E">
      <w:pPr>
        <w:tabs>
          <w:tab w:val="left" w:pos="2130"/>
        </w:tabs>
      </w:pPr>
    </w:p>
    <w:sectPr w:rsidR="00F72DBB" w:rsidSect="008A550C">
      <w:headerReference w:type="default" r:id="rId8"/>
      <w:pgSz w:w="11906" w:h="16838" w:code="9"/>
      <w:pgMar w:top="2835" w:right="1134" w:bottom="1134" w:left="1134" w:header="567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CB7" w:rsidRDefault="003D3CB7" w:rsidP="00F72DBB">
      <w:r>
        <w:separator/>
      </w:r>
    </w:p>
  </w:endnote>
  <w:endnote w:type="continuationSeparator" w:id="0">
    <w:p w:rsidR="003D3CB7" w:rsidRDefault="003D3CB7" w:rsidP="00F72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CB7" w:rsidRDefault="003D3CB7" w:rsidP="00F72DBB">
      <w:r>
        <w:separator/>
      </w:r>
    </w:p>
  </w:footnote>
  <w:footnote w:type="continuationSeparator" w:id="0">
    <w:p w:rsidR="003D3CB7" w:rsidRDefault="003D3CB7" w:rsidP="00F72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DBB" w:rsidRDefault="00BB2752" w:rsidP="00BB2752">
    <w:pPr>
      <w:pStyle w:val="Encabezado"/>
      <w:ind w:left="-284"/>
    </w:pPr>
    <w:r>
      <w:t xml:space="preserve">        </w:t>
    </w:r>
    <w:r>
      <w:rPr>
        <w:noProof/>
        <w:lang w:eastAsia="es-UY"/>
      </w:rPr>
      <w:t xml:space="preserve">   </w:t>
    </w:r>
    <w:r w:rsidR="00F72DBB">
      <w:rPr>
        <w:noProof/>
      </w:rPr>
      <w:drawing>
        <wp:inline distT="0" distB="0" distL="0" distR="0" wp14:anchorId="3B1FBA7B" wp14:editId="4B41D966">
          <wp:extent cx="769041" cy="885825"/>
          <wp:effectExtent l="0" t="0" r="0" b="0"/>
          <wp:docPr id="1" name="Imagen 1" descr="https://upload.wikimedia.org/wikipedia/commons/thumb/a/a0/Escudo_Uruguay.jpeg/889px-Escudo_Uruguay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upload.wikimedia.org/wikipedia/commons/thumb/a/a0/Escudo_Uruguay.jpeg/889px-Escudo_Uruguay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34" cy="895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2752" w:rsidRDefault="00BB2752" w:rsidP="00BB2752">
    <w:pPr>
      <w:pStyle w:val="Encabezado"/>
      <w:ind w:left="-284"/>
      <w:rPr>
        <w:b/>
      </w:rPr>
    </w:pPr>
    <w:r w:rsidRPr="00BB2752">
      <w:rPr>
        <w:b/>
      </w:rPr>
      <w:t>TRIBUNAL DE CUENTAS</w:t>
    </w:r>
  </w:p>
  <w:p w:rsidR="00BB2752" w:rsidRPr="00BB2752" w:rsidRDefault="00BB2752" w:rsidP="00BB2752">
    <w:pPr>
      <w:pStyle w:val="Encabezado"/>
      <w:ind w:left="-284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F7534"/>
    <w:multiLevelType w:val="hybridMultilevel"/>
    <w:tmpl w:val="D5A8445A"/>
    <w:lvl w:ilvl="0" w:tplc="90F693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DBB"/>
    <w:rsid w:val="00120E73"/>
    <w:rsid w:val="003D3CB7"/>
    <w:rsid w:val="00626450"/>
    <w:rsid w:val="006B2DAF"/>
    <w:rsid w:val="0075431E"/>
    <w:rsid w:val="0084728C"/>
    <w:rsid w:val="008A550C"/>
    <w:rsid w:val="0090477F"/>
    <w:rsid w:val="00A376A1"/>
    <w:rsid w:val="00B24061"/>
    <w:rsid w:val="00BB2752"/>
    <w:rsid w:val="00BF1143"/>
    <w:rsid w:val="00D20982"/>
    <w:rsid w:val="00F7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45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2D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2DBB"/>
  </w:style>
  <w:style w:type="paragraph" w:styleId="Piedepgina">
    <w:name w:val="footer"/>
    <w:basedOn w:val="Normal"/>
    <w:link w:val="PiedepginaCar"/>
    <w:uiPriority w:val="99"/>
    <w:unhideWhenUsed/>
    <w:rsid w:val="00F72D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2DBB"/>
  </w:style>
  <w:style w:type="paragraph" w:styleId="Textodeglobo">
    <w:name w:val="Balloon Text"/>
    <w:basedOn w:val="Normal"/>
    <w:link w:val="TextodegloboCar"/>
    <w:uiPriority w:val="99"/>
    <w:semiHidden/>
    <w:unhideWhenUsed/>
    <w:rsid w:val="00F72D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D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45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2D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2DBB"/>
  </w:style>
  <w:style w:type="paragraph" w:styleId="Piedepgina">
    <w:name w:val="footer"/>
    <w:basedOn w:val="Normal"/>
    <w:link w:val="PiedepginaCar"/>
    <w:uiPriority w:val="99"/>
    <w:unhideWhenUsed/>
    <w:rsid w:val="00F72D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2DBB"/>
  </w:style>
  <w:style w:type="paragraph" w:styleId="Textodeglobo">
    <w:name w:val="Balloon Text"/>
    <w:basedOn w:val="Normal"/>
    <w:link w:val="TextodegloboCar"/>
    <w:uiPriority w:val="99"/>
    <w:semiHidden/>
    <w:unhideWhenUsed/>
    <w:rsid w:val="00F72D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D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Acosta</dc:creator>
  <cp:lastModifiedBy>Tribunal1</cp:lastModifiedBy>
  <cp:revision>3</cp:revision>
  <cp:lastPrinted>2017-11-10T18:04:00Z</cp:lastPrinted>
  <dcterms:created xsi:type="dcterms:W3CDTF">2017-11-10T19:29:00Z</dcterms:created>
  <dcterms:modified xsi:type="dcterms:W3CDTF">2017-11-10T19:30:00Z</dcterms:modified>
</cp:coreProperties>
</file>