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84" w:rsidRPr="00DC7D84" w:rsidRDefault="00DC7D84" w:rsidP="00DC7D84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  <w:proofErr w:type="spellStart"/>
      <w:r w:rsidRPr="00DC7D84">
        <w:rPr>
          <w:rFonts w:ascii="Arial" w:hAnsi="Arial" w:cs="Arial"/>
          <w:lang w:val="es-ES_tradnl"/>
        </w:rPr>
        <w:t>RES.Nº</w:t>
      </w:r>
      <w:proofErr w:type="spellEnd"/>
      <w:r w:rsidRPr="00DC7D84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3609</w:t>
      </w:r>
      <w:r w:rsidRPr="00DC7D84">
        <w:rPr>
          <w:rFonts w:ascii="Arial" w:hAnsi="Arial" w:cs="Arial"/>
          <w:lang w:val="es-ES_tradnl"/>
        </w:rPr>
        <w:t>/17</w:t>
      </w:r>
    </w:p>
    <w:p w:rsidR="00DC7D84" w:rsidRPr="00DC7D84" w:rsidRDefault="00DC7D84" w:rsidP="00DC7D8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C7D84" w:rsidRPr="00DC7D84" w:rsidRDefault="00DC7D84" w:rsidP="00DC7D8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C7D84">
        <w:rPr>
          <w:rFonts w:ascii="Arial" w:hAnsi="Arial" w:cs="Arial"/>
          <w:lang w:val="es-ES_tradnl"/>
        </w:rPr>
        <w:t>RESOLUCION ADOPTADA POR EL</w:t>
      </w:r>
    </w:p>
    <w:p w:rsidR="00DC7D84" w:rsidRPr="00DC7D84" w:rsidRDefault="00DC7D84" w:rsidP="00DC7D8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C7D84" w:rsidRPr="00DC7D84" w:rsidRDefault="00DC7D84" w:rsidP="00DC7D8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C7D84">
        <w:rPr>
          <w:rFonts w:ascii="Arial" w:hAnsi="Arial" w:cs="Arial"/>
          <w:lang w:val="es-ES_tradnl"/>
        </w:rPr>
        <w:t>TRIBUNAL DE CUENTAS</w:t>
      </w:r>
    </w:p>
    <w:p w:rsidR="00DC7D84" w:rsidRPr="00DC7D84" w:rsidRDefault="00DC7D84" w:rsidP="00DC7D8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C7D84" w:rsidRPr="00DC7D84" w:rsidRDefault="00DC7D84" w:rsidP="00DC7D8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C7D84">
        <w:rPr>
          <w:rFonts w:ascii="Arial" w:hAnsi="Arial" w:cs="Arial"/>
          <w:lang w:val="es-ES_tradnl"/>
        </w:rPr>
        <w:t>EN SESION DE FECHA 1º DE NOVIEMBRE DE 2017</w:t>
      </w:r>
    </w:p>
    <w:p w:rsidR="00DC7D84" w:rsidRPr="00DC7D84" w:rsidRDefault="00DC7D84" w:rsidP="00DC7D8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C7D84" w:rsidRPr="00DC7D84" w:rsidRDefault="00DC7D84" w:rsidP="00DC7D8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C7D84">
        <w:rPr>
          <w:rFonts w:ascii="Arial" w:hAnsi="Arial" w:cs="Arial"/>
          <w:lang w:val="es-ES_tradnl"/>
        </w:rPr>
        <w:t>(</w:t>
      </w:r>
      <w:proofErr w:type="spellStart"/>
      <w:r w:rsidRPr="00DC7D84">
        <w:rPr>
          <w:rFonts w:ascii="Arial" w:hAnsi="Arial" w:cs="Arial"/>
          <w:lang w:val="es-ES_tradnl"/>
        </w:rPr>
        <w:t>E.E.Nº</w:t>
      </w:r>
      <w:proofErr w:type="spellEnd"/>
      <w:r>
        <w:rPr>
          <w:rFonts w:ascii="Arial" w:hAnsi="Arial" w:cs="Arial"/>
          <w:lang w:val="es-ES_tradnl"/>
        </w:rPr>
        <w:t xml:space="preserve"> 2017-17-1-0002627</w:t>
      </w:r>
      <w:r w:rsidRPr="00DC7D84">
        <w:rPr>
          <w:rFonts w:ascii="Arial" w:hAnsi="Arial" w:cs="Arial"/>
          <w:lang w:val="es-ES_tradnl"/>
        </w:rPr>
        <w:t xml:space="preserve">, </w:t>
      </w:r>
      <w:proofErr w:type="spellStart"/>
      <w:r w:rsidRPr="00DC7D84">
        <w:rPr>
          <w:rFonts w:ascii="Arial" w:hAnsi="Arial" w:cs="Arial"/>
          <w:lang w:val="es-ES_tradnl"/>
        </w:rPr>
        <w:t>Ent.N°</w:t>
      </w:r>
      <w:proofErr w:type="spellEnd"/>
      <w:r>
        <w:rPr>
          <w:rFonts w:ascii="Arial" w:hAnsi="Arial" w:cs="Arial"/>
          <w:lang w:val="es-ES_tradnl"/>
        </w:rPr>
        <w:t xml:space="preserve"> 5255</w:t>
      </w:r>
      <w:r w:rsidRPr="00DC7D84">
        <w:rPr>
          <w:rFonts w:ascii="Arial" w:hAnsi="Arial" w:cs="Arial"/>
          <w:lang w:val="es-ES_tradnl"/>
        </w:rPr>
        <w:t>/</w:t>
      </w:r>
      <w:r>
        <w:rPr>
          <w:rFonts w:ascii="Arial" w:hAnsi="Arial" w:cs="Arial"/>
          <w:lang w:val="es-ES_tradnl"/>
        </w:rPr>
        <w:t>17</w:t>
      </w:r>
      <w:r w:rsidRPr="00DC7D84">
        <w:rPr>
          <w:rFonts w:ascii="Arial" w:hAnsi="Arial" w:cs="Arial"/>
          <w:lang w:val="es-ES_tradnl"/>
        </w:rPr>
        <w:t>)</w:t>
      </w:r>
    </w:p>
    <w:p w:rsidR="00DC7D84" w:rsidRPr="004746D1" w:rsidRDefault="00DC7D84" w:rsidP="00DC7D84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spacing w:val="-3"/>
          <w:lang w:val="es-ES_tradnl"/>
        </w:rPr>
      </w:pPr>
    </w:p>
    <w:p w:rsidR="00BD0841" w:rsidRDefault="00BD0841" w:rsidP="00DC7D84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>VISTO:</w:t>
      </w:r>
      <w:r>
        <w:rPr>
          <w:rFonts w:ascii="Arial" w:hAnsi="Arial" w:cs="Arial"/>
          <w:b w:val="0"/>
          <w:bCs w:val="0"/>
          <w:lang w:val="es-ES_tradnl"/>
        </w:rPr>
        <w:t xml:space="preserve"> el Oficio Nº 263/</w:t>
      </w:r>
      <w:r w:rsidR="00DC7D84">
        <w:rPr>
          <w:rFonts w:ascii="Arial" w:hAnsi="Arial" w:cs="Arial"/>
          <w:b w:val="0"/>
          <w:bCs w:val="0"/>
          <w:lang w:val="es-ES_tradnl"/>
        </w:rPr>
        <w:t>20</w:t>
      </w:r>
      <w:r>
        <w:rPr>
          <w:rFonts w:ascii="Arial" w:hAnsi="Arial" w:cs="Arial"/>
          <w:b w:val="0"/>
          <w:bCs w:val="0"/>
          <w:lang w:val="es-ES_tradnl"/>
        </w:rPr>
        <w:t xml:space="preserve">17 remitido por la </w:t>
      </w:r>
      <w:r>
        <w:rPr>
          <w:rFonts w:ascii="Arial" w:hAnsi="Arial" w:cs="Arial"/>
          <w:b w:val="0"/>
          <w:bCs w:val="0"/>
          <w:lang w:val="es-UY"/>
        </w:rPr>
        <w:t>Intendencia de Río Negro</w:t>
      </w:r>
      <w:r w:rsidR="00DC7D84">
        <w:rPr>
          <w:rFonts w:ascii="Arial" w:hAnsi="Arial" w:cs="Arial"/>
          <w:b w:val="0"/>
          <w:bCs w:val="0"/>
          <w:lang w:val="es-UY"/>
        </w:rPr>
        <w:t>,</w:t>
      </w:r>
      <w:r>
        <w:rPr>
          <w:rFonts w:ascii="Arial" w:hAnsi="Arial" w:cs="Arial"/>
          <w:b w:val="0"/>
          <w:bCs w:val="0"/>
          <w:lang w:val="es-UY"/>
        </w:rPr>
        <w:t xml:space="preserve"> relacionado con la ampliación de la </w:t>
      </w:r>
      <w:r w:rsidR="00DC7D84">
        <w:rPr>
          <w:rFonts w:ascii="Arial" w:hAnsi="Arial" w:cs="Arial"/>
          <w:b w:val="0"/>
          <w:bCs w:val="0"/>
          <w:lang w:val="es-UY"/>
        </w:rPr>
        <w:t>C</w:t>
      </w:r>
      <w:r>
        <w:rPr>
          <w:rFonts w:ascii="Arial" w:hAnsi="Arial" w:cs="Arial"/>
          <w:b w:val="0"/>
          <w:bCs w:val="0"/>
          <w:lang w:val="es-UY"/>
        </w:rPr>
        <w:t xml:space="preserve">ontratación </w:t>
      </w:r>
      <w:r w:rsidR="00DC7D84">
        <w:rPr>
          <w:rFonts w:ascii="Arial" w:hAnsi="Arial" w:cs="Arial"/>
          <w:b w:val="0"/>
          <w:bCs w:val="0"/>
          <w:lang w:val="es-UY"/>
        </w:rPr>
        <w:t>D</w:t>
      </w:r>
      <w:r>
        <w:rPr>
          <w:rFonts w:ascii="Arial" w:hAnsi="Arial" w:cs="Arial"/>
          <w:b w:val="0"/>
          <w:bCs w:val="0"/>
          <w:lang w:val="es-UY"/>
        </w:rPr>
        <w:t>irecta con la firma PILARSYL SA para la reali</w:t>
      </w:r>
      <w:r w:rsidR="008B1A22">
        <w:rPr>
          <w:rFonts w:ascii="Arial" w:hAnsi="Arial" w:cs="Arial"/>
          <w:b w:val="0"/>
          <w:bCs w:val="0"/>
          <w:lang w:val="es-UY"/>
        </w:rPr>
        <w:t>zación de obras en el C</w:t>
      </w:r>
      <w:r w:rsidR="00DC7D84">
        <w:rPr>
          <w:rFonts w:ascii="Arial" w:hAnsi="Arial" w:cs="Arial"/>
          <w:b w:val="0"/>
          <w:bCs w:val="0"/>
          <w:lang w:val="es-UY"/>
        </w:rPr>
        <w:t xml:space="preserve">omplejo </w:t>
      </w:r>
      <w:r>
        <w:rPr>
          <w:rFonts w:ascii="Arial" w:hAnsi="Arial" w:cs="Arial"/>
          <w:b w:val="0"/>
          <w:bCs w:val="0"/>
          <w:lang w:val="es-UY"/>
        </w:rPr>
        <w:t>J</w:t>
      </w:r>
      <w:r w:rsidR="00DC7D84">
        <w:rPr>
          <w:rFonts w:ascii="Arial" w:hAnsi="Arial" w:cs="Arial"/>
          <w:b w:val="0"/>
          <w:bCs w:val="0"/>
          <w:lang w:val="es-UY"/>
        </w:rPr>
        <w:t>C</w:t>
      </w:r>
      <w:r>
        <w:rPr>
          <w:rFonts w:ascii="Arial" w:hAnsi="Arial" w:cs="Arial"/>
          <w:b w:val="0"/>
          <w:bCs w:val="0"/>
          <w:lang w:val="es-UY"/>
        </w:rPr>
        <w:t xml:space="preserve">6 </w:t>
      </w:r>
      <w:r w:rsidR="00DC7D84">
        <w:rPr>
          <w:rFonts w:ascii="Arial" w:hAnsi="Arial" w:cs="Arial"/>
          <w:b w:val="0"/>
          <w:bCs w:val="0"/>
          <w:lang w:val="es-UY"/>
        </w:rPr>
        <w:t>de la ciudad de Fray Bentos;</w:t>
      </w:r>
    </w:p>
    <w:p w:rsidR="00BD0841" w:rsidRDefault="00BD0841" w:rsidP="00DC7D84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 xml:space="preserve">que con fecha 21/07/14 se suscribió </w:t>
      </w:r>
      <w:r w:rsidR="00DC7D84">
        <w:rPr>
          <w:rFonts w:ascii="Arial" w:hAnsi="Arial" w:cs="Arial"/>
          <w:b w:val="0"/>
          <w:bCs w:val="0"/>
          <w:lang w:val="es-UY"/>
        </w:rPr>
        <w:t>un C</w:t>
      </w:r>
      <w:r>
        <w:rPr>
          <w:rFonts w:ascii="Arial" w:hAnsi="Arial" w:cs="Arial"/>
          <w:b w:val="0"/>
          <w:bCs w:val="0"/>
          <w:lang w:val="es-UY"/>
        </w:rPr>
        <w:t>onvenio marco e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ntre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la Intendencia de Río Negro y la Agencia Nacional de Vivienda;</w:t>
      </w:r>
    </w:p>
    <w:p w:rsidR="00DC7D84" w:rsidRDefault="00BD0841" w:rsidP="00DC7D84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2) </w:t>
      </w:r>
      <w:r>
        <w:rPr>
          <w:rFonts w:ascii="Arial" w:hAnsi="Arial" w:cs="Arial"/>
          <w:b w:val="0"/>
          <w:bCs w:val="0"/>
          <w:lang w:val="es-ES_tradnl"/>
        </w:rPr>
        <w:t>que de acuerdo con</w:t>
      </w:r>
      <w:r w:rsidR="00DC7D84">
        <w:rPr>
          <w:rFonts w:ascii="Arial" w:hAnsi="Arial" w:cs="Arial"/>
          <w:b w:val="0"/>
          <w:bCs w:val="0"/>
          <w:lang w:val="es-ES_tradnl"/>
        </w:rPr>
        <w:t xml:space="preserve"> los antecedentes que obran en E</w:t>
      </w:r>
      <w:r>
        <w:rPr>
          <w:rFonts w:ascii="Arial" w:hAnsi="Arial" w:cs="Arial"/>
          <w:b w:val="0"/>
          <w:bCs w:val="0"/>
          <w:lang w:val="es-ES_tradnl"/>
        </w:rPr>
        <w:t>xpediente 2014-17-1-0002627</w:t>
      </w:r>
      <w:r w:rsidR="00DC7D84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el  objeto</w:t>
      </w:r>
      <w:r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b w:val="0"/>
          <w:bCs w:val="0"/>
          <w:lang w:val="es-ES_tradnl"/>
        </w:rPr>
        <w:t>del mismo es la instrumentación de acciones tendientes a lograr el acondicionamiento</w:t>
      </w:r>
      <w:r w:rsidR="00DC7D84">
        <w:rPr>
          <w:rFonts w:ascii="Arial" w:hAnsi="Arial" w:cs="Arial"/>
          <w:b w:val="0"/>
          <w:bCs w:val="0"/>
          <w:lang w:val="es-ES_tradnl"/>
        </w:rPr>
        <w:t xml:space="preserve"> de las viviendas del </w:t>
      </w:r>
      <w:r w:rsidR="008B1A22">
        <w:rPr>
          <w:rFonts w:ascii="Arial" w:hAnsi="Arial" w:cs="Arial"/>
          <w:b w:val="0"/>
          <w:bCs w:val="0"/>
          <w:lang w:val="es-ES_tradnl"/>
        </w:rPr>
        <w:t>C</w:t>
      </w:r>
      <w:r w:rsidR="00DC7D84">
        <w:rPr>
          <w:rFonts w:ascii="Arial" w:hAnsi="Arial" w:cs="Arial"/>
          <w:b w:val="0"/>
          <w:bCs w:val="0"/>
          <w:lang w:val="es-ES_tradnl"/>
        </w:rPr>
        <w:t xml:space="preserve">omplejo </w:t>
      </w:r>
      <w:r>
        <w:rPr>
          <w:rFonts w:ascii="Arial" w:hAnsi="Arial" w:cs="Arial"/>
          <w:b w:val="0"/>
          <w:bCs w:val="0"/>
          <w:lang w:val="es-ES_tradnl"/>
        </w:rPr>
        <w:t>J</w:t>
      </w:r>
      <w:r w:rsidR="00DC7D84">
        <w:rPr>
          <w:rFonts w:ascii="Arial" w:hAnsi="Arial" w:cs="Arial"/>
          <w:b w:val="0"/>
          <w:bCs w:val="0"/>
          <w:lang w:val="es-ES_tradnl"/>
        </w:rPr>
        <w:t>C</w:t>
      </w:r>
      <w:r>
        <w:rPr>
          <w:rFonts w:ascii="Arial" w:hAnsi="Arial" w:cs="Arial"/>
          <w:b w:val="0"/>
          <w:bCs w:val="0"/>
          <w:lang w:val="es-ES_tradnl"/>
        </w:rPr>
        <w:t xml:space="preserve">6; </w:t>
      </w:r>
    </w:p>
    <w:p w:rsidR="00DC7D84" w:rsidRDefault="00BD0841" w:rsidP="00DC7D84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3) </w:t>
      </w:r>
      <w:r>
        <w:rPr>
          <w:rFonts w:ascii="Arial" w:hAnsi="Arial" w:cs="Arial"/>
          <w:b w:val="0"/>
          <w:bCs w:val="0"/>
          <w:lang w:val="es-ES_tradnl"/>
        </w:rPr>
        <w:t xml:space="preserve">que la </w:t>
      </w:r>
      <w:r w:rsidR="00DC7D84">
        <w:rPr>
          <w:rFonts w:ascii="Arial" w:hAnsi="Arial" w:cs="Arial"/>
          <w:b w:val="0"/>
          <w:bCs w:val="0"/>
          <w:lang w:val="es-ES_tradnl"/>
        </w:rPr>
        <w:t>Cláusula tercera del C</w:t>
      </w:r>
      <w:r>
        <w:rPr>
          <w:rFonts w:ascii="Arial" w:hAnsi="Arial" w:cs="Arial"/>
          <w:b w:val="0"/>
          <w:bCs w:val="0"/>
          <w:lang w:val="es-ES_tradnl"/>
        </w:rPr>
        <w:t>onvenio determina las obligaciones de las partes, correspondiendo a la Intendencia de Río Negro:</w:t>
      </w:r>
    </w:p>
    <w:p w:rsidR="00D35FBC" w:rsidRDefault="00DC7D84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C7D84">
        <w:rPr>
          <w:rFonts w:ascii="Arial" w:hAnsi="Arial" w:cs="Arial"/>
          <w:bCs w:val="0"/>
          <w:lang w:val="es-ES_tradnl"/>
        </w:rPr>
        <w:t>3.</w:t>
      </w:r>
      <w:r w:rsidR="00BD0841" w:rsidRPr="00DC7D84">
        <w:rPr>
          <w:rFonts w:ascii="Arial" w:hAnsi="Arial" w:cs="Arial"/>
          <w:bCs w:val="0"/>
          <w:lang w:val="es-ES_tradnl"/>
        </w:rPr>
        <w:t>1</w:t>
      </w:r>
      <w:r w:rsidRPr="00DC7D84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elaborar junto con el MVOTMA y la ANV el proyecto de acondicionamiento a desarrollarse, incluyendo las siguientes modificaciones: </w:t>
      </w:r>
    </w:p>
    <w:p w:rsidR="00DC7D84" w:rsidRDefault="00BD0841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C7D84">
        <w:rPr>
          <w:rFonts w:ascii="Arial" w:hAnsi="Arial" w:cs="Arial"/>
          <w:bCs w:val="0"/>
          <w:lang w:val="es-ES_tradnl"/>
        </w:rPr>
        <w:t>a)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proofErr w:type="gramStart"/>
      <w:r>
        <w:rPr>
          <w:rFonts w:ascii="Arial" w:hAnsi="Arial" w:cs="Arial"/>
          <w:b w:val="0"/>
          <w:bCs w:val="0"/>
          <w:lang w:val="es-ES_tradnl"/>
        </w:rPr>
        <w:t>obra</w:t>
      </w:r>
      <w:proofErr w:type="gramEnd"/>
      <w:r>
        <w:rPr>
          <w:rFonts w:ascii="Arial" w:hAnsi="Arial" w:cs="Arial"/>
          <w:b w:val="0"/>
          <w:bCs w:val="0"/>
          <w:lang w:val="es-ES_tradnl"/>
        </w:rPr>
        <w:t xml:space="preserve">; </w:t>
      </w:r>
      <w:r w:rsidRPr="00DC7D84">
        <w:rPr>
          <w:rFonts w:ascii="Arial" w:hAnsi="Arial" w:cs="Arial"/>
          <w:bCs w:val="0"/>
          <w:lang w:val="es-ES_tradnl"/>
        </w:rPr>
        <w:t>b)</w:t>
      </w:r>
      <w:r>
        <w:rPr>
          <w:rFonts w:ascii="Arial" w:hAnsi="Arial" w:cs="Arial"/>
          <w:b w:val="0"/>
          <w:bCs w:val="0"/>
          <w:lang w:val="es-ES_tradnl"/>
        </w:rPr>
        <w:t xml:space="preserve"> criterios de devolución de préstamos y/o asignación de subsidios o pago; </w:t>
      </w:r>
      <w:r w:rsidRPr="00DC7D84">
        <w:rPr>
          <w:rFonts w:ascii="Arial" w:hAnsi="Arial" w:cs="Arial"/>
          <w:bCs w:val="0"/>
          <w:lang w:val="es-ES_tradnl"/>
        </w:rPr>
        <w:t>c)</w:t>
      </w:r>
      <w:r>
        <w:rPr>
          <w:rFonts w:ascii="Arial" w:hAnsi="Arial" w:cs="Arial"/>
          <w:b w:val="0"/>
          <w:bCs w:val="0"/>
          <w:lang w:val="es-ES_tradnl"/>
        </w:rPr>
        <w:t xml:space="preserve"> modalidad de gestión, asistencia técnica a suministrar por los tres organismos</w:t>
      </w:r>
      <w:r w:rsidR="00DC7D84">
        <w:rPr>
          <w:rFonts w:ascii="Arial" w:hAnsi="Arial" w:cs="Arial"/>
          <w:b w:val="0"/>
          <w:bCs w:val="0"/>
          <w:lang w:val="es-ES_tradnl"/>
        </w:rPr>
        <w:t>;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D35FBC">
        <w:rPr>
          <w:rFonts w:ascii="Arial" w:hAnsi="Arial" w:cs="Arial"/>
          <w:b w:val="0"/>
          <w:bCs w:val="0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 xml:space="preserve">y </w:t>
      </w:r>
      <w:r w:rsidR="00D35FBC">
        <w:rPr>
          <w:rFonts w:ascii="Arial" w:hAnsi="Arial" w:cs="Arial"/>
          <w:b w:val="0"/>
          <w:bCs w:val="0"/>
          <w:lang w:val="es-ES_tradnl"/>
        </w:rPr>
        <w:t xml:space="preserve"> </w:t>
      </w:r>
      <w:r w:rsidRPr="00DC7D84">
        <w:rPr>
          <w:rFonts w:ascii="Arial" w:hAnsi="Arial" w:cs="Arial"/>
          <w:bCs w:val="0"/>
          <w:lang w:val="es-ES_tradnl"/>
        </w:rPr>
        <w:t>d)</w:t>
      </w:r>
      <w:r>
        <w:rPr>
          <w:rFonts w:ascii="Arial" w:hAnsi="Arial" w:cs="Arial"/>
          <w:b w:val="0"/>
          <w:bCs w:val="0"/>
          <w:lang w:val="es-ES_tradnl"/>
        </w:rPr>
        <w:t xml:space="preserve"> modalidad de gestión; </w:t>
      </w:r>
    </w:p>
    <w:p w:rsidR="00D35FBC" w:rsidRDefault="00D35FBC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3.</w:t>
      </w:r>
      <w:r w:rsidR="00BD0841" w:rsidRPr="00D35FBC">
        <w:rPr>
          <w:rFonts w:ascii="Arial" w:hAnsi="Arial" w:cs="Arial"/>
          <w:bCs w:val="0"/>
          <w:lang w:val="es-ES_tradnl"/>
        </w:rPr>
        <w:t>2</w:t>
      </w:r>
      <w:r w:rsidRPr="00D35FBC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administrar los recursos económicos vertidos por el MVOTMA</w:t>
      </w:r>
      <w:r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para la ejecución del programa; </w:t>
      </w:r>
    </w:p>
    <w:p w:rsidR="00D35FBC" w:rsidRDefault="00D35FBC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3.</w:t>
      </w:r>
      <w:r w:rsidR="00BD0841" w:rsidRPr="00D35FBC">
        <w:rPr>
          <w:rFonts w:ascii="Arial" w:hAnsi="Arial" w:cs="Arial"/>
          <w:bCs w:val="0"/>
          <w:lang w:val="es-ES_tradnl"/>
        </w:rPr>
        <w:t>3</w:t>
      </w:r>
      <w:r w:rsidRPr="00D35FBC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elaborar los pliegos de licitación pública y el llamado respectivo; </w:t>
      </w:r>
    </w:p>
    <w:p w:rsidR="00D35FBC" w:rsidRDefault="00D35FBC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3.</w:t>
      </w:r>
      <w:r w:rsidR="00BD0841" w:rsidRPr="00D35FBC">
        <w:rPr>
          <w:rFonts w:ascii="Arial" w:hAnsi="Arial" w:cs="Arial"/>
          <w:bCs w:val="0"/>
          <w:lang w:val="es-ES_tradnl"/>
        </w:rPr>
        <w:t>4</w:t>
      </w:r>
      <w:r w:rsidRPr="00D35FBC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aportar la suma de UR 9.519; </w:t>
      </w:r>
    </w:p>
    <w:p w:rsidR="00D35FBC" w:rsidRDefault="00D35FBC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3.</w:t>
      </w:r>
      <w:r w:rsidR="00BD0841" w:rsidRPr="00D35FBC">
        <w:rPr>
          <w:rFonts w:ascii="Arial" w:hAnsi="Arial" w:cs="Arial"/>
          <w:bCs w:val="0"/>
          <w:lang w:val="es-ES_tradnl"/>
        </w:rPr>
        <w:t>5</w:t>
      </w:r>
      <w:r w:rsidRPr="00D35FBC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otorgar todos los actos y contratos necesarios para la incorporación del bien a propiedad horizontal;                                  </w:t>
      </w:r>
    </w:p>
    <w:p w:rsidR="00D35FBC" w:rsidRDefault="00D35FBC" w:rsidP="00DC7D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lastRenderedPageBreak/>
        <w:t>3.</w:t>
      </w:r>
      <w:r w:rsidR="00BD0841" w:rsidRPr="00D35FBC">
        <w:rPr>
          <w:rFonts w:ascii="Arial" w:hAnsi="Arial" w:cs="Arial"/>
          <w:bCs w:val="0"/>
          <w:lang w:val="es-ES_tradnl"/>
        </w:rPr>
        <w:t>6</w:t>
      </w:r>
      <w:r w:rsidRPr="00D35FBC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aportar un coordinador general de obra con 40 horas semanales;</w:t>
      </w:r>
    </w:p>
    <w:p w:rsidR="00D35FBC" w:rsidRDefault="00D35FB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3.</w:t>
      </w:r>
      <w:r w:rsidR="00BD0841" w:rsidRPr="00D35FBC">
        <w:rPr>
          <w:rFonts w:ascii="Arial" w:hAnsi="Arial" w:cs="Arial"/>
          <w:bCs w:val="0"/>
          <w:lang w:val="es-ES_tradnl"/>
        </w:rPr>
        <w:t>7</w:t>
      </w:r>
      <w:r w:rsidRPr="00D35FBC">
        <w:rPr>
          <w:rFonts w:ascii="Arial" w:hAnsi="Arial" w:cs="Arial"/>
          <w:bCs w:val="0"/>
          <w:lang w:val="es-ES_tradnl"/>
        </w:rPr>
        <w:t>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BD0841">
        <w:rPr>
          <w:rFonts w:ascii="Arial" w:hAnsi="Arial" w:cs="Arial"/>
          <w:b w:val="0"/>
          <w:bCs w:val="0"/>
          <w:lang w:val="es-ES_tradnl"/>
        </w:rPr>
        <w:t>conformar una comisión de seguimiento con representantes de la Dirección Nacional de Vivienda y la ANV;</w:t>
      </w:r>
    </w:p>
    <w:p w:rsidR="00D35FBC" w:rsidRDefault="00BD0841" w:rsidP="00D35FBC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4) </w:t>
      </w:r>
      <w:r w:rsidR="00D35FBC">
        <w:rPr>
          <w:rFonts w:ascii="Arial" w:hAnsi="Arial" w:cs="Arial"/>
          <w:b w:val="0"/>
          <w:bCs w:val="0"/>
          <w:lang w:val="es-ES_tradnl"/>
        </w:rPr>
        <w:t>que</w:t>
      </w:r>
      <w:r>
        <w:rPr>
          <w:rFonts w:ascii="Arial" w:hAnsi="Arial" w:cs="Arial"/>
          <w:b w:val="0"/>
          <w:bCs w:val="0"/>
          <w:lang w:val="es-ES_tradnl"/>
        </w:rPr>
        <w:t xml:space="preserve"> por su parte</w:t>
      </w:r>
      <w:r w:rsidR="008B1A22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corresponde al MVOTMA</w:t>
      </w:r>
      <w:r w:rsidR="008B1A22">
        <w:rPr>
          <w:rFonts w:ascii="Arial" w:hAnsi="Arial" w:cs="Arial"/>
          <w:b w:val="0"/>
          <w:bCs w:val="0"/>
          <w:lang w:val="es-ES_tradnl"/>
        </w:rPr>
        <w:t xml:space="preserve"> que</w:t>
      </w:r>
      <w:r>
        <w:rPr>
          <w:rFonts w:ascii="Arial" w:hAnsi="Arial" w:cs="Arial"/>
          <w:b w:val="0"/>
          <w:bCs w:val="0"/>
          <w:lang w:val="es-ES_tradnl"/>
        </w:rPr>
        <w:t xml:space="preserve"> se determinan las siguientes</w:t>
      </w:r>
      <w:r w:rsidR="00D35FBC">
        <w:rPr>
          <w:rFonts w:ascii="Arial" w:hAnsi="Arial" w:cs="Arial"/>
          <w:b w:val="0"/>
          <w:bCs w:val="0"/>
          <w:lang w:val="es-ES_tradnl"/>
        </w:rPr>
        <w:t xml:space="preserve"> actuaciones</w:t>
      </w:r>
      <w:r>
        <w:rPr>
          <w:rFonts w:ascii="Arial" w:hAnsi="Arial" w:cs="Arial"/>
          <w:b w:val="0"/>
          <w:bCs w:val="0"/>
          <w:lang w:val="es-ES_tradnl"/>
        </w:rPr>
        <w:t xml:space="preserve">: </w:t>
      </w:r>
    </w:p>
    <w:p w:rsidR="00D35FBC" w:rsidRDefault="00D35FBC" w:rsidP="00D35FB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8B1A22">
        <w:rPr>
          <w:rFonts w:ascii="Arial" w:hAnsi="Arial" w:cs="Arial"/>
          <w:bCs w:val="0"/>
          <w:lang w:val="es-ES_tradnl"/>
        </w:rPr>
        <w:t>4.</w:t>
      </w:r>
      <w:r w:rsidR="00BD0841" w:rsidRPr="008B1A22">
        <w:rPr>
          <w:rFonts w:ascii="Arial" w:hAnsi="Arial" w:cs="Arial"/>
          <w:bCs w:val="0"/>
          <w:lang w:val="es-ES_tradnl"/>
        </w:rPr>
        <w:t>1</w:t>
      </w:r>
      <w:r w:rsidRPr="008B1A22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elaborar, conjuntamente con la IDR y la ANV el proyecto</w:t>
      </w:r>
      <w:r>
        <w:rPr>
          <w:rFonts w:ascii="Arial" w:hAnsi="Arial" w:cs="Arial"/>
          <w:b w:val="0"/>
          <w:bCs w:val="0"/>
          <w:lang w:val="es-ES_tradnl"/>
        </w:rPr>
        <w:t xml:space="preserve"> a desarrollar en el marco del C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onvenio; </w:t>
      </w:r>
    </w:p>
    <w:p w:rsidR="00D35FBC" w:rsidRDefault="00D35FB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8B1A22">
        <w:rPr>
          <w:rFonts w:ascii="Arial" w:hAnsi="Arial" w:cs="Arial"/>
          <w:bCs w:val="0"/>
          <w:lang w:val="es-ES_tradnl"/>
        </w:rPr>
        <w:t>4.</w:t>
      </w:r>
      <w:r w:rsidR="00BD0841" w:rsidRPr="008B1A22">
        <w:rPr>
          <w:rFonts w:ascii="Arial" w:hAnsi="Arial" w:cs="Arial"/>
          <w:bCs w:val="0"/>
          <w:lang w:val="es-ES_tradnl"/>
        </w:rPr>
        <w:t>2</w:t>
      </w:r>
      <w:r w:rsidRPr="008B1A22">
        <w:rPr>
          <w:rFonts w:ascii="Arial" w:hAnsi="Arial" w:cs="Arial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aportar la suma de hasta UR 25.881 en tres pagos: el 50% una vez finalizado el proceso licitatorio; el 30% cuando se alcance una ejecución de al menos el 50% de las actuaciones previstas y luego de presentadas las rendiciones e informes correspondientes; 20% una vez que se alcance el 80% de las actuaciones previstas y luego de presentados los informes </w:t>
      </w:r>
      <w:r>
        <w:rPr>
          <w:rFonts w:ascii="Arial" w:hAnsi="Arial" w:cs="Arial"/>
          <w:b w:val="0"/>
          <w:bCs w:val="0"/>
          <w:lang w:val="es-ES_tradnl"/>
        </w:rPr>
        <w:t>y rendiciones correspondientes;</w:t>
      </w:r>
    </w:p>
    <w:p w:rsidR="00D35FBC" w:rsidRDefault="00BD0841" w:rsidP="00D35FBC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5) </w:t>
      </w:r>
      <w:r>
        <w:rPr>
          <w:rFonts w:ascii="Arial" w:hAnsi="Arial" w:cs="Arial"/>
          <w:b w:val="0"/>
          <w:bCs w:val="0"/>
          <w:lang w:val="es-ES_tradnl"/>
        </w:rPr>
        <w:t xml:space="preserve">que las obligaciones de la Agencia Nacional de Vivienda consisten en: </w:t>
      </w:r>
    </w:p>
    <w:p w:rsidR="00D35FBC" w:rsidRDefault="00D35FBC" w:rsidP="00D35FB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5.</w:t>
      </w:r>
      <w:r w:rsidR="00BD0841" w:rsidRPr="00D35FBC">
        <w:rPr>
          <w:rFonts w:ascii="Arial" w:hAnsi="Arial" w:cs="Arial"/>
          <w:bCs w:val="0"/>
          <w:lang w:val="es-ES_tradnl"/>
        </w:rPr>
        <w:t xml:space="preserve">1) </w:t>
      </w:r>
      <w:r w:rsidR="008B1A22">
        <w:rPr>
          <w:rFonts w:ascii="Arial" w:hAnsi="Arial" w:cs="Arial"/>
          <w:b w:val="0"/>
          <w:bCs w:val="0"/>
          <w:lang w:val="es-ES_tradnl"/>
        </w:rPr>
        <w:t>a</w:t>
      </w:r>
      <w:r w:rsidR="00BD0841">
        <w:rPr>
          <w:rFonts w:ascii="Arial" w:hAnsi="Arial" w:cs="Arial"/>
          <w:b w:val="0"/>
          <w:bCs w:val="0"/>
          <w:lang w:val="es-ES_tradnl"/>
        </w:rPr>
        <w:t>sesorar en el proceso de incorporación al régimen de propiedad horizontal;</w:t>
      </w:r>
    </w:p>
    <w:p w:rsidR="00D35FBC" w:rsidRDefault="00D35FBC" w:rsidP="00D35FB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5.2)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8B1A22">
        <w:rPr>
          <w:rFonts w:ascii="Arial" w:hAnsi="Arial" w:cs="Arial"/>
          <w:b w:val="0"/>
          <w:bCs w:val="0"/>
          <w:lang w:val="es-ES_tradnl"/>
        </w:rPr>
        <w:t>o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torgar los negocios jurídicos que se indiquen; </w:t>
      </w:r>
    </w:p>
    <w:p w:rsidR="00BD0841" w:rsidRDefault="00D35FBC" w:rsidP="00D35FB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35FBC">
        <w:rPr>
          <w:rFonts w:ascii="Arial" w:hAnsi="Arial" w:cs="Arial"/>
          <w:bCs w:val="0"/>
          <w:lang w:val="es-ES_tradnl"/>
        </w:rPr>
        <w:t>5.</w:t>
      </w:r>
      <w:r w:rsidR="00BD0841" w:rsidRPr="00D35FBC">
        <w:rPr>
          <w:rFonts w:ascii="Arial" w:hAnsi="Arial" w:cs="Arial"/>
          <w:bCs w:val="0"/>
          <w:lang w:val="es-ES_tradnl"/>
        </w:rPr>
        <w:t>3)</w:t>
      </w:r>
      <w:r w:rsidR="008B1A22">
        <w:rPr>
          <w:rFonts w:ascii="Arial" w:hAnsi="Arial" w:cs="Arial"/>
          <w:b w:val="0"/>
          <w:bCs w:val="0"/>
          <w:lang w:val="es-ES_tradnl"/>
        </w:rPr>
        <w:t xml:space="preserve"> g</w:t>
      </w:r>
      <w:r w:rsidR="00BD0841">
        <w:rPr>
          <w:rFonts w:ascii="Arial" w:hAnsi="Arial" w:cs="Arial"/>
          <w:b w:val="0"/>
          <w:bCs w:val="0"/>
          <w:lang w:val="es-ES_tradnl"/>
        </w:rPr>
        <w:t>estionar los créditos que puedan surgir de los negocios jurídicos respectivos</w:t>
      </w:r>
      <w:r w:rsidR="008B1A22"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celebrados con cada adjudicatario, vertiendo los fondos recaudados al MVOTMA, rindiendo cuentas</w:t>
      </w:r>
      <w:r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percibiendo los honorarios y desarrollando las actividades en</w:t>
      </w:r>
      <w:r>
        <w:rPr>
          <w:rFonts w:ascii="Arial" w:hAnsi="Arial" w:cs="Arial"/>
          <w:b w:val="0"/>
          <w:bCs w:val="0"/>
          <w:lang w:val="es-ES_tradnl"/>
        </w:rPr>
        <w:t xml:space="preserve"> los términos que establece el Convenio;</w:t>
      </w:r>
    </w:p>
    <w:p w:rsidR="00D35FBC" w:rsidRDefault="00BD0841" w:rsidP="00D35FBC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6) </w:t>
      </w:r>
      <w:r>
        <w:rPr>
          <w:rFonts w:ascii="Arial" w:hAnsi="Arial" w:cs="Arial"/>
          <w:b w:val="0"/>
          <w:bCs w:val="0"/>
          <w:lang w:val="es-ES_tradnl"/>
        </w:rPr>
        <w:t>que en sesión de fecha 18/06/14 es</w:t>
      </w:r>
      <w:r w:rsidR="00D35FBC">
        <w:rPr>
          <w:rFonts w:ascii="Arial" w:hAnsi="Arial" w:cs="Arial"/>
          <w:b w:val="0"/>
          <w:bCs w:val="0"/>
          <w:lang w:val="es-ES_tradnl"/>
        </w:rPr>
        <w:t>te Tribunal,  al considerar el C</w:t>
      </w:r>
      <w:r>
        <w:rPr>
          <w:rFonts w:ascii="Arial" w:hAnsi="Arial" w:cs="Arial"/>
          <w:b w:val="0"/>
          <w:bCs w:val="0"/>
          <w:lang w:val="es-ES_tradnl"/>
        </w:rPr>
        <w:t>onvenio marco remitido por el MVOTMA, no formuló observaciones al mismo</w:t>
      </w:r>
      <w:r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estableciendo que una vez dictada Resolución por el Ordenador competente, se tendría por intervenido el gasto de UR 25.881, cometiendo a la Contadora Auditora la verificación, previo a la concreción de los pagos previs</w:t>
      </w:r>
      <w:r w:rsidR="00D35FBC">
        <w:rPr>
          <w:rFonts w:ascii="Arial" w:hAnsi="Arial" w:cs="Arial"/>
          <w:b w:val="0"/>
          <w:bCs w:val="0"/>
          <w:lang w:val="es-ES_tradnl"/>
        </w:rPr>
        <w:t>tos, de que la Resolución y el C</w:t>
      </w:r>
      <w:r>
        <w:rPr>
          <w:rFonts w:ascii="Arial" w:hAnsi="Arial" w:cs="Arial"/>
          <w:b w:val="0"/>
          <w:bCs w:val="0"/>
          <w:lang w:val="es-ES_tradnl"/>
        </w:rPr>
        <w:t>onvenio concuerden con lo</w:t>
      </w:r>
      <w:r w:rsidR="00D35FBC">
        <w:rPr>
          <w:rFonts w:ascii="Arial" w:hAnsi="Arial" w:cs="Arial"/>
          <w:b w:val="0"/>
          <w:bCs w:val="0"/>
          <w:lang w:val="es-ES_tradnl"/>
        </w:rPr>
        <w:t>s antecedentes remitidos al Tribunal de Cuentas;</w:t>
      </w:r>
    </w:p>
    <w:p w:rsidR="007D2EB3" w:rsidRDefault="00BD0841" w:rsidP="007D2EB3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lastRenderedPageBreak/>
        <w:t xml:space="preserve">7) </w:t>
      </w:r>
      <w:r>
        <w:rPr>
          <w:rFonts w:ascii="Arial" w:hAnsi="Arial" w:cs="Arial"/>
          <w:b w:val="0"/>
          <w:bCs w:val="0"/>
          <w:lang w:val="es-UY"/>
        </w:rPr>
        <w:t>que por Resolución Nº 1061 dictada por el Intendente con fecha 28/09/16</w:t>
      </w:r>
      <w:r w:rsidR="00D35FBC">
        <w:rPr>
          <w:rFonts w:ascii="Arial" w:hAnsi="Arial" w:cs="Arial"/>
          <w:b w:val="0"/>
          <w:bCs w:val="0"/>
          <w:lang w:val="es-UY"/>
        </w:rPr>
        <w:t>,</w:t>
      </w:r>
      <w:r>
        <w:rPr>
          <w:rFonts w:ascii="Arial" w:hAnsi="Arial" w:cs="Arial"/>
          <w:b w:val="0"/>
          <w:bCs w:val="0"/>
          <w:lang w:val="es-UY"/>
        </w:rPr>
        <w:t xml:space="preserve"> se dis</w:t>
      </w:r>
      <w:r w:rsidR="007D2EB3">
        <w:rPr>
          <w:rFonts w:ascii="Arial" w:hAnsi="Arial" w:cs="Arial"/>
          <w:b w:val="0"/>
          <w:bCs w:val="0"/>
          <w:lang w:val="es-UY"/>
        </w:rPr>
        <w:t>puso, en el marco del referido C</w:t>
      </w:r>
      <w:r>
        <w:rPr>
          <w:rFonts w:ascii="Arial" w:hAnsi="Arial" w:cs="Arial"/>
          <w:b w:val="0"/>
          <w:bCs w:val="0"/>
          <w:lang w:val="es-UY"/>
        </w:rPr>
        <w:t>onvenio,  realizar un llamado mediante licitación pública</w:t>
      </w:r>
      <w:r w:rsidR="007D2EB3">
        <w:rPr>
          <w:rFonts w:ascii="Arial" w:hAnsi="Arial" w:cs="Arial"/>
          <w:b w:val="0"/>
          <w:bCs w:val="0"/>
          <w:lang w:val="es-UY"/>
        </w:rPr>
        <w:t>,</w:t>
      </w:r>
      <w:r>
        <w:rPr>
          <w:rFonts w:ascii="Arial" w:hAnsi="Arial" w:cs="Arial"/>
          <w:b w:val="0"/>
          <w:bCs w:val="0"/>
          <w:lang w:val="es-UY"/>
        </w:rPr>
        <w:t xml:space="preserve"> a</w:t>
      </w:r>
      <w:r>
        <w:rPr>
          <w:rFonts w:ascii="Arial" w:hAnsi="Arial" w:cs="Arial"/>
          <w:b w:val="0"/>
          <w:bCs w:val="0"/>
          <w:lang w:val="es-ES_tradnl"/>
        </w:rPr>
        <w:t xml:space="preserve"> empresas interesadas en la refacción del complejo de viviendas “JC6” (Blocks Nos. 1, 6, 7 y 8), ubicado en el Padrón Nº 2170, de la ciudad de Fray Bentos, propiedad de la Intendencia de Río Negro, median</w:t>
      </w:r>
      <w:r w:rsidR="007D2EB3">
        <w:rPr>
          <w:rFonts w:ascii="Arial" w:hAnsi="Arial" w:cs="Arial"/>
          <w:b w:val="0"/>
          <w:bCs w:val="0"/>
          <w:lang w:val="es-ES_tradnl"/>
        </w:rPr>
        <w:t>te el sistema “llave en mano” (Licitación 2/2016);</w:t>
      </w:r>
    </w:p>
    <w:p w:rsidR="007D2EB3" w:rsidRDefault="00BD0841" w:rsidP="007D2EB3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8) </w:t>
      </w:r>
      <w:r>
        <w:rPr>
          <w:rFonts w:ascii="Arial" w:hAnsi="Arial" w:cs="Arial"/>
          <w:b w:val="0"/>
          <w:bCs w:val="0"/>
          <w:lang w:val="es-ES_tradnl"/>
        </w:rPr>
        <w:t xml:space="preserve">que de acuerdo con el Pliego de Condiciones </w:t>
      </w:r>
      <w:r>
        <w:rPr>
          <w:rFonts w:ascii="Arial" w:hAnsi="Arial" w:cs="Arial"/>
          <w:lang w:val="es-ES_tradnl"/>
        </w:rPr>
        <w:t xml:space="preserve"> </w:t>
      </w:r>
      <w:r w:rsidR="007D2EB3">
        <w:rPr>
          <w:rFonts w:ascii="Arial" w:hAnsi="Arial" w:cs="Arial"/>
          <w:b w:val="0"/>
          <w:lang w:val="es-ES_tradnl"/>
        </w:rPr>
        <w:t>G</w:t>
      </w:r>
      <w:r>
        <w:rPr>
          <w:rFonts w:ascii="Arial" w:hAnsi="Arial" w:cs="Arial"/>
          <w:b w:val="0"/>
          <w:bCs w:val="0"/>
          <w:lang w:val="es-ES_tradnl"/>
        </w:rPr>
        <w:t>enerales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las obras a realizar son refacciones en el interior de los Departamentos y en los espacios comunes de los blocks que integran el complejo habitacional de referencia;</w:t>
      </w:r>
    </w:p>
    <w:p w:rsidR="007D2EB3" w:rsidRDefault="00BD0841" w:rsidP="007D2EB3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9) </w:t>
      </w:r>
      <w:r>
        <w:rPr>
          <w:rFonts w:ascii="Arial" w:hAnsi="Arial" w:cs="Arial"/>
          <w:b w:val="0"/>
          <w:bCs w:val="0"/>
          <w:lang w:val="es-ES_tradnl"/>
        </w:rPr>
        <w:t>que la Comisión Asesora de Adjudicaciones con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 fecha 01/02/</w:t>
      </w:r>
      <w:r>
        <w:rPr>
          <w:rFonts w:ascii="Arial" w:hAnsi="Arial" w:cs="Arial"/>
          <w:b w:val="0"/>
          <w:bCs w:val="0"/>
          <w:lang w:val="es-ES_tradnl"/>
        </w:rPr>
        <w:t xml:space="preserve">17 aconseja rechazar la oferta presentada, dictándose por el Intendente la Resolución 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Nº </w:t>
      </w:r>
      <w:r>
        <w:rPr>
          <w:rFonts w:ascii="Arial" w:hAnsi="Arial" w:cs="Arial"/>
          <w:b w:val="0"/>
          <w:bCs w:val="0"/>
          <w:lang w:val="es-ES_tradnl"/>
        </w:rPr>
        <w:t>174 del 03/02/17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por la que resolvió rechazar la oferta presentada por PILARSYL SA, por considerarla manifiestamente inconveniente a los intereses de la Administración;</w:t>
      </w:r>
    </w:p>
    <w:p w:rsidR="007D2EB3" w:rsidRDefault="00BD0841" w:rsidP="007D2EB3">
      <w:pPr>
        <w:spacing w:line="360" w:lineRule="auto"/>
        <w:ind w:firstLine="2410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10) </w:t>
      </w:r>
      <w:r>
        <w:rPr>
          <w:rFonts w:ascii="Arial" w:hAnsi="Arial" w:cs="Arial"/>
          <w:b w:val="0"/>
          <w:bCs w:val="0"/>
          <w:lang w:val="es-ES_tradnl"/>
        </w:rPr>
        <w:t>que el oferente fue notificado el 07/02/17, presentando el 20/03/17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una nueva oferta confeccionada sobre la base de una proyección de metrajes menos genérica y más vinculada a los metrajes reales de obra, manteniendo el espíritu de la </w:t>
      </w:r>
      <w:r w:rsidR="007D2EB3">
        <w:rPr>
          <w:rFonts w:ascii="Arial" w:hAnsi="Arial" w:cs="Arial"/>
          <w:b w:val="0"/>
          <w:bCs w:val="0"/>
          <w:lang w:val="es-ES_tradnl"/>
        </w:rPr>
        <w:t>L</w:t>
      </w:r>
      <w:r>
        <w:rPr>
          <w:rFonts w:ascii="Arial" w:hAnsi="Arial" w:cs="Arial"/>
          <w:b w:val="0"/>
          <w:bCs w:val="0"/>
          <w:lang w:val="es-ES_tradnl"/>
        </w:rPr>
        <w:t xml:space="preserve">icitación 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Nº </w:t>
      </w:r>
      <w:r>
        <w:rPr>
          <w:rFonts w:ascii="Arial" w:hAnsi="Arial" w:cs="Arial"/>
          <w:b w:val="0"/>
          <w:bCs w:val="0"/>
          <w:lang w:val="es-ES_tradnl"/>
        </w:rPr>
        <w:t xml:space="preserve">2/2016, adjuntando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planillado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del que surgen los siguientes valores: </w:t>
      </w:r>
      <w:r w:rsidR="007D2EB3">
        <w:rPr>
          <w:rFonts w:ascii="Arial" w:hAnsi="Arial" w:cs="Arial"/>
          <w:b w:val="0"/>
          <w:bCs w:val="0"/>
          <w:lang w:val="es-ES_tradnl"/>
        </w:rPr>
        <w:t>-</w:t>
      </w:r>
      <w:r>
        <w:rPr>
          <w:rFonts w:ascii="Arial" w:hAnsi="Arial" w:cs="Arial"/>
          <w:b w:val="0"/>
          <w:bCs w:val="0"/>
          <w:lang w:val="es-ES_tradnl"/>
        </w:rPr>
        <w:t>sub total obra (no incluye (IVA)</w:t>
      </w:r>
      <w:r w:rsidR="007D2EB3">
        <w:rPr>
          <w:rFonts w:ascii="Arial" w:hAnsi="Arial" w:cs="Arial"/>
          <w:b w:val="0"/>
          <w:bCs w:val="0"/>
          <w:lang w:val="es-ES_tradnl"/>
        </w:rPr>
        <w:t>:</w:t>
      </w:r>
      <w:r>
        <w:rPr>
          <w:rFonts w:ascii="Arial" w:hAnsi="Arial" w:cs="Arial"/>
          <w:b w:val="0"/>
          <w:bCs w:val="0"/>
          <w:lang w:val="es-ES_tradnl"/>
        </w:rPr>
        <w:t xml:space="preserve"> $ 16:789.034,61;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 -</w:t>
      </w:r>
      <w:r>
        <w:rPr>
          <w:rFonts w:ascii="Arial" w:hAnsi="Arial" w:cs="Arial"/>
          <w:b w:val="0"/>
          <w:bCs w:val="0"/>
          <w:lang w:val="es-ES_tradnl"/>
        </w:rPr>
        <w:t xml:space="preserve">IVA: $ 3:693.587,62; </w:t>
      </w:r>
      <w:r w:rsidR="007D2EB3">
        <w:rPr>
          <w:rFonts w:ascii="Arial" w:hAnsi="Arial" w:cs="Arial"/>
          <w:b w:val="0"/>
          <w:bCs w:val="0"/>
          <w:lang w:val="es-ES_tradnl"/>
        </w:rPr>
        <w:t>-</w:t>
      </w:r>
      <w:r>
        <w:rPr>
          <w:rFonts w:ascii="Arial" w:hAnsi="Arial" w:cs="Arial"/>
          <w:b w:val="0"/>
          <w:bCs w:val="0"/>
          <w:lang w:val="es-ES_tradnl"/>
        </w:rPr>
        <w:t xml:space="preserve">aportes leyes sociales: 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               $ </w:t>
      </w:r>
      <w:r>
        <w:rPr>
          <w:rFonts w:ascii="Arial" w:hAnsi="Arial" w:cs="Arial"/>
          <w:b w:val="0"/>
          <w:bCs w:val="0"/>
          <w:lang w:val="es-ES_tradnl"/>
        </w:rPr>
        <w:t xml:space="preserve">3:596.179,90; </w:t>
      </w:r>
    </w:p>
    <w:p w:rsidR="007D2EB3" w:rsidRDefault="00BD0841" w:rsidP="007D2EB3">
      <w:pPr>
        <w:spacing w:line="360" w:lineRule="auto"/>
        <w:ind w:firstLine="2410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11)  </w:t>
      </w:r>
      <w:r>
        <w:rPr>
          <w:rFonts w:ascii="Arial" w:hAnsi="Arial" w:cs="Arial"/>
          <w:b w:val="0"/>
          <w:bCs w:val="0"/>
          <w:lang w:val="es-ES_tradnl"/>
        </w:rPr>
        <w:t>que considerando la nueva oferta presentada y los informes favorables de los servicios técnicos, por Resolución Nº 429 de fecha 04/04/17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el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 Intendente dispuso  contratar -</w:t>
      </w:r>
      <w:r w:rsidR="008B1A22">
        <w:rPr>
          <w:rFonts w:ascii="Arial" w:hAnsi="Arial" w:cs="Arial"/>
          <w:b w:val="0"/>
          <w:bCs w:val="0"/>
          <w:lang w:val="es-ES_tradnl"/>
        </w:rPr>
        <w:t>en forma directa-</w:t>
      </w:r>
      <w:r>
        <w:rPr>
          <w:rFonts w:ascii="Arial" w:hAnsi="Arial" w:cs="Arial"/>
          <w:b w:val="0"/>
          <w:bCs w:val="0"/>
          <w:lang w:val="es-ES_tradnl"/>
        </w:rPr>
        <w:t xml:space="preserve"> a PILARSYL SA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a efectos de llevar a cabo las obras ne</w:t>
      </w:r>
      <w:r w:rsidR="008B1A22">
        <w:rPr>
          <w:rFonts w:ascii="Arial" w:hAnsi="Arial" w:cs="Arial"/>
          <w:b w:val="0"/>
          <w:bCs w:val="0"/>
          <w:lang w:val="es-ES_tradnl"/>
        </w:rPr>
        <w:t>cesarias para la refacción del C</w:t>
      </w:r>
      <w:r>
        <w:rPr>
          <w:rFonts w:ascii="Arial" w:hAnsi="Arial" w:cs="Arial"/>
          <w:b w:val="0"/>
          <w:bCs w:val="0"/>
          <w:lang w:val="es-ES_tradnl"/>
        </w:rPr>
        <w:t>omplejo JC6 Blocks Nos. 1, 6, 7 y 8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mediante el sistema “llave en mano” por un monto total de $ 24:078.802,15</w:t>
      </w:r>
      <w:r w:rsidR="008B1A22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con IVA y todo otro tributo exigido por la legislación vigente;</w:t>
      </w:r>
    </w:p>
    <w:p w:rsidR="007D2EB3" w:rsidRDefault="007D2EB3" w:rsidP="007D2EB3">
      <w:pPr>
        <w:spacing w:line="360" w:lineRule="auto"/>
        <w:ind w:firstLine="2410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lastRenderedPageBreak/>
        <w:t>1</w:t>
      </w:r>
      <w:r w:rsidR="00BD0841">
        <w:rPr>
          <w:rFonts w:ascii="Arial" w:hAnsi="Arial" w:cs="Arial"/>
          <w:lang w:val="es-ES_tradnl"/>
        </w:rPr>
        <w:t>2)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este Tribunal con fecha 26/07/17, considerando que la contratación encuadraba en lo dispuesto por el Art</w:t>
      </w:r>
      <w:r>
        <w:rPr>
          <w:rFonts w:ascii="Arial" w:hAnsi="Arial" w:cs="Arial"/>
          <w:b w:val="0"/>
          <w:bCs w:val="0"/>
          <w:lang w:val="es-ES_tradnl"/>
        </w:rPr>
        <w:t>ículo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33 Lit</w:t>
      </w:r>
      <w:r>
        <w:rPr>
          <w:rFonts w:ascii="Arial" w:hAnsi="Arial" w:cs="Arial"/>
          <w:b w:val="0"/>
          <w:bCs w:val="0"/>
          <w:lang w:val="es-ES_tradnl"/>
        </w:rPr>
        <w:t>.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C) del TOCAF, y que las obras encuadraban en el </w:t>
      </w:r>
      <w:r>
        <w:rPr>
          <w:rFonts w:ascii="Arial" w:hAnsi="Arial" w:cs="Arial"/>
          <w:b w:val="0"/>
          <w:bCs w:val="0"/>
          <w:lang w:val="es-ES_tradnl"/>
        </w:rPr>
        <w:t>C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onvenio de referencia, acordó no formular observaciones y cometer al Contador Delegado la intervención del gasto;        </w:t>
      </w:r>
    </w:p>
    <w:p w:rsidR="007D2EB3" w:rsidRDefault="007D2EB3" w:rsidP="007D2EB3">
      <w:pPr>
        <w:spacing w:line="360" w:lineRule="auto"/>
        <w:ind w:firstLine="2410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1</w:t>
      </w:r>
      <w:r w:rsidR="00BD0841">
        <w:rPr>
          <w:rFonts w:ascii="Arial" w:hAnsi="Arial" w:cs="Arial"/>
          <w:lang w:val="es-ES_tradnl"/>
        </w:rPr>
        <w:t>3)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en la oportunidad previa conformidad del adjudicatario, e informe en el que se expresa que la contratación se encuentra vigente al 22/09/17, el Intendente mediante Resolución Nº 1225 de 29/09/17, </w:t>
      </w:r>
      <w:r>
        <w:rPr>
          <w:rFonts w:ascii="Arial" w:hAnsi="Arial" w:cs="Arial"/>
          <w:b w:val="0"/>
          <w:bCs w:val="0"/>
          <w:lang w:val="es-ES_tradnl"/>
        </w:rPr>
        <w:t xml:space="preserve">dispone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ampliar </w:t>
      </w:r>
      <w:r>
        <w:rPr>
          <w:rFonts w:ascii="Arial" w:hAnsi="Arial" w:cs="Arial"/>
          <w:b w:val="0"/>
          <w:bCs w:val="0"/>
          <w:lang w:val="es-ES_tradnl"/>
        </w:rPr>
        <w:t>-</w:t>
      </w:r>
      <w:r w:rsidR="00BD0841">
        <w:rPr>
          <w:rFonts w:ascii="Arial" w:hAnsi="Arial" w:cs="Arial"/>
          <w:b w:val="0"/>
          <w:bCs w:val="0"/>
          <w:lang w:val="es-ES_tradnl"/>
        </w:rPr>
        <w:t>ad referéndum de la intervención de este Tribunal</w:t>
      </w:r>
      <w:r>
        <w:rPr>
          <w:rFonts w:ascii="Arial" w:hAnsi="Arial" w:cs="Arial"/>
          <w:b w:val="0"/>
          <w:bCs w:val="0"/>
          <w:lang w:val="es-ES_tradnl"/>
        </w:rPr>
        <w:t>-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 en un </w:t>
      </w:r>
      <w:r>
        <w:rPr>
          <w:rFonts w:ascii="Arial" w:hAnsi="Arial" w:cs="Arial"/>
          <w:b w:val="0"/>
          <w:bCs w:val="0"/>
          <w:lang w:val="es-ES_tradnl"/>
        </w:rPr>
        <w:t xml:space="preserve">    </w:t>
      </w:r>
      <w:r w:rsidR="00BD0841">
        <w:rPr>
          <w:rFonts w:ascii="Arial" w:hAnsi="Arial" w:cs="Arial"/>
          <w:b w:val="0"/>
          <w:bCs w:val="0"/>
          <w:lang w:val="es-ES_tradnl"/>
        </w:rPr>
        <w:t>100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% la contratación con </w:t>
      </w:r>
      <w:proofErr w:type="spellStart"/>
      <w:r w:rsidR="00BD0841">
        <w:rPr>
          <w:rFonts w:ascii="Arial" w:hAnsi="Arial" w:cs="Arial"/>
          <w:b w:val="0"/>
          <w:bCs w:val="0"/>
          <w:lang w:val="es-ES_tradnl"/>
        </w:rPr>
        <w:t>Pilarsyl</w:t>
      </w:r>
      <w:proofErr w:type="spellEnd"/>
      <w:r w:rsidR="00BD0841">
        <w:rPr>
          <w:rFonts w:ascii="Arial" w:hAnsi="Arial" w:cs="Arial"/>
          <w:b w:val="0"/>
          <w:bCs w:val="0"/>
          <w:lang w:val="es-ES_tradnl"/>
        </w:rPr>
        <w:t xml:space="preserve"> SA</w:t>
      </w:r>
      <w:r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a los efectos de llevar a cabo las obras necesarias para la refacción del complejo de vivienda JC 6 por un monto total de </w:t>
      </w:r>
      <w:r>
        <w:rPr>
          <w:rFonts w:ascii="Arial" w:hAnsi="Arial" w:cs="Arial"/>
          <w:b w:val="0"/>
          <w:bCs w:val="0"/>
          <w:lang w:val="es-ES_tradnl"/>
        </w:rPr>
        <w:t>$ 24:078.802,</w:t>
      </w:r>
      <w:r w:rsidR="00BD0841">
        <w:rPr>
          <w:rFonts w:ascii="Arial" w:hAnsi="Arial" w:cs="Arial"/>
          <w:b w:val="0"/>
          <w:bCs w:val="0"/>
          <w:lang w:val="es-ES_tradnl"/>
        </w:rPr>
        <w:t>15</w:t>
      </w:r>
      <w:r>
        <w:rPr>
          <w:rFonts w:ascii="Arial" w:hAnsi="Arial" w:cs="Arial"/>
          <w:b w:val="0"/>
          <w:bCs w:val="0"/>
          <w:lang w:val="es-ES_tradnl"/>
        </w:rPr>
        <w:t xml:space="preserve">,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IVA y Aportes Sociales incluidos; </w:t>
      </w:r>
    </w:p>
    <w:p w:rsidR="00BD0841" w:rsidRDefault="00BD0841" w:rsidP="007D2EB3">
      <w:pPr>
        <w:spacing w:line="360" w:lineRule="auto"/>
        <w:ind w:firstLine="2410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14)</w:t>
      </w:r>
      <w:r>
        <w:rPr>
          <w:rFonts w:ascii="Arial" w:hAnsi="Arial" w:cs="Arial"/>
          <w:b w:val="0"/>
          <w:bCs w:val="0"/>
          <w:lang w:val="es-ES_tradnl"/>
        </w:rPr>
        <w:t xml:space="preserve"> que la Contadora Delegada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con fecha 29/09/17 informa que, el Rubro 51389, Programa 202, el cual tiene un saldo ajustado </w:t>
      </w:r>
      <w:r w:rsidR="007D2EB3">
        <w:rPr>
          <w:rFonts w:ascii="Arial" w:hAnsi="Arial" w:cs="Arial"/>
          <w:b w:val="0"/>
          <w:bCs w:val="0"/>
          <w:lang w:val="es-ES_tradnl"/>
        </w:rPr>
        <w:t>de $ 39:</w:t>
      </w:r>
      <w:r>
        <w:rPr>
          <w:rFonts w:ascii="Arial" w:hAnsi="Arial" w:cs="Arial"/>
          <w:b w:val="0"/>
          <w:bCs w:val="0"/>
          <w:lang w:val="es-ES_tradnl"/>
        </w:rPr>
        <w:t>548.385 y saldo disponible de $ 18:859.244</w:t>
      </w:r>
      <w:r w:rsidR="007D2EB3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para el presupuesto 2017, 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     </w:t>
      </w:r>
      <w:r>
        <w:rPr>
          <w:rFonts w:ascii="Arial" w:hAnsi="Arial" w:cs="Arial"/>
          <w:b w:val="0"/>
          <w:bCs w:val="0"/>
          <w:lang w:val="es-ES_tradnl"/>
        </w:rPr>
        <w:t xml:space="preserve">y el gasto presupuestado para la ampliación solicitada ascenderá a 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                   </w:t>
      </w:r>
      <w:r>
        <w:rPr>
          <w:rFonts w:ascii="Arial" w:hAnsi="Arial" w:cs="Arial"/>
          <w:b w:val="0"/>
          <w:bCs w:val="0"/>
          <w:lang w:val="es-ES_tradnl"/>
        </w:rPr>
        <w:t>$ 24:078.802,15</w:t>
      </w:r>
      <w:r w:rsidR="007D2EB3">
        <w:rPr>
          <w:rFonts w:ascii="Arial" w:hAnsi="Arial" w:cs="Arial"/>
          <w:b w:val="0"/>
          <w:bCs w:val="0"/>
          <w:lang w:val="es-ES_tradnl"/>
        </w:rPr>
        <w:t xml:space="preserve">, </w:t>
      </w:r>
      <w:r>
        <w:rPr>
          <w:rFonts w:ascii="Arial" w:hAnsi="Arial" w:cs="Arial"/>
          <w:b w:val="0"/>
          <w:bCs w:val="0"/>
          <w:lang w:val="es-ES_tradnl"/>
        </w:rPr>
        <w:t xml:space="preserve">VA y Leyes Sociales incluidos;       </w:t>
      </w:r>
    </w:p>
    <w:p w:rsidR="008B1A22" w:rsidRDefault="00BD0841" w:rsidP="008B1A22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CONSIDERANDO:1) </w:t>
      </w:r>
      <w:r>
        <w:rPr>
          <w:rFonts w:ascii="Arial" w:hAnsi="Arial" w:cs="Arial"/>
          <w:b w:val="0"/>
          <w:bCs w:val="0"/>
          <w:lang w:val="es-ES_tradnl"/>
        </w:rPr>
        <w:t>que si bien las obras a realizar encuadran en las previsiones contenidas en el Convenio suscrito entre el MVOTMA, la ANV y la Intendencia de Río Negro, respecto del c</w:t>
      </w:r>
      <w:r w:rsidR="00B64AA0">
        <w:rPr>
          <w:rFonts w:ascii="Arial" w:hAnsi="Arial" w:cs="Arial"/>
          <w:b w:val="0"/>
          <w:bCs w:val="0"/>
          <w:lang w:val="es-ES_tradnl"/>
        </w:rPr>
        <w:t>ual, en S</w:t>
      </w:r>
      <w:r w:rsidR="008B1A22">
        <w:rPr>
          <w:rFonts w:ascii="Arial" w:hAnsi="Arial" w:cs="Arial"/>
          <w:b w:val="0"/>
          <w:bCs w:val="0"/>
          <w:lang w:val="es-ES_tradnl"/>
        </w:rPr>
        <w:t>esión de fecha 18/06/</w:t>
      </w:r>
      <w:r>
        <w:rPr>
          <w:rFonts w:ascii="Arial" w:hAnsi="Arial" w:cs="Arial"/>
          <w:b w:val="0"/>
          <w:bCs w:val="0"/>
          <w:lang w:val="es-ES_tradnl"/>
        </w:rPr>
        <w:t>14 (Expediente 2014-17-1-0004174)</w:t>
      </w:r>
      <w:r w:rsidR="008B1A22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este </w:t>
      </w:r>
      <w:r w:rsidR="00B64AA0">
        <w:rPr>
          <w:rFonts w:ascii="Arial" w:hAnsi="Arial" w:cs="Arial"/>
          <w:b w:val="0"/>
          <w:bCs w:val="0"/>
          <w:lang w:val="es-ES_tradnl"/>
        </w:rPr>
        <w:t>Cuerpo no formuló observaciones</w:t>
      </w:r>
      <w:r>
        <w:rPr>
          <w:rFonts w:ascii="Arial" w:hAnsi="Arial" w:cs="Arial"/>
          <w:b w:val="0"/>
          <w:bCs w:val="0"/>
          <w:lang w:val="es-ES_tradnl"/>
        </w:rPr>
        <w:t xml:space="preserve"> con la ampliación dispuesta en la oportunidad, se está superando el monto allí estipulado como de cargo de la Intendencia (Resultandos 3, y 11 a 12);</w:t>
      </w:r>
    </w:p>
    <w:p w:rsidR="008B1A22" w:rsidRDefault="00BD0841" w:rsidP="008B1A22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que </w:t>
      </w:r>
      <w:r>
        <w:rPr>
          <w:rFonts w:ascii="Arial" w:hAnsi="Arial" w:cs="Arial"/>
          <w:b w:val="0"/>
          <w:bCs w:val="0"/>
        </w:rPr>
        <w:t>en consecuencia, es improcedente una nueva contratación, al destinarse fondos q</w:t>
      </w:r>
      <w:r w:rsidR="008B1A22">
        <w:rPr>
          <w:rFonts w:ascii="Arial" w:hAnsi="Arial" w:cs="Arial"/>
          <w:b w:val="0"/>
          <w:bCs w:val="0"/>
        </w:rPr>
        <w:t>ue exceden los previstos en el C</w:t>
      </w:r>
      <w:r>
        <w:rPr>
          <w:rFonts w:ascii="Arial" w:hAnsi="Arial" w:cs="Arial"/>
          <w:b w:val="0"/>
          <w:bCs w:val="0"/>
        </w:rPr>
        <w:t xml:space="preserve">onvenio, para la construcción o refacción de viviendas, competencias que no se encuentran dentro de las atribuidas a los Gobiernos Departamentales, ya que las mismas corresponden al Ministerio de Vivienda, Ordenamiento </w:t>
      </w:r>
      <w:r>
        <w:rPr>
          <w:rFonts w:ascii="Arial" w:hAnsi="Arial" w:cs="Arial"/>
          <w:b w:val="0"/>
          <w:bCs w:val="0"/>
        </w:rPr>
        <w:lastRenderedPageBreak/>
        <w:t>Territorial y Medio Ambiente, el Banco Hipotecario del Uruguay y la Agencia Nacional de Vivienda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BD0841" w:rsidRDefault="00BD0841" w:rsidP="008B1A22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bookmarkStart w:id="0" w:name="_GoBack"/>
      <w:bookmarkEnd w:id="0"/>
      <w:r>
        <w:rPr>
          <w:rFonts w:ascii="Arial" w:hAnsi="Arial" w:cs="Arial"/>
          <w:lang w:val="es-ES_tradnl"/>
        </w:rPr>
        <w:t xml:space="preserve">3) </w:t>
      </w:r>
      <w:r>
        <w:rPr>
          <w:rFonts w:ascii="Arial" w:hAnsi="Arial" w:cs="Arial"/>
          <w:b w:val="0"/>
          <w:bCs w:val="0"/>
          <w:lang w:val="es-ES_tradnl"/>
        </w:rPr>
        <w:t>que se cont</w:t>
      </w:r>
      <w:r w:rsidR="008B1A22">
        <w:rPr>
          <w:rFonts w:ascii="Arial" w:hAnsi="Arial" w:cs="Arial"/>
          <w:b w:val="0"/>
          <w:bCs w:val="0"/>
          <w:lang w:val="es-ES_tradnl"/>
        </w:rPr>
        <w:t>raviene lo dispuesto por el Artículo</w:t>
      </w:r>
      <w:r>
        <w:rPr>
          <w:rFonts w:ascii="Arial" w:hAnsi="Arial" w:cs="Arial"/>
          <w:b w:val="0"/>
          <w:bCs w:val="0"/>
          <w:lang w:val="es-ES_tradnl"/>
        </w:rPr>
        <w:t xml:space="preserve"> 15 del TOCAF</w:t>
      </w:r>
      <w:r w:rsidR="008B1A22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al comprometerse un gasto sin crédito presupuestal disponible;   </w:t>
      </w:r>
    </w:p>
    <w:p w:rsidR="00BD0841" w:rsidRDefault="00BD0841" w:rsidP="008B1A22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precedentemente exp</w:t>
      </w:r>
      <w:r w:rsidR="008B1A22">
        <w:rPr>
          <w:rFonts w:ascii="Arial" w:hAnsi="Arial" w:cs="Arial"/>
          <w:b w:val="0"/>
          <w:bCs w:val="0"/>
          <w:lang w:val="es-ES_tradnl"/>
        </w:rPr>
        <w:t>uesto, y a lo dispuesto por el Artículo 211 Lit.</w:t>
      </w:r>
      <w:r>
        <w:rPr>
          <w:rFonts w:ascii="Arial" w:hAnsi="Arial" w:cs="Arial"/>
          <w:b w:val="0"/>
          <w:bCs w:val="0"/>
          <w:lang w:val="es-ES_tradnl"/>
        </w:rPr>
        <w:t xml:space="preserve"> B) de la </w:t>
      </w:r>
      <w:r w:rsidR="008B1A22">
        <w:rPr>
          <w:rFonts w:ascii="Arial" w:hAnsi="Arial" w:cs="Arial"/>
          <w:b w:val="0"/>
          <w:bCs w:val="0"/>
          <w:lang w:val="es-ES_tradnl"/>
        </w:rPr>
        <w:t>Constitución de la República;</w:t>
      </w:r>
    </w:p>
    <w:p w:rsidR="00BD0841" w:rsidRDefault="00BD0841" w:rsidP="00B64AA0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BD0841" w:rsidRDefault="00BD0841" w:rsidP="00B64AA0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1</w:t>
      </w:r>
      <w:r w:rsidR="008B1A2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>Observar el gasto; y</w:t>
      </w:r>
    </w:p>
    <w:p w:rsidR="00BD0841" w:rsidRDefault="00BD0841" w:rsidP="008B1A2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2</w:t>
      </w:r>
      <w:r w:rsidR="008B1A2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="008B1A22">
        <w:rPr>
          <w:rFonts w:ascii="Arial" w:hAnsi="Arial" w:cs="Arial"/>
          <w:b w:val="0"/>
          <w:bCs w:val="0"/>
          <w:lang w:val="es-ES_tradnl"/>
        </w:rPr>
        <w:t>Devolver las actuaciones.</w:t>
      </w:r>
    </w:p>
    <w:p w:rsidR="008B1A22" w:rsidRDefault="008B1A22" w:rsidP="008B1A2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B1A22" w:rsidRDefault="008B1A22" w:rsidP="008B1A2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 w:val="0"/>
          <w:lang w:val="es-ES_tradnl"/>
        </w:rPr>
        <w:t>lc</w:t>
      </w:r>
      <w:proofErr w:type="spellEnd"/>
      <w:proofErr w:type="gramEnd"/>
    </w:p>
    <w:sectPr w:rsidR="008B1A22" w:rsidSect="00711CF0">
      <w:footerReference w:type="default" r:id="rId8"/>
      <w:pgSz w:w="11906" w:h="16838" w:code="9"/>
      <w:pgMar w:top="3005" w:right="1701" w:bottom="1247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22" w:rsidRDefault="008B1A22" w:rsidP="008B1A22">
      <w:r>
        <w:separator/>
      </w:r>
    </w:p>
  </w:endnote>
  <w:endnote w:type="continuationSeparator" w:id="0">
    <w:p w:rsidR="008B1A22" w:rsidRDefault="008B1A22" w:rsidP="008B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868731"/>
      <w:docPartObj>
        <w:docPartGallery w:val="Page Numbers (Bottom of Page)"/>
        <w:docPartUnique/>
      </w:docPartObj>
    </w:sdtPr>
    <w:sdtContent>
      <w:p w:rsidR="008B1A22" w:rsidRDefault="008B1A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BBB">
          <w:rPr>
            <w:noProof/>
          </w:rPr>
          <w:t>5</w:t>
        </w:r>
        <w:r>
          <w:fldChar w:fldCharType="end"/>
        </w:r>
      </w:p>
    </w:sdtContent>
  </w:sdt>
  <w:p w:rsidR="008B1A22" w:rsidRDefault="008B1A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22" w:rsidRDefault="008B1A22" w:rsidP="008B1A22">
      <w:r>
        <w:separator/>
      </w:r>
    </w:p>
  </w:footnote>
  <w:footnote w:type="continuationSeparator" w:id="0">
    <w:p w:rsidR="008B1A22" w:rsidRDefault="008B1A22" w:rsidP="008B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41"/>
    <w:rsid w:val="00711CF0"/>
    <w:rsid w:val="007D2EB3"/>
    <w:rsid w:val="00820BBB"/>
    <w:rsid w:val="008B1A22"/>
    <w:rsid w:val="008F577A"/>
    <w:rsid w:val="00B64AA0"/>
    <w:rsid w:val="00BD0841"/>
    <w:rsid w:val="00D35FBC"/>
    <w:rsid w:val="00D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Sinespaciado">
    <w:name w:val="No Spacing"/>
    <w:uiPriority w:val="1"/>
    <w:qFormat/>
    <w:rsid w:val="008F577A"/>
    <w:rPr>
      <w:rFonts w:ascii="GothicPS" w:hAnsi="GothicPS" w:cs="GothicPS"/>
      <w:b/>
      <w:b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B1A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A22"/>
    <w:rPr>
      <w:rFonts w:ascii="GothicPS" w:hAnsi="GothicPS" w:cs="GothicPS"/>
      <w:b/>
      <w:bCs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1A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A22"/>
    <w:rPr>
      <w:rFonts w:ascii="GothicPS" w:hAnsi="GothicPS" w:cs="GothicPS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Sinespaciado">
    <w:name w:val="No Spacing"/>
    <w:uiPriority w:val="1"/>
    <w:qFormat/>
    <w:rsid w:val="008F577A"/>
    <w:rPr>
      <w:rFonts w:ascii="GothicPS" w:hAnsi="GothicPS" w:cs="GothicPS"/>
      <w:b/>
      <w:b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B1A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A22"/>
    <w:rPr>
      <w:rFonts w:ascii="GothicPS" w:hAnsi="GothicPS" w:cs="GothicPS"/>
      <w:b/>
      <w:bCs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1A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A22"/>
    <w:rPr>
      <w:rFonts w:ascii="GothicPS" w:hAnsi="GothicPS" w:cs="GothicP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1168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2017-17-1-002627</vt:lpstr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2017-17-1-002627</dc:title>
  <dc:creator>Tribunal1</dc:creator>
  <cp:lastModifiedBy>Tribunal1</cp:lastModifiedBy>
  <cp:revision>3</cp:revision>
  <cp:lastPrinted>2017-11-04T20:22:00Z</cp:lastPrinted>
  <dcterms:created xsi:type="dcterms:W3CDTF">2017-11-04T20:22:00Z</dcterms:created>
  <dcterms:modified xsi:type="dcterms:W3CDTF">2017-11-04T20:29:00Z</dcterms:modified>
</cp:coreProperties>
</file>