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98" w:rsidRPr="005E5398" w:rsidRDefault="005E5398" w:rsidP="005E5398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5E5398">
        <w:rPr>
          <w:rFonts w:cs="Arial"/>
          <w:b/>
          <w:sz w:val="28"/>
          <w:szCs w:val="28"/>
          <w:lang w:val="es-ES_tradnl"/>
        </w:rPr>
        <w:t xml:space="preserve">RES. </w:t>
      </w:r>
      <w:r w:rsidR="00AA1DC3">
        <w:rPr>
          <w:rFonts w:cs="Arial"/>
          <w:b/>
          <w:sz w:val="28"/>
          <w:szCs w:val="28"/>
          <w:lang w:val="es-ES_tradnl"/>
        </w:rPr>
        <w:t>3445</w:t>
      </w:r>
      <w:r w:rsidRPr="005E5398">
        <w:rPr>
          <w:rFonts w:cs="Arial"/>
          <w:b/>
          <w:sz w:val="28"/>
          <w:szCs w:val="28"/>
          <w:lang w:val="es-ES_tradnl"/>
        </w:rPr>
        <w:t>/17</w:t>
      </w:r>
    </w:p>
    <w:p w:rsidR="005E5398" w:rsidRPr="005E5398" w:rsidRDefault="005E5398" w:rsidP="005E5398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5E5398" w:rsidRPr="005E5398" w:rsidRDefault="005E5398" w:rsidP="005E5398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5E5398">
        <w:rPr>
          <w:rFonts w:ascii="Helvetica" w:hAnsi="Helvetica"/>
          <w:b/>
          <w:szCs w:val="24"/>
          <w:lang w:val="es-ES_tradnl"/>
        </w:rPr>
        <w:t>RESOLUCION ADOPTADA POR EL</w:t>
      </w:r>
    </w:p>
    <w:p w:rsidR="005E5398" w:rsidRPr="005E5398" w:rsidRDefault="005E5398" w:rsidP="005E5398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5E5398" w:rsidRPr="005E5398" w:rsidRDefault="005E5398" w:rsidP="005E5398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5E5398">
        <w:rPr>
          <w:rFonts w:ascii="Helvetica" w:hAnsi="Helvetica"/>
          <w:b/>
          <w:szCs w:val="24"/>
          <w:lang w:val="es-ES_tradnl"/>
        </w:rPr>
        <w:t>TRIBUNAL DE CUENTAS</w:t>
      </w:r>
    </w:p>
    <w:p w:rsidR="005E5398" w:rsidRPr="005E5398" w:rsidRDefault="005E5398" w:rsidP="005E5398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5E5398" w:rsidRPr="005E5398" w:rsidRDefault="005E5398" w:rsidP="005E5398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  <w:r w:rsidRPr="005E5398">
        <w:rPr>
          <w:rFonts w:ascii="Helvetica" w:hAnsi="Helvetica"/>
          <w:b/>
          <w:szCs w:val="24"/>
          <w:lang w:val="es-ES_tradnl"/>
        </w:rPr>
        <w:t>EN SESION DE FECHA 18</w:t>
      </w:r>
      <w:r w:rsidRPr="005E5398">
        <w:rPr>
          <w:rFonts w:cs="Arial"/>
          <w:b/>
          <w:szCs w:val="24"/>
          <w:lang w:val="es-ES_tradnl"/>
        </w:rPr>
        <w:t xml:space="preserve"> DE OCTUBRE </w:t>
      </w:r>
      <w:r w:rsidRPr="005E5398">
        <w:rPr>
          <w:rFonts w:ascii="Helvetica" w:hAnsi="Helvetica"/>
          <w:b/>
          <w:szCs w:val="24"/>
          <w:lang w:val="es-ES_tradnl"/>
        </w:rPr>
        <w:t>DE 2017</w:t>
      </w:r>
    </w:p>
    <w:p w:rsidR="005E5398" w:rsidRPr="005E5398" w:rsidRDefault="005E5398" w:rsidP="005E5398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ES_tradnl"/>
        </w:rPr>
      </w:pPr>
    </w:p>
    <w:p w:rsidR="005E5398" w:rsidRPr="005E5398" w:rsidRDefault="005E5398" w:rsidP="005E5398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4"/>
          <w:lang w:val="es-UY"/>
        </w:rPr>
      </w:pPr>
      <w:r w:rsidRPr="005E5398">
        <w:rPr>
          <w:rFonts w:ascii="Helvetica" w:hAnsi="Helvetica"/>
          <w:b/>
          <w:szCs w:val="24"/>
          <w:lang w:val="es-UY"/>
        </w:rPr>
        <w:t>(E. E. Nº 2017-17-1-0005</w:t>
      </w:r>
      <w:r>
        <w:rPr>
          <w:rFonts w:ascii="Helvetica" w:hAnsi="Helvetica"/>
          <w:b/>
          <w:szCs w:val="24"/>
          <w:lang w:val="es-UY"/>
        </w:rPr>
        <w:t>750</w:t>
      </w:r>
      <w:r w:rsidRPr="005E5398">
        <w:rPr>
          <w:rFonts w:ascii="Helvetica" w:hAnsi="Helvetica"/>
          <w:b/>
          <w:szCs w:val="24"/>
          <w:lang w:val="es-UY"/>
        </w:rPr>
        <w:t xml:space="preserve">, </w:t>
      </w:r>
      <w:proofErr w:type="spellStart"/>
      <w:r w:rsidRPr="005E5398">
        <w:rPr>
          <w:rFonts w:ascii="Helvetica" w:hAnsi="Helvetica"/>
          <w:b/>
          <w:szCs w:val="24"/>
          <w:lang w:val="es-UY"/>
        </w:rPr>
        <w:t>Ent</w:t>
      </w:r>
      <w:proofErr w:type="spellEnd"/>
      <w:r w:rsidRPr="005E5398">
        <w:rPr>
          <w:rFonts w:ascii="Helvetica" w:hAnsi="Helvetica"/>
          <w:b/>
          <w:szCs w:val="24"/>
          <w:lang w:val="es-UY"/>
        </w:rPr>
        <w:t xml:space="preserve">. N° </w:t>
      </w:r>
      <w:r>
        <w:rPr>
          <w:rFonts w:ascii="Helvetica" w:hAnsi="Helvetica"/>
          <w:b/>
          <w:szCs w:val="24"/>
          <w:lang w:val="es-UY"/>
        </w:rPr>
        <w:t>4621</w:t>
      </w:r>
      <w:r w:rsidRPr="005E5398">
        <w:rPr>
          <w:rFonts w:ascii="Helvetica" w:hAnsi="Helvetica"/>
          <w:b/>
          <w:szCs w:val="24"/>
          <w:lang w:val="es-UY"/>
        </w:rPr>
        <w:t>/17)</w:t>
      </w:r>
    </w:p>
    <w:p w:rsidR="00096C14" w:rsidRPr="00230E1D" w:rsidRDefault="00096C14" w:rsidP="00096C14">
      <w:pPr>
        <w:spacing w:line="360" w:lineRule="auto"/>
        <w:jc w:val="right"/>
        <w:rPr>
          <w:rFonts w:cs="Arial"/>
          <w:bCs/>
          <w:szCs w:val="24"/>
          <w:lang w:val="es-UY"/>
        </w:rPr>
      </w:pPr>
    </w:p>
    <w:p w:rsidR="00096C14" w:rsidRPr="00230E1D" w:rsidRDefault="00096C14" w:rsidP="00096C14">
      <w:pPr>
        <w:keepNext/>
        <w:outlineLvl w:val="1"/>
        <w:rPr>
          <w:rFonts w:cs="Arial"/>
          <w:b/>
          <w:color w:val="000000"/>
          <w:szCs w:val="24"/>
          <w:lang w:val="es-UY"/>
        </w:rPr>
      </w:pPr>
    </w:p>
    <w:p w:rsidR="009C013B" w:rsidRPr="00096C14" w:rsidRDefault="009C013B">
      <w:pPr>
        <w:jc w:val="center"/>
        <w:rPr>
          <w:b/>
          <w:bCs/>
        </w:rPr>
      </w:pPr>
    </w:p>
    <w:p w:rsidR="009C013B" w:rsidRPr="00096C14" w:rsidRDefault="009C013B" w:rsidP="00CE0171">
      <w:pPr>
        <w:spacing w:line="360" w:lineRule="auto"/>
        <w:ind w:firstLine="851"/>
        <w:jc w:val="both"/>
      </w:pPr>
      <w:r w:rsidRPr="00096C14">
        <w:rPr>
          <w:b/>
          <w:bCs/>
        </w:rPr>
        <w:t xml:space="preserve">VISTO: </w:t>
      </w:r>
      <w:r w:rsidRPr="00096C14">
        <w:t>las actuaciones remitidas por la Intendencia de Maldonado, relacionadas</w:t>
      </w:r>
      <w:r w:rsidR="00BB56CD" w:rsidRPr="00096C14">
        <w:t xml:space="preserve"> con la Licitación Pública Nº 3</w:t>
      </w:r>
      <w:r w:rsidR="00096C14" w:rsidRPr="00096C14">
        <w:t>9</w:t>
      </w:r>
      <w:r w:rsidR="00BB56CD" w:rsidRPr="00096C14">
        <w:t>/</w:t>
      </w:r>
      <w:r w:rsidR="007B6E86" w:rsidRPr="00096C14">
        <w:t>20</w:t>
      </w:r>
      <w:r w:rsidRPr="00096C14">
        <w:t xml:space="preserve">16 para la </w:t>
      </w:r>
      <w:r w:rsidR="007B6E86" w:rsidRPr="00096C14">
        <w:t>“</w:t>
      </w:r>
      <w:r w:rsidR="00096C14" w:rsidRPr="00096C14">
        <w:t>Explotación comercial del Parador localizado en Parada 1 de Playa Brava</w:t>
      </w:r>
      <w:r w:rsidR="007B6E86" w:rsidRPr="00096C14">
        <w:t>”</w:t>
      </w:r>
      <w:r w:rsidR="00096C14" w:rsidRPr="00096C14">
        <w:t>,</w:t>
      </w:r>
      <w:r w:rsidR="00BB56CD" w:rsidRPr="00096C14">
        <w:t xml:space="preserve"> por el período de </w:t>
      </w:r>
      <w:r w:rsidR="00096C14" w:rsidRPr="00096C14">
        <w:t>diez</w:t>
      </w:r>
      <w:r w:rsidR="00BB56CD" w:rsidRPr="00096C14">
        <w:t xml:space="preserve"> año</w:t>
      </w:r>
      <w:r w:rsidR="00096C14" w:rsidRPr="00096C14">
        <w:t>s</w:t>
      </w:r>
      <w:r w:rsidR="00BB56CD" w:rsidRPr="00096C14">
        <w:t xml:space="preserve">; </w:t>
      </w:r>
      <w:r w:rsidR="00977966" w:rsidRPr="00096C14">
        <w:t xml:space="preserve"> </w:t>
      </w:r>
    </w:p>
    <w:p w:rsidR="009C013B" w:rsidRPr="005E09AC" w:rsidRDefault="009C013B" w:rsidP="00CE0171">
      <w:pPr>
        <w:spacing w:line="360" w:lineRule="auto"/>
        <w:ind w:firstLine="851"/>
        <w:jc w:val="both"/>
        <w:rPr>
          <w:bCs/>
          <w:highlight w:val="yellow"/>
        </w:rPr>
      </w:pPr>
      <w:r w:rsidRPr="00096C14">
        <w:rPr>
          <w:b/>
          <w:bCs/>
        </w:rPr>
        <w:t xml:space="preserve">RESULTANDO: 1) </w:t>
      </w:r>
      <w:r w:rsidR="00C353F8" w:rsidRPr="00096C14">
        <w:rPr>
          <w:bCs/>
        </w:rPr>
        <w:t xml:space="preserve">que </w:t>
      </w:r>
      <w:r w:rsidR="00096C14" w:rsidRPr="00096C14">
        <w:rPr>
          <w:bCs/>
        </w:rPr>
        <w:t>mediante Resolución Nº 07832/2016</w:t>
      </w:r>
      <w:r w:rsidR="00096C14">
        <w:rPr>
          <w:bCs/>
        </w:rPr>
        <w:t>,</w:t>
      </w:r>
      <w:r w:rsidR="00096C14" w:rsidRPr="00096C14">
        <w:rPr>
          <w:bCs/>
        </w:rPr>
        <w:t xml:space="preserve"> de fecha 28/10/016</w:t>
      </w:r>
      <w:r w:rsidR="00096C14">
        <w:rPr>
          <w:bCs/>
        </w:rPr>
        <w:t xml:space="preserve">, </w:t>
      </w:r>
      <w:r w:rsidR="00096C14" w:rsidRPr="00096C14">
        <w:rPr>
          <w:bCs/>
        </w:rPr>
        <w:t>el Intendente</w:t>
      </w:r>
      <w:r w:rsidR="00096C14">
        <w:rPr>
          <w:bCs/>
        </w:rPr>
        <w:t xml:space="preserve"> </w:t>
      </w:r>
      <w:r w:rsidR="00096C14" w:rsidRPr="00096C14">
        <w:rPr>
          <w:bCs/>
        </w:rPr>
        <w:t>aprob</w:t>
      </w:r>
      <w:r w:rsidR="00096C14">
        <w:rPr>
          <w:bCs/>
        </w:rPr>
        <w:t xml:space="preserve">ó </w:t>
      </w:r>
      <w:r w:rsidR="00096C14" w:rsidRPr="00096C14">
        <w:rPr>
          <w:bCs/>
        </w:rPr>
        <w:t>el pliego y la memoria descriptiva</w:t>
      </w:r>
      <w:r w:rsidR="00733020">
        <w:rPr>
          <w:bCs/>
        </w:rPr>
        <w:t xml:space="preserve"> (M.D.)</w:t>
      </w:r>
      <w:r w:rsidR="00096C14" w:rsidRPr="00096C14">
        <w:rPr>
          <w:bCs/>
        </w:rPr>
        <w:t xml:space="preserve"> </w:t>
      </w:r>
      <w:r w:rsidR="00316BA1">
        <w:rPr>
          <w:bCs/>
        </w:rPr>
        <w:t>a</w:t>
      </w:r>
      <w:r w:rsidR="00096C14" w:rsidRPr="00096C14">
        <w:rPr>
          <w:bCs/>
        </w:rPr>
        <w:t xml:space="preserve"> regir</w:t>
      </w:r>
      <w:r w:rsidR="00316BA1">
        <w:rPr>
          <w:bCs/>
        </w:rPr>
        <w:t xml:space="preserve"> en</w:t>
      </w:r>
      <w:r w:rsidR="00096C14" w:rsidRPr="00096C14">
        <w:rPr>
          <w:bCs/>
        </w:rPr>
        <w:t xml:space="preserve"> la convocatoria</w:t>
      </w:r>
      <w:r w:rsidR="003008CA">
        <w:rPr>
          <w:bCs/>
        </w:rPr>
        <w:t>,</w:t>
      </w:r>
      <w:r w:rsidR="00F00AB0">
        <w:rPr>
          <w:bCs/>
        </w:rPr>
        <w:t xml:space="preserve"> las que prevén</w:t>
      </w:r>
      <w:r w:rsidR="00733020">
        <w:rPr>
          <w:bCs/>
        </w:rPr>
        <w:t>:</w:t>
      </w:r>
      <w:r w:rsidR="00F00AB0">
        <w:rPr>
          <w:bCs/>
        </w:rPr>
        <w:t xml:space="preserve"> </w:t>
      </w:r>
      <w:r w:rsidR="003008CA">
        <w:rPr>
          <w:bCs/>
        </w:rPr>
        <w:t xml:space="preserve">plazo de 10 años </w:t>
      </w:r>
      <w:r w:rsidR="00F00AB0">
        <w:rPr>
          <w:bCs/>
        </w:rPr>
        <w:t>(</w:t>
      </w:r>
      <w:r w:rsidR="00CE0171">
        <w:rPr>
          <w:bCs/>
        </w:rPr>
        <w:t>A</w:t>
      </w:r>
      <w:r w:rsidR="00F00AB0">
        <w:rPr>
          <w:bCs/>
        </w:rPr>
        <w:t>rt</w:t>
      </w:r>
      <w:r w:rsidR="00CE0171">
        <w:rPr>
          <w:bCs/>
        </w:rPr>
        <w:t>ículo</w:t>
      </w:r>
      <w:r w:rsidR="00733020">
        <w:rPr>
          <w:bCs/>
        </w:rPr>
        <w:t xml:space="preserve"> </w:t>
      </w:r>
      <w:r w:rsidR="00F00AB0">
        <w:rPr>
          <w:bCs/>
        </w:rPr>
        <w:t>3 de la M. D), obras mínimas de infraestructura a realizar</w:t>
      </w:r>
      <w:r w:rsidR="00733020">
        <w:rPr>
          <w:bCs/>
        </w:rPr>
        <w:t xml:space="preserve"> a beneficio de la propiedad </w:t>
      </w:r>
      <w:r w:rsidR="00827B89">
        <w:rPr>
          <w:bCs/>
        </w:rPr>
        <w:t xml:space="preserve">          </w:t>
      </w:r>
      <w:r w:rsidR="00F00AB0">
        <w:rPr>
          <w:bCs/>
        </w:rPr>
        <w:t>(</w:t>
      </w:r>
      <w:r w:rsidR="00827B89">
        <w:rPr>
          <w:bCs/>
        </w:rPr>
        <w:t>A</w:t>
      </w:r>
      <w:r w:rsidR="00F00AB0">
        <w:rPr>
          <w:bCs/>
        </w:rPr>
        <w:t>rt</w:t>
      </w:r>
      <w:r w:rsidR="00827B89">
        <w:rPr>
          <w:bCs/>
        </w:rPr>
        <w:t>ículo</w:t>
      </w:r>
      <w:r w:rsidR="00F00AB0">
        <w:rPr>
          <w:bCs/>
        </w:rPr>
        <w:t xml:space="preserve"> 30 M.</w:t>
      </w:r>
      <w:r w:rsidR="009F3739">
        <w:rPr>
          <w:bCs/>
        </w:rPr>
        <w:t xml:space="preserve"> </w:t>
      </w:r>
      <w:r w:rsidR="00F00AB0">
        <w:rPr>
          <w:bCs/>
        </w:rPr>
        <w:t>D</w:t>
      </w:r>
      <w:r w:rsidR="00733020">
        <w:rPr>
          <w:bCs/>
        </w:rPr>
        <w:t>.</w:t>
      </w:r>
      <w:r w:rsidR="00F00AB0">
        <w:rPr>
          <w:bCs/>
        </w:rPr>
        <w:t>)</w:t>
      </w:r>
      <w:r w:rsidR="00733020">
        <w:rPr>
          <w:bCs/>
        </w:rPr>
        <w:t>, programa de obras de mejora de las instalaciones, estacionamientos y zona de influencia del Parador (</w:t>
      </w:r>
      <w:r w:rsidR="00827B89">
        <w:rPr>
          <w:bCs/>
        </w:rPr>
        <w:t>A</w:t>
      </w:r>
      <w:r w:rsidR="00733020">
        <w:rPr>
          <w:bCs/>
        </w:rPr>
        <w:t>rt</w:t>
      </w:r>
      <w:r w:rsidR="00827B89">
        <w:rPr>
          <w:bCs/>
        </w:rPr>
        <w:t>ículo</w:t>
      </w:r>
      <w:r w:rsidR="00733020">
        <w:rPr>
          <w:bCs/>
        </w:rPr>
        <w:t xml:space="preserve"> 31 M.D.</w:t>
      </w:r>
      <w:r w:rsidR="00F00AB0">
        <w:rPr>
          <w:bCs/>
        </w:rPr>
        <w:t xml:space="preserve"> y </w:t>
      </w:r>
      <w:r w:rsidR="00733020">
        <w:rPr>
          <w:bCs/>
        </w:rPr>
        <w:t>canon reajustable al 1º de diciembre de cada año por IPC (</w:t>
      </w:r>
      <w:r w:rsidR="00827B89">
        <w:rPr>
          <w:bCs/>
        </w:rPr>
        <w:t>A</w:t>
      </w:r>
      <w:r w:rsidR="00733020">
        <w:rPr>
          <w:bCs/>
        </w:rPr>
        <w:t>rt</w:t>
      </w:r>
      <w:r w:rsidR="00827B89">
        <w:rPr>
          <w:bCs/>
        </w:rPr>
        <w:t>ículo</w:t>
      </w:r>
      <w:r w:rsidR="00733020">
        <w:rPr>
          <w:bCs/>
        </w:rPr>
        <w:t xml:space="preserve"> 31,b M.D.)</w:t>
      </w:r>
      <w:r w:rsidR="005E09AC">
        <w:rPr>
          <w:bCs/>
        </w:rPr>
        <w:t xml:space="preserve">. Asimismo se indica </w:t>
      </w:r>
      <w:r w:rsidR="005E09AC" w:rsidRPr="005E09AC">
        <w:rPr>
          <w:bCs/>
        </w:rPr>
        <w:t>que</w:t>
      </w:r>
      <w:r w:rsidR="003008CA" w:rsidRPr="005E09AC">
        <w:rPr>
          <w:bCs/>
        </w:rPr>
        <w:t xml:space="preserve"> la Junta</w:t>
      </w:r>
      <w:r w:rsidR="000E39A7" w:rsidRPr="005E09AC">
        <w:rPr>
          <w:bCs/>
        </w:rPr>
        <w:t xml:space="preserve"> Departamental</w:t>
      </w:r>
      <w:r w:rsidR="003008CA" w:rsidRPr="005E09AC">
        <w:rPr>
          <w:bCs/>
        </w:rPr>
        <w:t xml:space="preserve">, mediante Resolución </w:t>
      </w:r>
      <w:r w:rsidR="00827B89">
        <w:rPr>
          <w:bCs/>
        </w:rPr>
        <w:t xml:space="preserve">                        </w:t>
      </w:r>
      <w:r w:rsidR="003008CA" w:rsidRPr="005E09AC">
        <w:rPr>
          <w:bCs/>
        </w:rPr>
        <w:t>Nº 353/2016, de fecha 20/09/016</w:t>
      </w:r>
      <w:r w:rsidR="005E09AC" w:rsidRPr="005E09AC">
        <w:rPr>
          <w:bCs/>
        </w:rPr>
        <w:t xml:space="preserve"> otorgó anuencia con respecto al período de concesión, (no consta </w:t>
      </w:r>
      <w:r w:rsidR="005E09AC">
        <w:rPr>
          <w:bCs/>
        </w:rPr>
        <w:t>decreto</w:t>
      </w:r>
      <w:r w:rsidR="005E09AC" w:rsidRPr="005E09AC">
        <w:rPr>
          <w:bCs/>
        </w:rPr>
        <w:t>)</w:t>
      </w:r>
      <w:r w:rsidR="00827B89">
        <w:rPr>
          <w:bCs/>
        </w:rPr>
        <w:t>;</w:t>
      </w:r>
    </w:p>
    <w:p w:rsidR="009C013B" w:rsidRPr="009543CB" w:rsidRDefault="00DA772D" w:rsidP="00827B89">
      <w:pPr>
        <w:spacing w:line="360" w:lineRule="auto"/>
        <w:ind w:firstLine="2694"/>
        <w:jc w:val="both"/>
        <w:rPr>
          <w:bCs/>
        </w:rPr>
      </w:pPr>
      <w:r w:rsidRPr="00882E4F">
        <w:rPr>
          <w:b/>
          <w:bCs/>
        </w:rPr>
        <w:t>2)</w:t>
      </w:r>
      <w:r w:rsidRPr="00882E4F">
        <w:rPr>
          <w:bCs/>
        </w:rPr>
        <w:t xml:space="preserve"> </w:t>
      </w:r>
      <w:r w:rsidR="009C013B" w:rsidRPr="00882E4F">
        <w:rPr>
          <w:bCs/>
        </w:rPr>
        <w:t xml:space="preserve">que </w:t>
      </w:r>
      <w:r w:rsidR="00827B89">
        <w:rPr>
          <w:bCs/>
        </w:rPr>
        <w:t>los Artículo</w:t>
      </w:r>
      <w:r w:rsidR="009C1798">
        <w:rPr>
          <w:bCs/>
        </w:rPr>
        <w:t>s</w:t>
      </w:r>
      <w:r w:rsidR="00882E4F" w:rsidRPr="009C3A03">
        <w:rPr>
          <w:bCs/>
        </w:rPr>
        <w:t xml:space="preserve"> 19 y 34</w:t>
      </w:r>
      <w:r w:rsidR="000E39A7">
        <w:rPr>
          <w:bCs/>
        </w:rPr>
        <w:t xml:space="preserve"> </w:t>
      </w:r>
      <w:r w:rsidR="00733020">
        <w:rPr>
          <w:bCs/>
        </w:rPr>
        <w:t>d</w:t>
      </w:r>
      <w:r w:rsidR="00733020" w:rsidRPr="00882E4F">
        <w:rPr>
          <w:bCs/>
        </w:rPr>
        <w:t>el Pliego de Condiciones Particulares</w:t>
      </w:r>
      <w:r w:rsidR="00733020">
        <w:rPr>
          <w:bCs/>
        </w:rPr>
        <w:t xml:space="preserve"> y Memoria Descriptiva </w:t>
      </w:r>
      <w:r w:rsidR="000E39A7">
        <w:rPr>
          <w:bCs/>
        </w:rPr>
        <w:t>respectivamente</w:t>
      </w:r>
      <w:r w:rsidR="00972565">
        <w:rPr>
          <w:bCs/>
        </w:rPr>
        <w:t xml:space="preserve">, </w:t>
      </w:r>
      <w:r w:rsidR="00F00AB0">
        <w:rPr>
          <w:bCs/>
        </w:rPr>
        <w:t>establecen</w:t>
      </w:r>
      <w:r w:rsidR="007C6C7D">
        <w:rPr>
          <w:bCs/>
        </w:rPr>
        <w:t xml:space="preserve"> </w:t>
      </w:r>
      <w:r w:rsidR="00882E4F" w:rsidRPr="009C3A03">
        <w:rPr>
          <w:bCs/>
        </w:rPr>
        <w:t xml:space="preserve"> los criterios de evaluación de </w:t>
      </w:r>
      <w:r w:rsidR="009C013B" w:rsidRPr="009C3A03">
        <w:rPr>
          <w:bCs/>
        </w:rPr>
        <w:t xml:space="preserve">las ofertas, </w:t>
      </w:r>
      <w:r w:rsidR="00882E4F" w:rsidRPr="009C3A03">
        <w:rPr>
          <w:bCs/>
        </w:rPr>
        <w:t xml:space="preserve">puntuándoselos de la siguiente </w:t>
      </w:r>
      <w:r w:rsidR="00882E4F" w:rsidRPr="009543CB">
        <w:rPr>
          <w:bCs/>
        </w:rPr>
        <w:t>forma</w:t>
      </w:r>
      <w:r w:rsidR="009C013B" w:rsidRPr="009543CB">
        <w:rPr>
          <w:bCs/>
        </w:rPr>
        <w:t xml:space="preserve">: </w:t>
      </w:r>
      <w:r w:rsidR="00325B7C" w:rsidRPr="009543CB">
        <w:rPr>
          <w:bCs/>
        </w:rPr>
        <w:t xml:space="preserve">Propuesta </w:t>
      </w:r>
      <w:r w:rsidR="009C3A03" w:rsidRPr="009543CB">
        <w:rPr>
          <w:bCs/>
        </w:rPr>
        <w:t>5</w:t>
      </w:r>
      <w:r w:rsidR="00325B7C" w:rsidRPr="009543CB">
        <w:rPr>
          <w:bCs/>
        </w:rPr>
        <w:t xml:space="preserve">0%, Precio </w:t>
      </w:r>
      <w:r w:rsidR="00882E4F" w:rsidRPr="009543CB">
        <w:rPr>
          <w:bCs/>
        </w:rPr>
        <w:t>30</w:t>
      </w:r>
      <w:r w:rsidR="00E1134A" w:rsidRPr="009543CB">
        <w:rPr>
          <w:bCs/>
        </w:rPr>
        <w:t xml:space="preserve">% y Antecedentes y </w:t>
      </w:r>
      <w:r w:rsidR="00833DF6" w:rsidRPr="009543CB">
        <w:rPr>
          <w:bCs/>
        </w:rPr>
        <w:t>E</w:t>
      </w:r>
      <w:r w:rsidR="00E1134A" w:rsidRPr="009543CB">
        <w:rPr>
          <w:bCs/>
        </w:rPr>
        <w:t>xperiencia</w:t>
      </w:r>
      <w:r w:rsidR="00325B7C" w:rsidRPr="009543CB">
        <w:rPr>
          <w:bCs/>
        </w:rPr>
        <w:t>s</w:t>
      </w:r>
      <w:r w:rsidR="00E1134A" w:rsidRPr="009543CB">
        <w:rPr>
          <w:bCs/>
        </w:rPr>
        <w:t xml:space="preserve"> 2</w:t>
      </w:r>
      <w:r w:rsidR="00882E4F" w:rsidRPr="009543CB">
        <w:rPr>
          <w:bCs/>
        </w:rPr>
        <w:t>0</w:t>
      </w:r>
      <w:r w:rsidR="00E1134A" w:rsidRPr="009543CB">
        <w:rPr>
          <w:bCs/>
        </w:rPr>
        <w:t>%</w:t>
      </w:r>
      <w:r w:rsidR="009C013B" w:rsidRPr="009543CB">
        <w:rPr>
          <w:bCs/>
        </w:rPr>
        <w:t>;</w:t>
      </w:r>
    </w:p>
    <w:p w:rsidR="009C013B" w:rsidRPr="009C3A03" w:rsidRDefault="009C3A03" w:rsidP="00750FF3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9543CB">
        <w:rPr>
          <w:b/>
        </w:rPr>
        <w:t>3</w:t>
      </w:r>
      <w:r w:rsidR="009C013B" w:rsidRPr="009543CB">
        <w:rPr>
          <w:b/>
          <w:bCs/>
        </w:rPr>
        <w:t xml:space="preserve">) </w:t>
      </w:r>
      <w:r w:rsidR="009C013B" w:rsidRPr="009543CB">
        <w:rPr>
          <w:bCs/>
        </w:rPr>
        <w:t xml:space="preserve">que </w:t>
      </w:r>
      <w:r w:rsidRPr="009543CB">
        <w:rPr>
          <w:bCs/>
        </w:rPr>
        <w:t>conforme a lo establecido por el Art</w:t>
      </w:r>
      <w:r w:rsidR="00827B89">
        <w:rPr>
          <w:bCs/>
        </w:rPr>
        <w:t>ículo</w:t>
      </w:r>
      <w:r w:rsidR="009543CB" w:rsidRPr="009543CB">
        <w:rPr>
          <w:bCs/>
        </w:rPr>
        <w:t xml:space="preserve"> 51 </w:t>
      </w:r>
      <w:r w:rsidRPr="009543CB">
        <w:rPr>
          <w:bCs/>
        </w:rPr>
        <w:t xml:space="preserve">del T.O.C.A.F., </w:t>
      </w:r>
      <w:r w:rsidR="009C013B" w:rsidRPr="009543CB">
        <w:rPr>
          <w:bCs/>
        </w:rPr>
        <w:t>se realizó</w:t>
      </w:r>
      <w:r w:rsidRPr="009543CB">
        <w:rPr>
          <w:bCs/>
        </w:rPr>
        <w:t xml:space="preserve"> la</w:t>
      </w:r>
      <w:r w:rsidR="009C013B" w:rsidRPr="009543CB">
        <w:rPr>
          <w:bCs/>
        </w:rPr>
        <w:t xml:space="preserve"> publ</w:t>
      </w:r>
      <w:r w:rsidR="0098712D" w:rsidRPr="009543CB">
        <w:rPr>
          <w:bCs/>
        </w:rPr>
        <w:t xml:space="preserve">icidad de la convocatoria </w:t>
      </w:r>
      <w:r w:rsidR="00F412E4" w:rsidRPr="009543CB">
        <w:rPr>
          <w:bCs/>
        </w:rPr>
        <w:t xml:space="preserve">en el </w:t>
      </w:r>
      <w:r w:rsidR="009C013B" w:rsidRPr="009543CB">
        <w:rPr>
          <w:bCs/>
        </w:rPr>
        <w:t>Sitio Web de Compras</w:t>
      </w:r>
      <w:r w:rsidR="009C013B" w:rsidRPr="009C3A03">
        <w:rPr>
          <w:bCs/>
        </w:rPr>
        <w:t xml:space="preserve"> y Contrataciones Estatales</w:t>
      </w:r>
      <w:r w:rsidR="00F412E4" w:rsidRPr="009C3A03">
        <w:rPr>
          <w:bCs/>
        </w:rPr>
        <w:t xml:space="preserve">, </w:t>
      </w:r>
      <w:r w:rsidR="004F7F15" w:rsidRPr="009C3A03">
        <w:rPr>
          <w:bCs/>
        </w:rPr>
        <w:t xml:space="preserve">con fecha </w:t>
      </w:r>
      <w:r w:rsidRPr="009C3A03">
        <w:rPr>
          <w:bCs/>
        </w:rPr>
        <w:t>4</w:t>
      </w:r>
      <w:r w:rsidR="00C91227" w:rsidRPr="009C3A03">
        <w:rPr>
          <w:bCs/>
        </w:rPr>
        <w:t>/</w:t>
      </w:r>
      <w:r w:rsidRPr="009C3A03">
        <w:rPr>
          <w:bCs/>
        </w:rPr>
        <w:t>11</w:t>
      </w:r>
      <w:r w:rsidR="00AB6849" w:rsidRPr="009C3A03">
        <w:rPr>
          <w:bCs/>
        </w:rPr>
        <w:t>/</w:t>
      </w:r>
      <w:r w:rsidRPr="009C3A03">
        <w:rPr>
          <w:bCs/>
        </w:rPr>
        <w:t>0</w:t>
      </w:r>
      <w:r w:rsidR="00AB6849" w:rsidRPr="009C3A03">
        <w:rPr>
          <w:bCs/>
        </w:rPr>
        <w:t>16</w:t>
      </w:r>
      <w:r w:rsidR="009C013B" w:rsidRPr="009C3A03">
        <w:rPr>
          <w:bCs/>
        </w:rPr>
        <w:t>;</w:t>
      </w:r>
    </w:p>
    <w:p w:rsidR="00D55DEB" w:rsidRPr="00D55DEB" w:rsidRDefault="00D55DEB" w:rsidP="00750FF3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BF7103">
        <w:rPr>
          <w:b/>
          <w:bCs/>
        </w:rPr>
        <w:lastRenderedPageBreak/>
        <w:t>4</w:t>
      </w:r>
      <w:r w:rsidR="009C013B" w:rsidRPr="00BF7103">
        <w:rPr>
          <w:b/>
          <w:bCs/>
        </w:rPr>
        <w:t xml:space="preserve">) </w:t>
      </w:r>
      <w:r w:rsidR="00A11441" w:rsidRPr="00BF7103">
        <w:rPr>
          <w:bCs/>
        </w:rPr>
        <w:t xml:space="preserve">que con fecha </w:t>
      </w:r>
      <w:r w:rsidRPr="00BF7103">
        <w:rPr>
          <w:bCs/>
        </w:rPr>
        <w:t>25</w:t>
      </w:r>
      <w:r>
        <w:rPr>
          <w:bCs/>
        </w:rPr>
        <w:t>/11/016 tuvo lugar el acto de apertura</w:t>
      </w:r>
      <w:r w:rsidR="00174D5C">
        <w:rPr>
          <w:bCs/>
        </w:rPr>
        <w:t xml:space="preserve"> de las ofertas presentadas por las siguientes firmas:</w:t>
      </w:r>
    </w:p>
    <w:p w:rsidR="00D55DEB" w:rsidRPr="00D55DEB" w:rsidRDefault="00174D5C" w:rsidP="00D55DEB">
      <w:pPr>
        <w:tabs>
          <w:tab w:val="left" w:pos="1985"/>
        </w:tabs>
        <w:spacing w:line="360" w:lineRule="auto"/>
        <w:jc w:val="both"/>
        <w:rPr>
          <w:bCs/>
        </w:rPr>
      </w:pPr>
      <w:r w:rsidRPr="001951C8">
        <w:rPr>
          <w:b/>
          <w:bCs/>
        </w:rPr>
        <w:t>4.1</w:t>
      </w:r>
      <w:r w:rsidR="00D55DEB" w:rsidRPr="001951C8">
        <w:rPr>
          <w:b/>
          <w:bCs/>
        </w:rPr>
        <w:t>)</w:t>
      </w:r>
      <w:r>
        <w:rPr>
          <w:bCs/>
        </w:rPr>
        <w:t xml:space="preserve"> </w:t>
      </w:r>
      <w:r w:rsidR="00D55DEB" w:rsidRPr="00D55DEB">
        <w:rPr>
          <w:bCs/>
        </w:rPr>
        <w:t xml:space="preserve">FEDERICO WILKINS – canon anual: $ 1:217.000; inversión en obras: </w:t>
      </w:r>
      <w:r w:rsidR="004611CA">
        <w:rPr>
          <w:bCs/>
        </w:rPr>
        <w:t xml:space="preserve">       </w:t>
      </w:r>
      <w:r w:rsidR="00D55DEB" w:rsidRPr="00D55DEB">
        <w:rPr>
          <w:bCs/>
        </w:rPr>
        <w:t>$ 3:414.000</w:t>
      </w:r>
      <w:r w:rsidR="00C81F50">
        <w:rPr>
          <w:bCs/>
        </w:rPr>
        <w:t xml:space="preserve"> y monto mano de obra directa $ 2.523.000</w:t>
      </w:r>
      <w:r w:rsidR="00D55DEB" w:rsidRPr="00D55DEB">
        <w:rPr>
          <w:bCs/>
        </w:rPr>
        <w:t>;</w:t>
      </w:r>
      <w:r>
        <w:rPr>
          <w:bCs/>
        </w:rPr>
        <w:t xml:space="preserve"> y</w:t>
      </w:r>
    </w:p>
    <w:p w:rsidR="00D55DEB" w:rsidRPr="00D55DEB" w:rsidRDefault="00174D5C" w:rsidP="00D55DEB">
      <w:pPr>
        <w:tabs>
          <w:tab w:val="left" w:pos="1985"/>
        </w:tabs>
        <w:spacing w:line="360" w:lineRule="auto"/>
        <w:jc w:val="both"/>
        <w:rPr>
          <w:bCs/>
        </w:rPr>
      </w:pPr>
      <w:r w:rsidRPr="001951C8">
        <w:rPr>
          <w:b/>
          <w:bCs/>
        </w:rPr>
        <w:t>4.</w:t>
      </w:r>
      <w:r w:rsidR="00D55DEB" w:rsidRPr="001951C8">
        <w:rPr>
          <w:b/>
          <w:bCs/>
        </w:rPr>
        <w:t>2)</w:t>
      </w:r>
      <w:r>
        <w:rPr>
          <w:bCs/>
        </w:rPr>
        <w:t xml:space="preserve"> </w:t>
      </w:r>
      <w:r w:rsidR="00D55DEB" w:rsidRPr="00D55DEB">
        <w:rPr>
          <w:bCs/>
        </w:rPr>
        <w:t xml:space="preserve">CIRCOTEC S.A.- canon anual: $ 1:500.000; obras y materiales: </w:t>
      </w:r>
      <w:r w:rsidR="004611CA">
        <w:rPr>
          <w:bCs/>
        </w:rPr>
        <w:t xml:space="preserve">                      </w:t>
      </w:r>
      <w:r w:rsidR="00D55DEB" w:rsidRPr="00D55DEB">
        <w:rPr>
          <w:bCs/>
        </w:rPr>
        <w:t>$ 2:894.920; sumadas a otras inversiones previ</w:t>
      </w:r>
      <w:r>
        <w:rPr>
          <w:bCs/>
        </w:rPr>
        <w:t>stas: $ 5:059.876;</w:t>
      </w:r>
    </w:p>
    <w:p w:rsidR="00174D5C" w:rsidRDefault="00174D5C" w:rsidP="0011516F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174D5C">
        <w:rPr>
          <w:b/>
          <w:bCs/>
        </w:rPr>
        <w:t>5)</w:t>
      </w:r>
      <w:r>
        <w:rPr>
          <w:bCs/>
        </w:rPr>
        <w:t xml:space="preserve"> que en </w:t>
      </w:r>
      <w:r w:rsidR="00BF7103">
        <w:rPr>
          <w:bCs/>
        </w:rPr>
        <w:t xml:space="preserve">el </w:t>
      </w:r>
      <w:r w:rsidR="002D74A2">
        <w:rPr>
          <w:bCs/>
        </w:rPr>
        <w:t>mismo acto</w:t>
      </w:r>
      <w:r w:rsidR="001951C8">
        <w:rPr>
          <w:bCs/>
        </w:rPr>
        <w:t>,</w:t>
      </w:r>
      <w:r w:rsidR="002D74A2">
        <w:rPr>
          <w:bCs/>
        </w:rPr>
        <w:t xml:space="preserve"> </w:t>
      </w:r>
      <w:r>
        <w:rPr>
          <w:bCs/>
        </w:rPr>
        <w:t xml:space="preserve">la firma </w:t>
      </w:r>
      <w:r w:rsidR="00D55DEB" w:rsidRPr="00D55DEB">
        <w:rPr>
          <w:bCs/>
        </w:rPr>
        <w:t>FEDERICO WILKINS solicit</w:t>
      </w:r>
      <w:r>
        <w:rPr>
          <w:bCs/>
        </w:rPr>
        <w:t xml:space="preserve">ó </w:t>
      </w:r>
      <w:r w:rsidR="002D74A2">
        <w:rPr>
          <w:bCs/>
        </w:rPr>
        <w:t xml:space="preserve">el rechazo de </w:t>
      </w:r>
      <w:r>
        <w:rPr>
          <w:bCs/>
        </w:rPr>
        <w:t xml:space="preserve">la oferta </w:t>
      </w:r>
      <w:r w:rsidRPr="00D55DEB">
        <w:rPr>
          <w:bCs/>
        </w:rPr>
        <w:t>presentada por CIRCOTEC S.A.,</w:t>
      </w:r>
      <w:r>
        <w:rPr>
          <w:bCs/>
        </w:rPr>
        <w:t xml:space="preserve"> </w:t>
      </w:r>
      <w:r w:rsidR="00D55DEB" w:rsidRPr="00D55DEB">
        <w:rPr>
          <w:bCs/>
        </w:rPr>
        <w:t>en vi</w:t>
      </w:r>
      <w:r>
        <w:rPr>
          <w:bCs/>
        </w:rPr>
        <w:t>rtud de que</w:t>
      </w:r>
      <w:r w:rsidR="002D74A2">
        <w:rPr>
          <w:bCs/>
        </w:rPr>
        <w:t xml:space="preserve"> no se adjuntaron </w:t>
      </w:r>
      <w:proofErr w:type="gramStart"/>
      <w:r w:rsidR="002D74A2">
        <w:rPr>
          <w:bCs/>
        </w:rPr>
        <w:t>a</w:t>
      </w:r>
      <w:r>
        <w:rPr>
          <w:bCs/>
        </w:rPr>
        <w:t xml:space="preserve"> la misma </w:t>
      </w:r>
      <w:r w:rsidR="00D55DEB" w:rsidRPr="00D55DEB">
        <w:rPr>
          <w:bCs/>
        </w:rPr>
        <w:t>planos</w:t>
      </w:r>
      <w:proofErr w:type="gramEnd"/>
      <w:r w:rsidR="00D55DEB" w:rsidRPr="00D55DEB">
        <w:rPr>
          <w:bCs/>
        </w:rPr>
        <w:t xml:space="preserve"> de sanitaria y planos digitales, </w:t>
      </w:r>
      <w:r w:rsidR="002D74A2">
        <w:rPr>
          <w:bCs/>
        </w:rPr>
        <w:t>conforme a lo solicitado en el pliego de condiciones</w:t>
      </w:r>
      <w:r w:rsidR="0011516F">
        <w:rPr>
          <w:bCs/>
        </w:rPr>
        <w:t>;</w:t>
      </w:r>
    </w:p>
    <w:p w:rsidR="005170C0" w:rsidRDefault="00174D5C" w:rsidP="0011516F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2D74A2">
        <w:rPr>
          <w:b/>
          <w:bCs/>
        </w:rPr>
        <w:t>6)</w:t>
      </w:r>
      <w:r>
        <w:rPr>
          <w:bCs/>
        </w:rPr>
        <w:t xml:space="preserve"> que </w:t>
      </w:r>
      <w:r w:rsidR="005170C0">
        <w:rPr>
          <w:bCs/>
        </w:rPr>
        <w:t xml:space="preserve">con </w:t>
      </w:r>
      <w:proofErr w:type="gramStart"/>
      <w:r w:rsidR="005170C0">
        <w:rPr>
          <w:bCs/>
        </w:rPr>
        <w:t>fecha</w:t>
      </w:r>
      <w:proofErr w:type="gramEnd"/>
      <w:r w:rsidR="005170C0">
        <w:rPr>
          <w:bCs/>
        </w:rPr>
        <w:t xml:space="preserve"> </w:t>
      </w:r>
      <w:r w:rsidR="005170C0" w:rsidRPr="00174D5C">
        <w:rPr>
          <w:bCs/>
        </w:rPr>
        <w:t>29/11/016</w:t>
      </w:r>
      <w:r w:rsidR="005170C0">
        <w:rPr>
          <w:bCs/>
        </w:rPr>
        <w:t xml:space="preserve">, ambas firmas formulan </w:t>
      </w:r>
      <w:r w:rsidR="002D74A2">
        <w:rPr>
          <w:bCs/>
        </w:rPr>
        <w:t>l</w:t>
      </w:r>
      <w:r w:rsidR="007012DC">
        <w:rPr>
          <w:bCs/>
        </w:rPr>
        <w:t>o</w:t>
      </w:r>
      <w:r w:rsidR="002D74A2">
        <w:rPr>
          <w:bCs/>
        </w:rPr>
        <w:t xml:space="preserve">s siguientes </w:t>
      </w:r>
      <w:r w:rsidR="007012DC">
        <w:rPr>
          <w:bCs/>
        </w:rPr>
        <w:t>agravios y descargos</w:t>
      </w:r>
      <w:r w:rsidR="005170C0">
        <w:rPr>
          <w:bCs/>
        </w:rPr>
        <w:t>:</w:t>
      </w:r>
    </w:p>
    <w:p w:rsidR="005170C0" w:rsidRDefault="005170C0" w:rsidP="00174D5C">
      <w:pPr>
        <w:tabs>
          <w:tab w:val="left" w:pos="1985"/>
        </w:tabs>
        <w:spacing w:line="360" w:lineRule="auto"/>
        <w:jc w:val="both"/>
        <w:rPr>
          <w:bCs/>
        </w:rPr>
      </w:pPr>
      <w:r w:rsidRPr="002D74A2">
        <w:rPr>
          <w:b/>
          <w:bCs/>
        </w:rPr>
        <w:t>6.</w:t>
      </w:r>
      <w:r w:rsidR="002D74A2">
        <w:rPr>
          <w:b/>
          <w:bCs/>
        </w:rPr>
        <w:t>1</w:t>
      </w:r>
      <w:r w:rsidRPr="002D74A2">
        <w:rPr>
          <w:b/>
          <w:bCs/>
        </w:rPr>
        <w:t>)</w:t>
      </w:r>
      <w:r>
        <w:rPr>
          <w:bCs/>
        </w:rPr>
        <w:t xml:space="preserve"> </w:t>
      </w:r>
      <w:r w:rsidR="00174D5C" w:rsidRPr="00174D5C">
        <w:rPr>
          <w:bCs/>
        </w:rPr>
        <w:t>CIRCOTEC S.A.</w:t>
      </w:r>
      <w:r w:rsidR="002D74A2">
        <w:rPr>
          <w:bCs/>
        </w:rPr>
        <w:t xml:space="preserve">, en respuesta a las </w:t>
      </w:r>
      <w:r w:rsidR="00174D5C" w:rsidRPr="00174D5C">
        <w:rPr>
          <w:bCs/>
        </w:rPr>
        <w:t xml:space="preserve">observaciones </w:t>
      </w:r>
      <w:r w:rsidR="00174D5C">
        <w:rPr>
          <w:bCs/>
        </w:rPr>
        <w:t xml:space="preserve">formuladas </w:t>
      </w:r>
      <w:r w:rsidR="002D74A2">
        <w:rPr>
          <w:bCs/>
        </w:rPr>
        <w:t xml:space="preserve">por la firma FEDERICO WILKINS en el acto de apertura, manifestó que agrega la documentación relacionada en el </w:t>
      </w:r>
      <w:r w:rsidR="00174D5C" w:rsidRPr="00174D5C">
        <w:rPr>
          <w:bCs/>
        </w:rPr>
        <w:t>Art</w:t>
      </w:r>
      <w:r w:rsidR="000909B2">
        <w:rPr>
          <w:bCs/>
        </w:rPr>
        <w:t>ículo</w:t>
      </w:r>
      <w:r w:rsidR="00174D5C" w:rsidRPr="00174D5C">
        <w:rPr>
          <w:bCs/>
        </w:rPr>
        <w:t xml:space="preserve"> 30 del P.C.P., </w:t>
      </w:r>
      <w:r w:rsidR="002D74A2">
        <w:rPr>
          <w:bCs/>
        </w:rPr>
        <w:t>si bien la misma debe ser proporcionada por la adjudicataria</w:t>
      </w:r>
      <w:r w:rsidR="007012DC">
        <w:rPr>
          <w:bCs/>
        </w:rPr>
        <w:t xml:space="preserve"> ante la Dirección General de Higiene y Medio Ambiente, entre otros requerimientos (habilitación DINAMA, Dirección Nacional de Bomberos, entre otros) y solicita </w:t>
      </w:r>
      <w:r w:rsidR="008A2A44">
        <w:rPr>
          <w:bCs/>
        </w:rPr>
        <w:t>la descalificación del mismo por presentarse como persona física ni presentar certificación notarial de su constitución como empresa</w:t>
      </w:r>
      <w:r>
        <w:rPr>
          <w:bCs/>
        </w:rPr>
        <w:t>;</w:t>
      </w:r>
    </w:p>
    <w:p w:rsidR="00174D5C" w:rsidRPr="00174D5C" w:rsidRDefault="005170C0" w:rsidP="00174D5C">
      <w:pPr>
        <w:tabs>
          <w:tab w:val="left" w:pos="1985"/>
        </w:tabs>
        <w:spacing w:line="360" w:lineRule="auto"/>
        <w:jc w:val="both"/>
        <w:rPr>
          <w:bCs/>
        </w:rPr>
      </w:pPr>
      <w:r w:rsidRPr="006A6FA0">
        <w:rPr>
          <w:b/>
          <w:bCs/>
        </w:rPr>
        <w:t>6.</w:t>
      </w:r>
      <w:r w:rsidR="006A6FA0" w:rsidRPr="006A6FA0">
        <w:rPr>
          <w:b/>
          <w:bCs/>
        </w:rPr>
        <w:t>2</w:t>
      </w:r>
      <w:r w:rsidRPr="006A6FA0">
        <w:rPr>
          <w:b/>
          <w:bCs/>
        </w:rPr>
        <w:t>)</w:t>
      </w:r>
      <w:r>
        <w:rPr>
          <w:bCs/>
        </w:rPr>
        <w:t xml:space="preserve"> </w:t>
      </w:r>
      <w:r w:rsidR="006A6FA0">
        <w:rPr>
          <w:bCs/>
        </w:rPr>
        <w:t xml:space="preserve">FEDERICO </w:t>
      </w:r>
      <w:r w:rsidR="00174D5C" w:rsidRPr="00174D5C">
        <w:rPr>
          <w:bCs/>
        </w:rPr>
        <w:t xml:space="preserve">WILKINS, </w:t>
      </w:r>
      <w:r>
        <w:rPr>
          <w:bCs/>
        </w:rPr>
        <w:t xml:space="preserve">por su parte, presentó nuevas observaciones a la oferta presentada por </w:t>
      </w:r>
      <w:r w:rsidR="00174D5C" w:rsidRPr="00174D5C">
        <w:rPr>
          <w:bCs/>
        </w:rPr>
        <w:t xml:space="preserve">la firma CIRCOTEC S.A., </w:t>
      </w:r>
      <w:r>
        <w:rPr>
          <w:bCs/>
        </w:rPr>
        <w:t xml:space="preserve">señalando que la misma </w:t>
      </w:r>
      <w:r w:rsidR="00174D5C" w:rsidRPr="00174D5C">
        <w:rPr>
          <w:bCs/>
        </w:rPr>
        <w:t>presenta</w:t>
      </w:r>
      <w:r>
        <w:rPr>
          <w:bCs/>
        </w:rPr>
        <w:t>ba</w:t>
      </w:r>
      <w:r w:rsidR="00174D5C" w:rsidRPr="00174D5C">
        <w:rPr>
          <w:bCs/>
        </w:rPr>
        <w:t xml:space="preserve"> incongruencias de índole técnica</w:t>
      </w:r>
      <w:r w:rsidR="008A2A44">
        <w:rPr>
          <w:bCs/>
        </w:rPr>
        <w:t xml:space="preserve"> en las obras propuestas</w:t>
      </w:r>
      <w:r w:rsidR="005E09AC">
        <w:rPr>
          <w:bCs/>
        </w:rPr>
        <w:t xml:space="preserve">,  incluyendo algunas </w:t>
      </w:r>
      <w:r w:rsidR="008A2A44">
        <w:rPr>
          <w:bCs/>
        </w:rPr>
        <w:t>que no son de infraestructura</w:t>
      </w:r>
      <w:r w:rsidR="00174D5C" w:rsidRPr="00174D5C">
        <w:rPr>
          <w:bCs/>
        </w:rPr>
        <w:t xml:space="preserve"> </w:t>
      </w:r>
      <w:r w:rsidR="008A2A44">
        <w:rPr>
          <w:bCs/>
        </w:rPr>
        <w:t>y de costos,</w:t>
      </w:r>
      <w:r w:rsidR="00174D5C" w:rsidRPr="00174D5C">
        <w:rPr>
          <w:bCs/>
        </w:rPr>
        <w:t xml:space="preserve"> incumplimientos de carácter sustancial, </w:t>
      </w:r>
      <w:r w:rsidR="006A6FA0">
        <w:rPr>
          <w:bCs/>
        </w:rPr>
        <w:t xml:space="preserve">que la hacen </w:t>
      </w:r>
      <w:r>
        <w:rPr>
          <w:bCs/>
        </w:rPr>
        <w:t>inadmisible</w:t>
      </w:r>
      <w:r w:rsidR="00C81F50">
        <w:rPr>
          <w:bCs/>
        </w:rPr>
        <w:t xml:space="preserve">. </w:t>
      </w:r>
      <w:r w:rsidR="008A2A44">
        <w:rPr>
          <w:bCs/>
        </w:rPr>
        <w:t>R</w:t>
      </w:r>
      <w:r w:rsidR="00C81F50">
        <w:rPr>
          <w:bCs/>
        </w:rPr>
        <w:t xml:space="preserve">especto de </w:t>
      </w:r>
      <w:r w:rsidR="008A2A44">
        <w:rPr>
          <w:bCs/>
        </w:rPr>
        <w:t>la acreditación del factor</w:t>
      </w:r>
      <w:r w:rsidR="00C81F50">
        <w:rPr>
          <w:bCs/>
        </w:rPr>
        <w:t xml:space="preserve"> </w:t>
      </w:r>
      <w:r w:rsidR="008A2A44">
        <w:rPr>
          <w:bCs/>
        </w:rPr>
        <w:t>A</w:t>
      </w:r>
      <w:r w:rsidR="00C81F50">
        <w:rPr>
          <w:bCs/>
        </w:rPr>
        <w:t xml:space="preserve">ntecedentes en el certificado notarial se establece que </w:t>
      </w:r>
      <w:r w:rsidR="008A2A44">
        <w:rPr>
          <w:bCs/>
        </w:rPr>
        <w:t xml:space="preserve">CIRCOTEC S.A. </w:t>
      </w:r>
      <w:r w:rsidR="00C81F50">
        <w:rPr>
          <w:bCs/>
        </w:rPr>
        <w:t xml:space="preserve">fue creada en 2010 y de acuerdo a la planilla de trabajo </w:t>
      </w:r>
      <w:r w:rsidR="008A2A44">
        <w:rPr>
          <w:bCs/>
        </w:rPr>
        <w:t xml:space="preserve">su actividad comercial es </w:t>
      </w:r>
      <w:r w:rsidR="00C81F50">
        <w:rPr>
          <w:bCs/>
        </w:rPr>
        <w:t>a partir de junio de 2015</w:t>
      </w:r>
      <w:r w:rsidR="005E09AC">
        <w:rPr>
          <w:bCs/>
        </w:rPr>
        <w:t>. Asimismo la documentación aportada corresponde a la firma LANUFER A</w:t>
      </w:r>
      <w:r w:rsidR="000909B2">
        <w:rPr>
          <w:bCs/>
        </w:rPr>
        <w:t>;</w:t>
      </w:r>
    </w:p>
    <w:p w:rsidR="00A54812" w:rsidRDefault="00A54812" w:rsidP="005804F1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A54812">
        <w:rPr>
          <w:b/>
          <w:bCs/>
        </w:rPr>
        <w:t>7</w:t>
      </w:r>
      <w:r w:rsidR="005170C0" w:rsidRPr="00A54812">
        <w:rPr>
          <w:b/>
          <w:bCs/>
        </w:rPr>
        <w:t>)</w:t>
      </w:r>
      <w:r w:rsidR="005170C0">
        <w:rPr>
          <w:bCs/>
        </w:rPr>
        <w:t xml:space="preserve"> que en i</w:t>
      </w:r>
      <w:r w:rsidR="00174D5C" w:rsidRPr="00174D5C">
        <w:rPr>
          <w:bCs/>
        </w:rPr>
        <w:t>nforme</w:t>
      </w:r>
      <w:r>
        <w:rPr>
          <w:bCs/>
        </w:rPr>
        <w:t>s</w:t>
      </w:r>
      <w:r w:rsidR="00174D5C" w:rsidRPr="00174D5C">
        <w:rPr>
          <w:bCs/>
        </w:rPr>
        <w:t xml:space="preserve"> técnico</w:t>
      </w:r>
      <w:r>
        <w:rPr>
          <w:bCs/>
        </w:rPr>
        <w:t>s,</w:t>
      </w:r>
      <w:r w:rsidR="005170C0">
        <w:rPr>
          <w:bCs/>
        </w:rPr>
        <w:t xml:space="preserve"> elaborado</w:t>
      </w:r>
      <w:r>
        <w:rPr>
          <w:bCs/>
        </w:rPr>
        <w:t>s</w:t>
      </w:r>
      <w:r w:rsidR="005170C0">
        <w:rPr>
          <w:bCs/>
        </w:rPr>
        <w:t xml:space="preserve"> por </w:t>
      </w:r>
      <w:r>
        <w:rPr>
          <w:bCs/>
        </w:rPr>
        <w:t xml:space="preserve">el asesor técnico de </w:t>
      </w:r>
      <w:r w:rsidRPr="00174D5C">
        <w:rPr>
          <w:bCs/>
        </w:rPr>
        <w:t>la Dirección de Espacios Públicos</w:t>
      </w:r>
      <w:r>
        <w:rPr>
          <w:bCs/>
        </w:rPr>
        <w:t xml:space="preserve"> y por </w:t>
      </w:r>
      <w:r w:rsidR="005170C0">
        <w:rPr>
          <w:bCs/>
        </w:rPr>
        <w:t xml:space="preserve">la </w:t>
      </w:r>
      <w:r w:rsidR="00174D5C" w:rsidRPr="00174D5C">
        <w:rPr>
          <w:bCs/>
        </w:rPr>
        <w:t>Oficina de Medio Ambiente</w:t>
      </w:r>
      <w:r>
        <w:rPr>
          <w:bCs/>
        </w:rPr>
        <w:t xml:space="preserve">, consta </w:t>
      </w:r>
      <w:r w:rsidR="005170C0">
        <w:rPr>
          <w:bCs/>
        </w:rPr>
        <w:t xml:space="preserve">que </w:t>
      </w:r>
      <w:r w:rsidR="00174D5C" w:rsidRPr="00174D5C">
        <w:rPr>
          <w:bCs/>
        </w:rPr>
        <w:t>ambas ofertas se ajustan</w:t>
      </w:r>
      <w:r>
        <w:rPr>
          <w:bCs/>
        </w:rPr>
        <w:t xml:space="preserve"> básicamente</w:t>
      </w:r>
      <w:r w:rsidR="00174D5C" w:rsidRPr="00174D5C">
        <w:rPr>
          <w:bCs/>
        </w:rPr>
        <w:t xml:space="preserve"> a las previsiones del pliego</w:t>
      </w:r>
      <w:r w:rsidR="005E09AC">
        <w:rPr>
          <w:bCs/>
        </w:rPr>
        <w:t>, siendo ambas</w:t>
      </w:r>
      <w:r w:rsidR="008918BD">
        <w:rPr>
          <w:bCs/>
        </w:rPr>
        <w:t xml:space="preserve"> de características similares. D</w:t>
      </w:r>
      <w:r>
        <w:rPr>
          <w:bCs/>
        </w:rPr>
        <w:t xml:space="preserve">e la </w:t>
      </w:r>
      <w:r w:rsidR="00174D5C" w:rsidRPr="00174D5C">
        <w:rPr>
          <w:bCs/>
        </w:rPr>
        <w:t>evaluación</w:t>
      </w:r>
      <w:r>
        <w:rPr>
          <w:bCs/>
        </w:rPr>
        <w:t xml:space="preserve"> realizada surge</w:t>
      </w:r>
      <w:r w:rsidR="00174D5C" w:rsidRPr="00174D5C">
        <w:rPr>
          <w:bCs/>
        </w:rPr>
        <w:t xml:space="preserve"> </w:t>
      </w:r>
      <w:r w:rsidR="005170C0">
        <w:rPr>
          <w:bCs/>
        </w:rPr>
        <w:t xml:space="preserve">la siguiente puntuación: </w:t>
      </w:r>
      <w:r w:rsidR="00174D5C" w:rsidRPr="00174D5C">
        <w:rPr>
          <w:bCs/>
        </w:rPr>
        <w:t>FEDERICO WILKINS</w:t>
      </w:r>
      <w:r w:rsidR="00657B32">
        <w:rPr>
          <w:bCs/>
        </w:rPr>
        <w:t xml:space="preserve"> </w:t>
      </w:r>
      <w:r w:rsidR="00174D5C" w:rsidRPr="00174D5C">
        <w:rPr>
          <w:bCs/>
        </w:rPr>
        <w:t xml:space="preserve">- </w:t>
      </w:r>
      <w:r w:rsidR="005E09AC">
        <w:rPr>
          <w:bCs/>
        </w:rPr>
        <w:t>8</w:t>
      </w:r>
      <w:r w:rsidR="00174D5C" w:rsidRPr="00174D5C">
        <w:rPr>
          <w:bCs/>
        </w:rPr>
        <w:t>4 puntos</w:t>
      </w:r>
      <w:r w:rsidR="005E09AC">
        <w:rPr>
          <w:bCs/>
        </w:rPr>
        <w:t xml:space="preserve"> (Precio 24</w:t>
      </w:r>
      <w:r w:rsidR="005E09AC" w:rsidRPr="005E09AC">
        <w:rPr>
          <w:bCs/>
        </w:rPr>
        <w:t xml:space="preserve"> </w:t>
      </w:r>
      <w:r w:rsidR="005E09AC" w:rsidRPr="00174D5C">
        <w:rPr>
          <w:bCs/>
        </w:rPr>
        <w:t>punto</w:t>
      </w:r>
      <w:r w:rsidR="005E09AC">
        <w:rPr>
          <w:bCs/>
        </w:rPr>
        <w:t>s, Obras 40, Antecedentes 20)</w:t>
      </w:r>
      <w:r w:rsidR="00174D5C" w:rsidRPr="00174D5C">
        <w:rPr>
          <w:bCs/>
        </w:rPr>
        <w:t xml:space="preserve">; CIRCOTEC S.A.- </w:t>
      </w:r>
      <w:r w:rsidR="005E09AC">
        <w:rPr>
          <w:bCs/>
        </w:rPr>
        <w:t>88 (Precio 30</w:t>
      </w:r>
      <w:r w:rsidR="005E09AC" w:rsidRPr="005E09AC">
        <w:rPr>
          <w:bCs/>
        </w:rPr>
        <w:t xml:space="preserve"> </w:t>
      </w:r>
      <w:r w:rsidR="005E09AC" w:rsidRPr="00174D5C">
        <w:rPr>
          <w:bCs/>
        </w:rPr>
        <w:t>punto</w:t>
      </w:r>
      <w:r w:rsidR="005E09AC">
        <w:rPr>
          <w:bCs/>
        </w:rPr>
        <w:t>s, Obras 38, Antecedentes 20)</w:t>
      </w:r>
      <w:r w:rsidR="005170C0">
        <w:rPr>
          <w:bCs/>
        </w:rPr>
        <w:t xml:space="preserve">; </w:t>
      </w:r>
    </w:p>
    <w:p w:rsidR="00174D5C" w:rsidRPr="00174D5C" w:rsidRDefault="00A54812" w:rsidP="005804F1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A54812">
        <w:rPr>
          <w:b/>
          <w:bCs/>
        </w:rPr>
        <w:t>8</w:t>
      </w:r>
      <w:r w:rsidR="003B038A" w:rsidRPr="00A54812">
        <w:rPr>
          <w:b/>
          <w:bCs/>
        </w:rPr>
        <w:t>)</w:t>
      </w:r>
      <w:r w:rsidR="003B038A">
        <w:rPr>
          <w:bCs/>
        </w:rPr>
        <w:t xml:space="preserve"> que en dictamen </w:t>
      </w:r>
      <w:r>
        <w:rPr>
          <w:bCs/>
        </w:rPr>
        <w:t>d</w:t>
      </w:r>
      <w:r w:rsidR="003B038A">
        <w:rPr>
          <w:bCs/>
        </w:rPr>
        <w:t xml:space="preserve">e fecha </w:t>
      </w:r>
      <w:r w:rsidR="00174D5C" w:rsidRPr="00174D5C">
        <w:rPr>
          <w:bCs/>
        </w:rPr>
        <w:t>9/12/01</w:t>
      </w:r>
      <w:r w:rsidR="00ED25E1">
        <w:rPr>
          <w:bCs/>
        </w:rPr>
        <w:t>6</w:t>
      </w:r>
      <w:r w:rsidR="00174D5C" w:rsidRPr="00174D5C">
        <w:rPr>
          <w:bCs/>
        </w:rPr>
        <w:t xml:space="preserve">, </w:t>
      </w:r>
      <w:r w:rsidR="003B038A">
        <w:rPr>
          <w:bCs/>
        </w:rPr>
        <w:t xml:space="preserve">previa </w:t>
      </w:r>
      <w:r w:rsidR="00174D5C" w:rsidRPr="00174D5C">
        <w:rPr>
          <w:bCs/>
        </w:rPr>
        <w:t>pondera</w:t>
      </w:r>
      <w:r w:rsidR="003B038A">
        <w:rPr>
          <w:bCs/>
        </w:rPr>
        <w:t xml:space="preserve">ción de </w:t>
      </w:r>
      <w:r w:rsidR="00174D5C" w:rsidRPr="00174D5C">
        <w:rPr>
          <w:bCs/>
        </w:rPr>
        <w:t>las ofertas y sus</w:t>
      </w:r>
      <w:r w:rsidR="003B038A">
        <w:rPr>
          <w:bCs/>
        </w:rPr>
        <w:t xml:space="preserve"> evaluaciones técnicas, </w:t>
      </w:r>
      <w:r>
        <w:rPr>
          <w:bCs/>
        </w:rPr>
        <w:t xml:space="preserve">la Comisión Asesora de Adjudicaciones </w:t>
      </w:r>
      <w:r w:rsidR="003B038A">
        <w:rPr>
          <w:bCs/>
        </w:rPr>
        <w:t>aconsejó</w:t>
      </w:r>
      <w:r w:rsidR="00174D5C" w:rsidRPr="00174D5C">
        <w:rPr>
          <w:bCs/>
        </w:rPr>
        <w:t xml:space="preserve"> adjudicar el llamado a la firma CIRCOTEC S.A., con un canon anual de $ 1:500.000 para la primera temporada</w:t>
      </w:r>
      <w:r w:rsidR="000E39A7">
        <w:rPr>
          <w:bCs/>
        </w:rPr>
        <w:t xml:space="preserve">, más </w:t>
      </w:r>
      <w:r w:rsidR="00174D5C" w:rsidRPr="00174D5C">
        <w:rPr>
          <w:bCs/>
        </w:rPr>
        <w:t>obras y materiales por un monto total de $ 5:059</w:t>
      </w:r>
      <w:r w:rsidR="003B038A">
        <w:rPr>
          <w:bCs/>
        </w:rPr>
        <w:t>.876;</w:t>
      </w:r>
    </w:p>
    <w:p w:rsidR="009C32BA" w:rsidRPr="009C32BA" w:rsidRDefault="007A404D" w:rsidP="005804F1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7A404D">
        <w:rPr>
          <w:b/>
          <w:bCs/>
        </w:rPr>
        <w:t>9</w:t>
      </w:r>
      <w:r w:rsidR="009C32BA" w:rsidRPr="007A404D">
        <w:rPr>
          <w:b/>
          <w:bCs/>
        </w:rPr>
        <w:t>)</w:t>
      </w:r>
      <w:r w:rsidR="009C32BA" w:rsidRPr="007A404D">
        <w:rPr>
          <w:bCs/>
        </w:rPr>
        <w:t xml:space="preserve"> q</w:t>
      </w:r>
      <w:r w:rsidR="00D07539" w:rsidRPr="007A404D">
        <w:rPr>
          <w:bCs/>
        </w:rPr>
        <w:t>ue</w:t>
      </w:r>
      <w:r w:rsidR="00AB3E5A" w:rsidRPr="007A404D">
        <w:rPr>
          <w:bCs/>
        </w:rPr>
        <w:t xml:space="preserve"> mediante</w:t>
      </w:r>
      <w:r w:rsidR="00D07539" w:rsidRPr="007A404D">
        <w:rPr>
          <w:bCs/>
        </w:rPr>
        <w:t xml:space="preserve"> </w:t>
      </w:r>
      <w:r w:rsidR="009C32BA" w:rsidRPr="007A404D">
        <w:rPr>
          <w:bCs/>
        </w:rPr>
        <w:t>Resolución</w:t>
      </w:r>
      <w:r w:rsidR="00AB3E5A">
        <w:rPr>
          <w:bCs/>
        </w:rPr>
        <w:t xml:space="preserve"> Nº</w:t>
      </w:r>
      <w:r w:rsidR="009C32BA" w:rsidRPr="009C32BA">
        <w:rPr>
          <w:bCs/>
        </w:rPr>
        <w:t xml:space="preserve"> 9200/2016</w:t>
      </w:r>
      <w:r w:rsidR="00AB3E5A">
        <w:rPr>
          <w:bCs/>
        </w:rPr>
        <w:t>, de fecha 21/12/017,</w:t>
      </w:r>
      <w:r w:rsidR="009C32BA" w:rsidRPr="009C32BA">
        <w:rPr>
          <w:bCs/>
        </w:rPr>
        <w:t xml:space="preserve"> </w:t>
      </w:r>
      <w:r>
        <w:rPr>
          <w:bCs/>
        </w:rPr>
        <w:t xml:space="preserve">el Ejecutivo Departamental </w:t>
      </w:r>
      <w:r w:rsidR="00AB3E5A">
        <w:rPr>
          <w:bCs/>
        </w:rPr>
        <w:t>adjudicó la convocatoria -</w:t>
      </w:r>
      <w:r w:rsidR="009C32BA" w:rsidRPr="009C32BA">
        <w:rPr>
          <w:bCs/>
        </w:rPr>
        <w:t>ad referéndum del dictamen de este Tribunal</w:t>
      </w:r>
      <w:r w:rsidR="00AB3E5A">
        <w:rPr>
          <w:bCs/>
        </w:rPr>
        <w:t xml:space="preserve">- </w:t>
      </w:r>
      <w:r w:rsidR="009C32BA" w:rsidRPr="009C32BA">
        <w:rPr>
          <w:bCs/>
        </w:rPr>
        <w:t xml:space="preserve">a la firma CIRCOTEC S.A., por un canon anual de $ 1:500.000; </w:t>
      </w:r>
      <w:r w:rsidR="00ED25E1">
        <w:rPr>
          <w:bCs/>
        </w:rPr>
        <w:t xml:space="preserve">realización de </w:t>
      </w:r>
      <w:r w:rsidR="009C32BA" w:rsidRPr="009C32BA">
        <w:rPr>
          <w:bCs/>
        </w:rPr>
        <w:t xml:space="preserve">obras y materiales: $ 2:894.920  más I.V.A., mano de obra directa y Leyes Sociales por un monto de $ </w:t>
      </w:r>
      <w:r w:rsidR="00ED25E1">
        <w:rPr>
          <w:bCs/>
        </w:rPr>
        <w:t>324.940, adquisición de sistemas de seguridad, sistema anti</w:t>
      </w:r>
      <w:r w:rsidR="008918BD">
        <w:rPr>
          <w:bCs/>
        </w:rPr>
        <w:t xml:space="preserve"> </w:t>
      </w:r>
      <w:r w:rsidR="00ED25E1">
        <w:rPr>
          <w:bCs/>
        </w:rPr>
        <w:t xml:space="preserve">rayos y luces exteriores por </w:t>
      </w:r>
      <w:r w:rsidR="005804F1">
        <w:rPr>
          <w:bCs/>
        </w:rPr>
        <w:t xml:space="preserve">                             </w:t>
      </w:r>
      <w:r w:rsidR="00ED25E1">
        <w:rPr>
          <w:bCs/>
        </w:rPr>
        <w:t xml:space="preserve">$ </w:t>
      </w:r>
      <w:r w:rsidR="009C32BA" w:rsidRPr="009C32BA">
        <w:rPr>
          <w:bCs/>
        </w:rPr>
        <w:t>388.710</w:t>
      </w:r>
      <w:r w:rsidR="005804F1">
        <w:rPr>
          <w:bCs/>
        </w:rPr>
        <w:t xml:space="preserve"> y $ 1:451.306</w:t>
      </w:r>
      <w:r w:rsidR="009C32BA" w:rsidRPr="009C32BA">
        <w:rPr>
          <w:bCs/>
        </w:rPr>
        <w:t xml:space="preserve"> por concepto de inversiones (uniformes de personal, vajilla, equipamientos de cocina, mobiliario interior y ext</w:t>
      </w:r>
      <w:r w:rsidR="005804F1">
        <w:rPr>
          <w:bCs/>
        </w:rPr>
        <w:t>erior);</w:t>
      </w:r>
    </w:p>
    <w:p w:rsidR="009C32BA" w:rsidRPr="009C32BA" w:rsidRDefault="00AB3E5A" w:rsidP="005804F1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7A404D">
        <w:rPr>
          <w:b/>
          <w:bCs/>
        </w:rPr>
        <w:t>1</w:t>
      </w:r>
      <w:r w:rsidR="007A404D" w:rsidRPr="007A404D">
        <w:rPr>
          <w:b/>
          <w:bCs/>
        </w:rPr>
        <w:t>0</w:t>
      </w:r>
      <w:r w:rsidRPr="007A404D">
        <w:rPr>
          <w:b/>
          <w:bCs/>
        </w:rPr>
        <w:t>)</w:t>
      </w:r>
      <w:r>
        <w:rPr>
          <w:bCs/>
        </w:rPr>
        <w:t xml:space="preserve"> que l</w:t>
      </w:r>
      <w:r w:rsidR="009C32BA" w:rsidRPr="009C32BA">
        <w:rPr>
          <w:bCs/>
        </w:rPr>
        <w:t xml:space="preserve">a </w:t>
      </w:r>
      <w:r>
        <w:rPr>
          <w:bCs/>
        </w:rPr>
        <w:t>firma FEDERICO WILKINS interpuso</w:t>
      </w:r>
      <w:r w:rsidR="009C32BA" w:rsidRPr="009C32BA">
        <w:rPr>
          <w:bCs/>
        </w:rPr>
        <w:t xml:space="preserve"> recurso de reposición respecto a la resolución de adjudicación, </w:t>
      </w:r>
      <w:r w:rsidR="008918BD">
        <w:rPr>
          <w:bCs/>
        </w:rPr>
        <w:t xml:space="preserve">fundando sus agravios  </w:t>
      </w:r>
      <w:r w:rsidR="005332F7">
        <w:rPr>
          <w:bCs/>
        </w:rPr>
        <w:t>respecto</w:t>
      </w:r>
      <w:r w:rsidR="008918BD">
        <w:rPr>
          <w:bCs/>
        </w:rPr>
        <w:t xml:space="preserve"> </w:t>
      </w:r>
      <w:r w:rsidR="005332F7">
        <w:rPr>
          <w:bCs/>
        </w:rPr>
        <w:t xml:space="preserve">a los Antecedentes </w:t>
      </w:r>
      <w:r w:rsidR="008918BD">
        <w:rPr>
          <w:bCs/>
        </w:rPr>
        <w:t xml:space="preserve">en los </w:t>
      </w:r>
      <w:r w:rsidR="008C5135">
        <w:rPr>
          <w:bCs/>
        </w:rPr>
        <w:t>A</w:t>
      </w:r>
      <w:r w:rsidR="008918BD">
        <w:rPr>
          <w:bCs/>
        </w:rPr>
        <w:t>rtí</w:t>
      </w:r>
      <w:r w:rsidR="005332F7">
        <w:rPr>
          <w:bCs/>
        </w:rPr>
        <w:t>culos 63 y 65 del TOCAF que disponen la presentación de las ofertas en las condiciones que se establezca en los pliegos y juzgar el contenido de las ofertas en base a criterios objetivos que se determinen en el pliego. S</w:t>
      </w:r>
      <w:r w:rsidR="009C32BA" w:rsidRPr="009C32BA">
        <w:rPr>
          <w:bCs/>
        </w:rPr>
        <w:t>eñala que l</w:t>
      </w:r>
      <w:r w:rsidR="001159B1">
        <w:rPr>
          <w:bCs/>
        </w:rPr>
        <w:t>os antecedentes presentados por l</w:t>
      </w:r>
      <w:r w:rsidR="009C32BA" w:rsidRPr="009C32BA">
        <w:rPr>
          <w:bCs/>
        </w:rPr>
        <w:t>a adjudicataria</w:t>
      </w:r>
      <w:r w:rsidR="001159B1">
        <w:rPr>
          <w:bCs/>
        </w:rPr>
        <w:t xml:space="preserve"> no le eran propios, por lo que la misma carece </w:t>
      </w:r>
      <w:r w:rsidR="009C32BA" w:rsidRPr="009C32BA">
        <w:rPr>
          <w:bCs/>
        </w:rPr>
        <w:t xml:space="preserve">de antecedentes en el ramo, vulnerándose </w:t>
      </w:r>
      <w:r w:rsidR="001159B1">
        <w:rPr>
          <w:bCs/>
        </w:rPr>
        <w:t>con la adjudicación el</w:t>
      </w:r>
      <w:r w:rsidR="009C32BA" w:rsidRPr="009C32BA">
        <w:rPr>
          <w:bCs/>
        </w:rPr>
        <w:t xml:space="preserve"> princip</w:t>
      </w:r>
      <w:r w:rsidR="001159B1">
        <w:rPr>
          <w:bCs/>
        </w:rPr>
        <w:t>io de igualdad de los oferentes</w:t>
      </w:r>
      <w:r w:rsidR="005332F7">
        <w:rPr>
          <w:bCs/>
        </w:rPr>
        <w:t>, por lo que solicita su desestimación y el otorgamiento de carácter suspensivo del recurso</w:t>
      </w:r>
      <w:r w:rsidR="001159B1">
        <w:rPr>
          <w:bCs/>
        </w:rPr>
        <w:t>;</w:t>
      </w:r>
    </w:p>
    <w:p w:rsidR="009C32BA" w:rsidRPr="009C32BA" w:rsidRDefault="00AB3E5A" w:rsidP="008C5135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1159B1">
        <w:rPr>
          <w:b/>
          <w:bCs/>
        </w:rPr>
        <w:t>1</w:t>
      </w:r>
      <w:r w:rsidR="001159B1" w:rsidRPr="001159B1">
        <w:rPr>
          <w:b/>
          <w:bCs/>
        </w:rPr>
        <w:t>1</w:t>
      </w:r>
      <w:r w:rsidRPr="001159B1">
        <w:rPr>
          <w:b/>
          <w:bCs/>
        </w:rPr>
        <w:t>)</w:t>
      </w:r>
      <w:r>
        <w:rPr>
          <w:bCs/>
        </w:rPr>
        <w:t xml:space="preserve"> que e</w:t>
      </w:r>
      <w:r w:rsidR="009C32BA" w:rsidRPr="009C32BA">
        <w:rPr>
          <w:bCs/>
        </w:rPr>
        <w:t xml:space="preserve">l Ejecutivo Departamental, por Resolución </w:t>
      </w:r>
      <w:r w:rsidR="008C5135">
        <w:rPr>
          <w:bCs/>
        </w:rPr>
        <w:t xml:space="preserve">                                 </w:t>
      </w:r>
      <w:r w:rsidR="009C32BA" w:rsidRPr="009C32BA">
        <w:rPr>
          <w:bCs/>
        </w:rPr>
        <w:t xml:space="preserve">Nº 09292/2016, de fecha 28/12/016, levantó el efecto suspensivo del recurso </w:t>
      </w:r>
      <w:r w:rsidR="001159B1">
        <w:rPr>
          <w:bCs/>
        </w:rPr>
        <w:t xml:space="preserve">relacionado en el </w:t>
      </w:r>
      <w:r>
        <w:rPr>
          <w:bCs/>
        </w:rPr>
        <w:t xml:space="preserve">Resultando </w:t>
      </w:r>
      <w:r w:rsidR="001159B1">
        <w:rPr>
          <w:bCs/>
        </w:rPr>
        <w:t>anterior,</w:t>
      </w:r>
      <w:r w:rsidR="001951C8">
        <w:rPr>
          <w:bCs/>
        </w:rPr>
        <w:t xml:space="preserve"> al amparo de las previsiones del </w:t>
      </w:r>
      <w:r w:rsidR="008C5135">
        <w:rPr>
          <w:bCs/>
        </w:rPr>
        <w:t xml:space="preserve">       </w:t>
      </w:r>
      <w:r w:rsidR="001951C8">
        <w:rPr>
          <w:bCs/>
        </w:rPr>
        <w:t>Art</w:t>
      </w:r>
      <w:r w:rsidR="008C5135">
        <w:rPr>
          <w:bCs/>
        </w:rPr>
        <w:t>ículo</w:t>
      </w:r>
      <w:r w:rsidR="001951C8">
        <w:rPr>
          <w:bCs/>
        </w:rPr>
        <w:t xml:space="preserve"> 73 del T.O.C.A.F.,</w:t>
      </w:r>
      <w:r w:rsidR="001159B1">
        <w:rPr>
          <w:bCs/>
        </w:rPr>
        <w:t xml:space="preserve"> alegando </w:t>
      </w:r>
      <w:r w:rsidR="009C32BA" w:rsidRPr="009C32BA">
        <w:rPr>
          <w:bCs/>
        </w:rPr>
        <w:t>necesidades inaplazables de servicio</w:t>
      </w:r>
      <w:r>
        <w:rPr>
          <w:bCs/>
        </w:rPr>
        <w:t>;</w:t>
      </w:r>
    </w:p>
    <w:p w:rsidR="00AB3E5A" w:rsidRDefault="00AB3E5A" w:rsidP="008C5135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9E1D73">
        <w:rPr>
          <w:b/>
          <w:bCs/>
        </w:rPr>
        <w:t>1</w:t>
      </w:r>
      <w:r w:rsidR="009E1D73" w:rsidRPr="009E1D73">
        <w:rPr>
          <w:b/>
          <w:bCs/>
        </w:rPr>
        <w:t>2</w:t>
      </w:r>
      <w:r w:rsidRPr="009E1D73">
        <w:rPr>
          <w:b/>
          <w:bCs/>
        </w:rPr>
        <w:t>)</w:t>
      </w:r>
      <w:r>
        <w:rPr>
          <w:bCs/>
        </w:rPr>
        <w:t xml:space="preserve"> que </w:t>
      </w:r>
      <w:r w:rsidR="002B64AB">
        <w:rPr>
          <w:bCs/>
        </w:rPr>
        <w:t xml:space="preserve">notificada la firma CIRCOTEC S.A. del recurso interpuesto, </w:t>
      </w:r>
      <w:r w:rsidR="009667DC">
        <w:rPr>
          <w:bCs/>
        </w:rPr>
        <w:t>evacuó la vista conferida</w:t>
      </w:r>
      <w:r w:rsidR="002B64AB">
        <w:rPr>
          <w:bCs/>
        </w:rPr>
        <w:t xml:space="preserve"> </w:t>
      </w:r>
      <w:r>
        <w:rPr>
          <w:bCs/>
        </w:rPr>
        <w:t>c</w:t>
      </w:r>
      <w:r w:rsidR="009C32BA" w:rsidRPr="009C32BA">
        <w:rPr>
          <w:bCs/>
        </w:rPr>
        <w:t>on fecha</w:t>
      </w:r>
      <w:r>
        <w:rPr>
          <w:bCs/>
        </w:rPr>
        <w:t xml:space="preserve"> 25/01/017</w:t>
      </w:r>
      <w:r w:rsidR="002B64AB">
        <w:rPr>
          <w:bCs/>
        </w:rPr>
        <w:t xml:space="preserve">, </w:t>
      </w:r>
      <w:r w:rsidR="009C32BA" w:rsidRPr="009C32BA">
        <w:rPr>
          <w:bCs/>
        </w:rPr>
        <w:t>señalando que los antecedentes presentados en cumplimiento de las previsiones del P.C.P., corresponden a emprendimientos de</w:t>
      </w:r>
      <w:r w:rsidR="002B64AB">
        <w:rPr>
          <w:bCs/>
        </w:rPr>
        <w:t xml:space="preserve"> </w:t>
      </w:r>
      <w:r w:rsidR="009C32BA" w:rsidRPr="009C32BA">
        <w:rPr>
          <w:bCs/>
        </w:rPr>
        <w:t>l</w:t>
      </w:r>
      <w:r w:rsidR="002B64AB">
        <w:rPr>
          <w:bCs/>
        </w:rPr>
        <w:t>a familia De La Fuente y en particular del</w:t>
      </w:r>
      <w:r w:rsidR="009C32BA" w:rsidRPr="009C32BA">
        <w:rPr>
          <w:bCs/>
        </w:rPr>
        <w:t xml:space="preserve"> Sr. Roque De La Fuente Guerra, que</w:t>
      </w:r>
      <w:r w:rsidR="004A7BDF">
        <w:rPr>
          <w:bCs/>
        </w:rPr>
        <w:t xml:space="preserve"> son propietarios de las empresas </w:t>
      </w:r>
      <w:r w:rsidR="009667DC">
        <w:rPr>
          <w:bCs/>
        </w:rPr>
        <w:t>CIRCOTEC S.A.</w:t>
      </w:r>
      <w:r w:rsidR="004A7BDF">
        <w:rPr>
          <w:bCs/>
        </w:rPr>
        <w:t xml:space="preserve"> y LANUFER S.A.</w:t>
      </w:r>
      <w:r w:rsidR="008C5135">
        <w:rPr>
          <w:bCs/>
        </w:rPr>
        <w:t>;</w:t>
      </w:r>
    </w:p>
    <w:p w:rsidR="009B061D" w:rsidRDefault="00AB3E5A" w:rsidP="008C5135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9E1D73">
        <w:rPr>
          <w:b/>
          <w:bCs/>
        </w:rPr>
        <w:t>1</w:t>
      </w:r>
      <w:r w:rsidR="009E1D73" w:rsidRPr="009E1D73">
        <w:rPr>
          <w:b/>
          <w:bCs/>
        </w:rPr>
        <w:t>3</w:t>
      </w:r>
      <w:r w:rsidRPr="009E1D73">
        <w:rPr>
          <w:b/>
          <w:bCs/>
        </w:rPr>
        <w:t>)</w:t>
      </w:r>
      <w:r w:rsidR="009E1D73">
        <w:rPr>
          <w:bCs/>
        </w:rPr>
        <w:t xml:space="preserve"> </w:t>
      </w:r>
      <w:r w:rsidR="009B061D">
        <w:rPr>
          <w:bCs/>
        </w:rPr>
        <w:t xml:space="preserve">que se agregan fotocopias de certificados y planillas de trabajo de LANUFER SA; </w:t>
      </w:r>
    </w:p>
    <w:p w:rsidR="00AB3E5A" w:rsidRDefault="009B061D" w:rsidP="008C5135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9B061D">
        <w:rPr>
          <w:b/>
          <w:bCs/>
        </w:rPr>
        <w:t>14)</w:t>
      </w:r>
      <w:r>
        <w:rPr>
          <w:bCs/>
        </w:rPr>
        <w:t xml:space="preserve"> </w:t>
      </w:r>
      <w:r w:rsidR="009E1D73">
        <w:rPr>
          <w:bCs/>
        </w:rPr>
        <w:t>que</w:t>
      </w:r>
      <w:r w:rsidR="00AB3E5A">
        <w:rPr>
          <w:bCs/>
        </w:rPr>
        <w:t xml:space="preserve"> </w:t>
      </w:r>
      <w:r w:rsidR="002B64AB">
        <w:rPr>
          <w:bCs/>
        </w:rPr>
        <w:t xml:space="preserve">con fecha 11 y 16/08/017, la Asesoría Jurídica de la Intendencia informó que, habiéndose </w:t>
      </w:r>
      <w:r w:rsidR="009E42BE">
        <w:rPr>
          <w:bCs/>
        </w:rPr>
        <w:t>configurado la negativa ficta</w:t>
      </w:r>
      <w:r w:rsidR="002B64AB">
        <w:rPr>
          <w:bCs/>
        </w:rPr>
        <w:t xml:space="preserve"> respecto del recurso interpuesto con fecha 28/12/01</w:t>
      </w:r>
      <w:r w:rsidR="00FA0976">
        <w:rPr>
          <w:bCs/>
        </w:rPr>
        <w:t>6</w:t>
      </w:r>
      <w:r w:rsidR="009E42BE">
        <w:rPr>
          <w:bCs/>
        </w:rPr>
        <w:t xml:space="preserve">, el reclamante no </w:t>
      </w:r>
      <w:r w:rsidR="002B64AB">
        <w:rPr>
          <w:bCs/>
        </w:rPr>
        <w:t>interpuso ninguna acción a</w:t>
      </w:r>
      <w:r w:rsidR="009E42BE">
        <w:rPr>
          <w:bCs/>
        </w:rPr>
        <w:t>nte el T.C.A.</w:t>
      </w:r>
      <w:r w:rsidR="008C5135">
        <w:rPr>
          <w:bCs/>
        </w:rPr>
        <w:t>;</w:t>
      </w:r>
    </w:p>
    <w:p w:rsidR="009C32BA" w:rsidRPr="009C32BA" w:rsidRDefault="009B061D" w:rsidP="008C5135">
      <w:pPr>
        <w:tabs>
          <w:tab w:val="left" w:pos="1985"/>
        </w:tabs>
        <w:spacing w:line="360" w:lineRule="auto"/>
        <w:ind w:firstLine="2694"/>
        <w:jc w:val="both"/>
        <w:rPr>
          <w:bCs/>
        </w:rPr>
      </w:pPr>
      <w:r w:rsidRPr="009B061D">
        <w:rPr>
          <w:b/>
          <w:bCs/>
        </w:rPr>
        <w:t>15)</w:t>
      </w:r>
      <w:r>
        <w:rPr>
          <w:bCs/>
        </w:rPr>
        <w:t xml:space="preserve"> que no consta que la Administración se haya expedido sobre el recurso interpuesto; </w:t>
      </w:r>
      <w:r w:rsidR="009C32BA" w:rsidRPr="009C32BA">
        <w:rPr>
          <w:bCs/>
        </w:rPr>
        <w:t xml:space="preserve"> </w:t>
      </w:r>
    </w:p>
    <w:p w:rsidR="009C013B" w:rsidRPr="009E42BE" w:rsidRDefault="009C013B" w:rsidP="008C5135">
      <w:pPr>
        <w:tabs>
          <w:tab w:val="left" w:pos="2127"/>
        </w:tabs>
        <w:spacing w:line="360" w:lineRule="auto"/>
        <w:ind w:firstLine="851"/>
        <w:jc w:val="both"/>
      </w:pPr>
      <w:r w:rsidRPr="002B64AB">
        <w:rPr>
          <w:b/>
          <w:bCs/>
        </w:rPr>
        <w:t xml:space="preserve">CONSIDERANDO: </w:t>
      </w:r>
      <w:r w:rsidRPr="002B64AB">
        <w:rPr>
          <w:b/>
        </w:rPr>
        <w:t>1)</w:t>
      </w:r>
      <w:r w:rsidRPr="002B64AB">
        <w:t xml:space="preserve"> </w:t>
      </w:r>
      <w:r w:rsidRPr="002B64AB">
        <w:rPr>
          <w:rFonts w:cs="Arial"/>
        </w:rPr>
        <w:t xml:space="preserve">que </w:t>
      </w:r>
      <w:r w:rsidR="00941258">
        <w:rPr>
          <w:rFonts w:cs="Arial"/>
        </w:rPr>
        <w:t xml:space="preserve">mediante </w:t>
      </w:r>
      <w:r w:rsidRPr="009E42BE">
        <w:rPr>
          <w:rFonts w:cs="Arial"/>
        </w:rPr>
        <w:t>Resolución de este Tribunal de fecha 11/05/</w:t>
      </w:r>
      <w:r w:rsidR="002B64AB">
        <w:rPr>
          <w:rFonts w:cs="Arial"/>
        </w:rPr>
        <w:t>0</w:t>
      </w:r>
      <w:r w:rsidRPr="009E42BE">
        <w:rPr>
          <w:rFonts w:cs="Arial"/>
        </w:rPr>
        <w:t>05, en la redacción dada por la Resolución de fecha 28/03/</w:t>
      </w:r>
      <w:r w:rsidR="002B64AB">
        <w:rPr>
          <w:rFonts w:cs="Arial"/>
        </w:rPr>
        <w:t>0</w:t>
      </w:r>
      <w:r w:rsidRPr="009E42BE">
        <w:rPr>
          <w:rFonts w:cs="Arial"/>
        </w:rPr>
        <w:t xml:space="preserve">07, </w:t>
      </w:r>
      <w:r w:rsidR="00941258">
        <w:rPr>
          <w:rFonts w:cs="Arial"/>
        </w:rPr>
        <w:t xml:space="preserve">se dispuso </w:t>
      </w:r>
      <w:r w:rsidRPr="009E42BE">
        <w:rPr>
          <w:rFonts w:cs="Arial"/>
        </w:rPr>
        <w:t xml:space="preserve">que los Organismos del Estado, previamente a aprobar, modificar o rescindir concesiones contractuales de obras o de servicios, deberán remitir los antecedentes a dictamen de este Tribunal;  </w:t>
      </w:r>
    </w:p>
    <w:p w:rsidR="00941258" w:rsidRDefault="009C013B" w:rsidP="008C5135">
      <w:pPr>
        <w:tabs>
          <w:tab w:val="left" w:pos="2127"/>
        </w:tabs>
        <w:spacing w:line="360" w:lineRule="auto"/>
        <w:ind w:firstLine="2977"/>
        <w:jc w:val="both"/>
        <w:rPr>
          <w:rFonts w:cs="Arial"/>
          <w:bCs/>
          <w:color w:val="000000"/>
          <w:szCs w:val="24"/>
        </w:rPr>
      </w:pPr>
      <w:r w:rsidRPr="007C6C7D">
        <w:rPr>
          <w:b/>
          <w:bCs/>
        </w:rPr>
        <w:t xml:space="preserve">2) </w:t>
      </w:r>
      <w:r w:rsidR="007C6C7D" w:rsidRPr="007C6C7D">
        <w:rPr>
          <w:rFonts w:cs="Arial"/>
          <w:bCs/>
          <w:color w:val="000000"/>
          <w:szCs w:val="24"/>
        </w:rPr>
        <w:t>que</w:t>
      </w:r>
      <w:r w:rsidR="00687345">
        <w:rPr>
          <w:rFonts w:cs="Arial"/>
          <w:bCs/>
          <w:color w:val="000000"/>
          <w:szCs w:val="24"/>
        </w:rPr>
        <w:t xml:space="preserve"> no obstante dictar</w:t>
      </w:r>
      <w:r w:rsidR="00E02012">
        <w:rPr>
          <w:rFonts w:cs="Arial"/>
          <w:bCs/>
          <w:color w:val="000000"/>
          <w:szCs w:val="24"/>
        </w:rPr>
        <w:t>se</w:t>
      </w:r>
      <w:r w:rsidR="00687345">
        <w:rPr>
          <w:rFonts w:cs="Arial"/>
          <w:bCs/>
          <w:color w:val="000000"/>
          <w:szCs w:val="24"/>
        </w:rPr>
        <w:t xml:space="preserve"> la Resolución de </w:t>
      </w:r>
      <w:r w:rsidR="00E76565">
        <w:rPr>
          <w:rFonts w:cs="Arial"/>
          <w:bCs/>
          <w:color w:val="000000"/>
          <w:szCs w:val="24"/>
        </w:rPr>
        <w:t>adjudicación</w:t>
      </w:r>
      <w:r w:rsidR="00E02012">
        <w:rPr>
          <w:rFonts w:cs="Arial"/>
          <w:bCs/>
          <w:color w:val="000000"/>
          <w:szCs w:val="24"/>
        </w:rPr>
        <w:t xml:space="preserve"> </w:t>
      </w:r>
      <w:r w:rsidR="00E02012">
        <w:rPr>
          <w:bCs/>
        </w:rPr>
        <w:t>Nº</w:t>
      </w:r>
      <w:r w:rsidR="00E02012" w:rsidRPr="009C32BA">
        <w:rPr>
          <w:bCs/>
        </w:rPr>
        <w:t xml:space="preserve"> 9200/2016</w:t>
      </w:r>
      <w:r w:rsidR="00E02012">
        <w:rPr>
          <w:bCs/>
        </w:rPr>
        <w:t>,</w:t>
      </w:r>
      <w:r w:rsidR="00E76565">
        <w:rPr>
          <w:rFonts w:cs="Arial"/>
          <w:bCs/>
          <w:color w:val="000000"/>
          <w:szCs w:val="24"/>
        </w:rPr>
        <w:t xml:space="preserve"> ad referendum de la intervención de este Tribunal, </w:t>
      </w:r>
      <w:r w:rsidR="00941258">
        <w:rPr>
          <w:rFonts w:cs="Arial"/>
          <w:bCs/>
          <w:color w:val="000000"/>
          <w:szCs w:val="24"/>
        </w:rPr>
        <w:t xml:space="preserve">la Administración contravino </w:t>
      </w:r>
      <w:r w:rsidR="00E02012">
        <w:rPr>
          <w:rFonts w:cs="Arial"/>
          <w:bCs/>
          <w:color w:val="000000"/>
          <w:szCs w:val="24"/>
        </w:rPr>
        <w:t>el procedimiento</w:t>
      </w:r>
      <w:r w:rsidR="00941258">
        <w:rPr>
          <w:rFonts w:cs="Arial"/>
          <w:bCs/>
          <w:color w:val="000000"/>
          <w:szCs w:val="24"/>
        </w:rPr>
        <w:t xml:space="preserve"> precitad</w:t>
      </w:r>
      <w:r w:rsidR="00E02012">
        <w:rPr>
          <w:rFonts w:cs="Arial"/>
          <w:bCs/>
          <w:color w:val="000000"/>
          <w:szCs w:val="24"/>
        </w:rPr>
        <w:t>o</w:t>
      </w:r>
      <w:r w:rsidR="00941258">
        <w:rPr>
          <w:rFonts w:cs="Arial"/>
          <w:bCs/>
          <w:color w:val="000000"/>
          <w:szCs w:val="24"/>
        </w:rPr>
        <w:t>, en tanto dispuso el levantamiento del efecto suspensivo del recurso interpuesto</w:t>
      </w:r>
      <w:r w:rsidR="00E02012">
        <w:rPr>
          <w:rFonts w:cs="Arial"/>
          <w:bCs/>
          <w:color w:val="000000"/>
          <w:szCs w:val="24"/>
        </w:rPr>
        <w:t xml:space="preserve">, </w:t>
      </w:r>
      <w:r w:rsidR="00D5672E">
        <w:rPr>
          <w:rFonts w:cs="Arial"/>
          <w:bCs/>
          <w:color w:val="000000"/>
          <w:szCs w:val="24"/>
        </w:rPr>
        <w:t>pros</w:t>
      </w:r>
      <w:r w:rsidR="00E02012">
        <w:rPr>
          <w:rFonts w:cs="Arial"/>
          <w:bCs/>
          <w:color w:val="000000"/>
          <w:szCs w:val="24"/>
        </w:rPr>
        <w:t>i</w:t>
      </w:r>
      <w:r w:rsidR="00D5672E">
        <w:rPr>
          <w:rFonts w:cs="Arial"/>
          <w:bCs/>
          <w:color w:val="000000"/>
          <w:szCs w:val="24"/>
        </w:rPr>
        <w:t>gui</w:t>
      </w:r>
      <w:r w:rsidR="00E02012">
        <w:rPr>
          <w:rFonts w:cs="Arial"/>
          <w:bCs/>
          <w:color w:val="000000"/>
          <w:szCs w:val="24"/>
        </w:rPr>
        <w:t>endo</w:t>
      </w:r>
      <w:r w:rsidR="00D5672E">
        <w:rPr>
          <w:rFonts w:cs="Arial"/>
          <w:bCs/>
          <w:color w:val="000000"/>
          <w:szCs w:val="24"/>
        </w:rPr>
        <w:t xml:space="preserve"> con la </w:t>
      </w:r>
      <w:r w:rsidR="00941258">
        <w:rPr>
          <w:rFonts w:cs="Arial"/>
          <w:bCs/>
          <w:color w:val="000000"/>
          <w:szCs w:val="24"/>
        </w:rPr>
        <w:t>ejecu</w:t>
      </w:r>
      <w:r w:rsidR="00D5672E">
        <w:rPr>
          <w:rFonts w:cs="Arial"/>
          <w:bCs/>
          <w:color w:val="000000"/>
          <w:szCs w:val="24"/>
        </w:rPr>
        <w:t>ción del acto administrativo dictado motivo del agravio</w:t>
      </w:r>
      <w:r w:rsidR="004A7BDF">
        <w:rPr>
          <w:rFonts w:cs="Arial"/>
          <w:bCs/>
          <w:color w:val="000000"/>
          <w:szCs w:val="24"/>
        </w:rPr>
        <w:t xml:space="preserve"> (Resultando 11)</w:t>
      </w:r>
      <w:r w:rsidR="00D91509">
        <w:rPr>
          <w:rFonts w:cs="Arial"/>
          <w:bCs/>
          <w:color w:val="000000"/>
          <w:szCs w:val="24"/>
        </w:rPr>
        <w:t>;</w:t>
      </w:r>
    </w:p>
    <w:p w:rsidR="009C013B" w:rsidRPr="0006426C" w:rsidRDefault="00941258" w:rsidP="00D91509">
      <w:pPr>
        <w:tabs>
          <w:tab w:val="left" w:pos="2127"/>
        </w:tabs>
        <w:spacing w:line="360" w:lineRule="auto"/>
        <w:ind w:firstLine="2977"/>
        <w:jc w:val="both"/>
        <w:rPr>
          <w:highlight w:val="yellow"/>
        </w:rPr>
      </w:pPr>
      <w:r w:rsidRPr="00941258">
        <w:rPr>
          <w:rFonts w:cs="Arial"/>
          <w:b/>
          <w:bCs/>
          <w:color w:val="000000"/>
          <w:szCs w:val="24"/>
        </w:rPr>
        <w:t>3)</w:t>
      </w:r>
      <w:r>
        <w:rPr>
          <w:rFonts w:cs="Arial"/>
          <w:bCs/>
          <w:color w:val="000000"/>
          <w:szCs w:val="24"/>
        </w:rPr>
        <w:t xml:space="preserve"> que </w:t>
      </w:r>
      <w:r w:rsidR="00273DDB" w:rsidRPr="009E42BE">
        <w:rPr>
          <w:rFonts w:cs="Arial"/>
          <w:bCs/>
          <w:color w:val="000000"/>
          <w:szCs w:val="24"/>
        </w:rPr>
        <w:t xml:space="preserve">si bien </w:t>
      </w:r>
      <w:r w:rsidR="007C6C7D">
        <w:rPr>
          <w:rFonts w:cs="Arial"/>
          <w:bCs/>
          <w:color w:val="000000"/>
          <w:szCs w:val="24"/>
        </w:rPr>
        <w:t xml:space="preserve">el Pliego de Condiciones Particulares </w:t>
      </w:r>
      <w:r w:rsidR="007C6C7D" w:rsidRPr="009E42BE">
        <w:rPr>
          <w:rFonts w:cs="Arial"/>
          <w:color w:val="000000"/>
          <w:szCs w:val="24"/>
        </w:rPr>
        <w:t>para la ponderación de las ofertas establece los factores que se tendrán en cuenta para evaluarlas, así como el máximo porcentaje a asignarles (Resultando 2), no estableci</w:t>
      </w:r>
      <w:r w:rsidR="007C6C7D">
        <w:rPr>
          <w:rFonts w:cs="Arial"/>
          <w:color w:val="000000"/>
          <w:szCs w:val="24"/>
        </w:rPr>
        <w:t>ó</w:t>
      </w:r>
      <w:r w:rsidR="007C6C7D" w:rsidRPr="009E42BE">
        <w:rPr>
          <w:rFonts w:cs="Arial"/>
          <w:color w:val="000000"/>
          <w:szCs w:val="24"/>
        </w:rPr>
        <w:t xml:space="preserve"> criterios objetivos para adjudicar puntajes en cada factor </w:t>
      </w:r>
      <w:r w:rsidR="007C6C7D" w:rsidRPr="009E42BE">
        <w:rPr>
          <w:rFonts w:cs="Arial"/>
          <w:szCs w:val="24"/>
        </w:rPr>
        <w:t xml:space="preserve">Artículo 48 </w:t>
      </w:r>
      <w:r w:rsidR="007C6C7D">
        <w:rPr>
          <w:rFonts w:cs="Arial"/>
          <w:szCs w:val="24"/>
        </w:rPr>
        <w:t>L</w:t>
      </w:r>
      <w:r w:rsidR="007C6C7D" w:rsidRPr="009E42BE">
        <w:rPr>
          <w:rFonts w:cs="Arial"/>
          <w:szCs w:val="24"/>
        </w:rPr>
        <w:t>it</w:t>
      </w:r>
      <w:r w:rsidR="00D91509">
        <w:rPr>
          <w:rFonts w:cs="Arial"/>
          <w:szCs w:val="24"/>
        </w:rPr>
        <w:t>eral</w:t>
      </w:r>
      <w:r w:rsidR="007C6C7D" w:rsidRPr="009E42BE">
        <w:rPr>
          <w:rFonts w:cs="Arial"/>
          <w:szCs w:val="24"/>
        </w:rPr>
        <w:t xml:space="preserve"> C) </w:t>
      </w:r>
      <w:r w:rsidR="00273DDB" w:rsidRPr="009E42BE">
        <w:rPr>
          <w:rFonts w:cs="Arial"/>
          <w:szCs w:val="24"/>
        </w:rPr>
        <w:t>del T.O.C.A.F</w:t>
      </w:r>
      <w:r w:rsidR="007C6C7D" w:rsidRPr="009E42BE">
        <w:rPr>
          <w:rFonts w:cs="Arial"/>
          <w:szCs w:val="24"/>
        </w:rPr>
        <w:t>.</w:t>
      </w:r>
      <w:r w:rsidR="007C6C7D" w:rsidRPr="009E42BE">
        <w:rPr>
          <w:rFonts w:cs="Arial"/>
          <w:color w:val="000000"/>
          <w:szCs w:val="24"/>
        </w:rPr>
        <w:t xml:space="preserve">;                                    </w:t>
      </w:r>
    </w:p>
    <w:p w:rsidR="003D7FF2" w:rsidRPr="007C6C7D" w:rsidRDefault="00941258" w:rsidP="00D91509">
      <w:pPr>
        <w:tabs>
          <w:tab w:val="left" w:pos="2127"/>
        </w:tabs>
        <w:spacing w:line="360" w:lineRule="auto"/>
        <w:ind w:firstLine="2977"/>
        <w:jc w:val="both"/>
      </w:pPr>
      <w:r w:rsidRPr="00941258">
        <w:rPr>
          <w:b/>
        </w:rPr>
        <w:t>4</w:t>
      </w:r>
      <w:r w:rsidR="00CA7CD9" w:rsidRPr="007C6C7D">
        <w:rPr>
          <w:b/>
        </w:rPr>
        <w:t>)</w:t>
      </w:r>
      <w:r w:rsidR="00CA7CD9" w:rsidRPr="007C6C7D">
        <w:t xml:space="preserve"> que </w:t>
      </w:r>
      <w:r w:rsidR="00273DDB">
        <w:t xml:space="preserve">asimismo </w:t>
      </w:r>
      <w:r w:rsidR="009E42BE" w:rsidRPr="007C6C7D">
        <w:t xml:space="preserve">la </w:t>
      </w:r>
      <w:r w:rsidR="004A7BDF">
        <w:t xml:space="preserve">evaluación </w:t>
      </w:r>
      <w:r w:rsidR="009E42BE" w:rsidRPr="007C6C7D">
        <w:t xml:space="preserve">de los </w:t>
      </w:r>
      <w:r w:rsidR="00273DDB">
        <w:t>A</w:t>
      </w:r>
      <w:r w:rsidR="009E42BE" w:rsidRPr="007C6C7D">
        <w:t>ntecedentes de l</w:t>
      </w:r>
      <w:r w:rsidR="00273DDB">
        <w:t>os</w:t>
      </w:r>
      <w:r w:rsidR="009E42BE" w:rsidRPr="007C6C7D">
        <w:t xml:space="preserve"> </w:t>
      </w:r>
      <w:r w:rsidR="00273DDB">
        <w:t>oferentes</w:t>
      </w:r>
      <w:r w:rsidR="009E42BE" w:rsidRPr="007C6C7D">
        <w:t xml:space="preserve"> no </w:t>
      </w:r>
      <w:r w:rsidR="007C6C7D" w:rsidRPr="007C6C7D">
        <w:t xml:space="preserve">se realizó en ajuste a las previsiones del pliego, en virtud de que se toman </w:t>
      </w:r>
      <w:r w:rsidR="009B061D">
        <w:t xml:space="preserve">para calificar los Antecedentes </w:t>
      </w:r>
      <w:r w:rsidR="007C6C7D" w:rsidRPr="007C6C7D">
        <w:t xml:space="preserve">emprendimientos </w:t>
      </w:r>
      <w:r w:rsidR="009B061D">
        <w:t xml:space="preserve">de otras firmas que no corresponden a </w:t>
      </w:r>
      <w:r w:rsidR="00656DF2">
        <w:t xml:space="preserve">la titular </w:t>
      </w:r>
      <w:r w:rsidR="009B061D">
        <w:t xml:space="preserve">de la oferta </w:t>
      </w:r>
      <w:r w:rsidR="00656DF2">
        <w:t xml:space="preserve">adjudicataria </w:t>
      </w:r>
      <w:r w:rsidR="00273DDB" w:rsidRPr="009E42BE">
        <w:rPr>
          <w:rFonts w:cs="Arial"/>
          <w:szCs w:val="24"/>
        </w:rPr>
        <w:t xml:space="preserve">Artículo </w:t>
      </w:r>
      <w:r w:rsidR="00273DDB">
        <w:rPr>
          <w:rFonts w:cs="Arial"/>
          <w:szCs w:val="24"/>
        </w:rPr>
        <w:t>65</w:t>
      </w:r>
      <w:r w:rsidR="00273DDB" w:rsidRPr="009E42BE">
        <w:rPr>
          <w:rFonts w:cs="Arial"/>
          <w:szCs w:val="24"/>
        </w:rPr>
        <w:t xml:space="preserve"> del T.O.C.A.F</w:t>
      </w:r>
      <w:r w:rsidR="00273DDB">
        <w:t xml:space="preserve"> </w:t>
      </w:r>
      <w:r w:rsidR="00656DF2">
        <w:t>(Resultando</w:t>
      </w:r>
      <w:r w:rsidR="00273DDB">
        <w:t>s</w:t>
      </w:r>
      <w:r w:rsidR="00656DF2">
        <w:t xml:space="preserve"> </w:t>
      </w:r>
      <w:r w:rsidR="00273DDB">
        <w:t>7</w:t>
      </w:r>
      <w:r w:rsidR="00362B4F">
        <w:t>,</w:t>
      </w:r>
      <w:r w:rsidR="00273DDB">
        <w:t xml:space="preserve"> 8</w:t>
      </w:r>
      <w:r w:rsidR="00362B4F">
        <w:t xml:space="preserve"> y 13</w:t>
      </w:r>
      <w:r w:rsidR="00656DF2">
        <w:t>)</w:t>
      </w:r>
      <w:r w:rsidR="00D91509">
        <w:t>;</w:t>
      </w:r>
    </w:p>
    <w:p w:rsidR="009C013B" w:rsidRPr="0006426C" w:rsidRDefault="00E36422" w:rsidP="00D91509">
      <w:pPr>
        <w:spacing w:line="360" w:lineRule="auto"/>
        <w:ind w:firstLine="2977"/>
        <w:jc w:val="both"/>
        <w:rPr>
          <w:highlight w:val="yellow"/>
        </w:rPr>
      </w:pPr>
      <w:r>
        <w:rPr>
          <w:rFonts w:cs="Arial"/>
          <w:b/>
          <w:color w:val="000000"/>
          <w:szCs w:val="24"/>
        </w:rPr>
        <w:t>5</w:t>
      </w:r>
      <w:r w:rsidR="00931C66" w:rsidRPr="009E42BE">
        <w:rPr>
          <w:rFonts w:cs="Arial"/>
          <w:b/>
          <w:color w:val="000000"/>
          <w:szCs w:val="24"/>
        </w:rPr>
        <w:t>)</w:t>
      </w:r>
      <w:r w:rsidR="00931C66" w:rsidRPr="009E42BE">
        <w:rPr>
          <w:rFonts w:cs="Arial"/>
          <w:color w:val="000000"/>
          <w:szCs w:val="24"/>
        </w:rPr>
        <w:t xml:space="preserve"> </w:t>
      </w:r>
      <w:r w:rsidR="00931C66" w:rsidRPr="009E42BE">
        <w:t xml:space="preserve">que siempre que se otorgue el uso de bienes del dominio público o privado del Estado o Gobiernos Departamentales, deberá darse cumplimiento a lo establecido en el Artículo 54 de la Ley Nº 18.651 de 19/02/2010; </w:t>
      </w:r>
      <w:r w:rsidR="009C013B" w:rsidRPr="0006426C">
        <w:rPr>
          <w:rFonts w:cs="Arial"/>
          <w:color w:val="000000"/>
          <w:szCs w:val="24"/>
          <w:highlight w:val="yellow"/>
        </w:rPr>
        <w:t xml:space="preserve">                               </w:t>
      </w:r>
    </w:p>
    <w:p w:rsidR="009C013B" w:rsidRPr="009E42BE" w:rsidRDefault="009C013B" w:rsidP="00D91509">
      <w:pPr>
        <w:spacing w:line="360" w:lineRule="auto"/>
        <w:ind w:firstLine="851"/>
        <w:jc w:val="both"/>
        <w:rPr>
          <w:rFonts w:cs="Arial"/>
          <w:bCs/>
          <w:lang w:val="es-MX"/>
        </w:rPr>
      </w:pPr>
      <w:r w:rsidRPr="009E42BE">
        <w:rPr>
          <w:rFonts w:cs="Arial"/>
          <w:b/>
          <w:lang w:val="es-MX"/>
        </w:rPr>
        <w:t>ATENTO:</w:t>
      </w:r>
      <w:r w:rsidRPr="009E42BE">
        <w:rPr>
          <w:rFonts w:cs="Arial"/>
          <w:bCs/>
          <w:lang w:val="es-MX"/>
        </w:rPr>
        <w:t xml:space="preserve"> a lo precedentemente expuesto y a lo dispuesto en el </w:t>
      </w:r>
      <w:r w:rsidR="00D91509">
        <w:rPr>
          <w:rFonts w:cs="Arial"/>
          <w:bCs/>
          <w:lang w:val="es-MX"/>
        </w:rPr>
        <w:t xml:space="preserve">                 L</w:t>
      </w:r>
      <w:r w:rsidRPr="009E42BE">
        <w:rPr>
          <w:rFonts w:cs="Arial"/>
          <w:bCs/>
          <w:lang w:val="es-MX"/>
        </w:rPr>
        <w:t xml:space="preserve">iteral E) del Artículo 211 de la Constitución de la República; </w:t>
      </w:r>
    </w:p>
    <w:p w:rsidR="009C013B" w:rsidRPr="009E42BE" w:rsidRDefault="009C013B">
      <w:pPr>
        <w:pStyle w:val="Ttulo1"/>
        <w:jc w:val="center"/>
        <w:rPr>
          <w:bCs/>
          <w:i/>
        </w:rPr>
      </w:pPr>
      <w:r w:rsidRPr="009E42BE">
        <w:rPr>
          <w:bCs/>
        </w:rPr>
        <w:t>EL TRIBUNAL ACUERDA</w:t>
      </w:r>
    </w:p>
    <w:p w:rsidR="009C013B" w:rsidRPr="00AE2608" w:rsidRDefault="00D91509" w:rsidP="00D91509">
      <w:pPr>
        <w:spacing w:line="360" w:lineRule="auto"/>
        <w:jc w:val="both"/>
        <w:rPr>
          <w:b/>
          <w:bCs/>
          <w:lang w:val="es-MX"/>
        </w:rPr>
      </w:pPr>
      <w:r w:rsidRPr="00D91509">
        <w:rPr>
          <w:rFonts w:cs="Arial"/>
          <w:b/>
          <w:bCs/>
          <w:lang w:val="es-MX"/>
        </w:rPr>
        <w:t>1)</w:t>
      </w:r>
      <w:r>
        <w:rPr>
          <w:rFonts w:cs="Arial"/>
          <w:bCs/>
          <w:lang w:val="es-MX"/>
        </w:rPr>
        <w:t xml:space="preserve"> </w:t>
      </w:r>
      <w:r w:rsidR="009C013B" w:rsidRPr="00AE2608">
        <w:rPr>
          <w:rFonts w:cs="Arial"/>
          <w:bCs/>
          <w:lang w:val="es-MX"/>
        </w:rPr>
        <w:t>Observar el procedimiento;</w:t>
      </w:r>
    </w:p>
    <w:p w:rsidR="006C3769" w:rsidRPr="00AE2608" w:rsidRDefault="00D91509" w:rsidP="00D91509">
      <w:pPr>
        <w:spacing w:line="360" w:lineRule="auto"/>
        <w:jc w:val="both"/>
        <w:rPr>
          <w:b/>
          <w:bCs/>
          <w:lang w:val="es-MX"/>
        </w:rPr>
      </w:pPr>
      <w:r w:rsidRPr="00D91509">
        <w:rPr>
          <w:rFonts w:cs="Arial"/>
          <w:b/>
          <w:bCs/>
          <w:lang w:val="es-MX"/>
        </w:rPr>
        <w:t>2)</w:t>
      </w:r>
      <w:r>
        <w:rPr>
          <w:rFonts w:cs="Arial"/>
          <w:bCs/>
          <w:lang w:val="es-MX"/>
        </w:rPr>
        <w:t xml:space="preserve"> </w:t>
      </w:r>
      <w:r w:rsidR="006C3769" w:rsidRPr="00AE2608">
        <w:rPr>
          <w:rFonts w:cs="Arial"/>
          <w:bCs/>
          <w:lang w:val="es-MX"/>
        </w:rPr>
        <w:t>Señalar a la Adminis</w:t>
      </w:r>
      <w:bookmarkStart w:id="0" w:name="_GoBack"/>
      <w:bookmarkEnd w:id="0"/>
      <w:r w:rsidR="006C3769" w:rsidRPr="00AE2608">
        <w:rPr>
          <w:rFonts w:cs="Arial"/>
          <w:bCs/>
          <w:lang w:val="es-MX"/>
        </w:rPr>
        <w:t>tración actuante l</w:t>
      </w:r>
      <w:r w:rsidR="00647DA4" w:rsidRPr="00AE2608">
        <w:rPr>
          <w:rFonts w:cs="Arial"/>
          <w:bCs/>
          <w:lang w:val="es-MX"/>
        </w:rPr>
        <w:t xml:space="preserve">o expresado en el Considerando </w:t>
      </w:r>
      <w:r w:rsidR="00E36422" w:rsidRPr="00AE2608">
        <w:rPr>
          <w:rFonts w:cs="Arial"/>
          <w:bCs/>
          <w:lang w:val="es-MX"/>
        </w:rPr>
        <w:t>5</w:t>
      </w:r>
      <w:r w:rsidR="006C3769" w:rsidRPr="00AE2608">
        <w:rPr>
          <w:rFonts w:cs="Arial"/>
          <w:bCs/>
          <w:lang w:val="es-MX"/>
        </w:rPr>
        <w:t>);</w:t>
      </w:r>
    </w:p>
    <w:p w:rsidR="009C013B" w:rsidRPr="00AE2608" w:rsidRDefault="00D91509" w:rsidP="00D91509">
      <w:pPr>
        <w:spacing w:line="360" w:lineRule="auto"/>
        <w:jc w:val="both"/>
        <w:rPr>
          <w:rFonts w:cs="Arial"/>
          <w:bCs/>
        </w:rPr>
      </w:pPr>
      <w:r w:rsidRPr="00D91509">
        <w:rPr>
          <w:b/>
        </w:rPr>
        <w:t>3)</w:t>
      </w:r>
      <w:r>
        <w:t xml:space="preserve"> </w:t>
      </w:r>
      <w:r w:rsidR="00A32923">
        <w:t xml:space="preserve">Comunicar </w:t>
      </w:r>
      <w:r w:rsidR="009C013B" w:rsidRPr="00AE2608">
        <w:t xml:space="preserve">a la Junta Departamental de Maldonado; </w:t>
      </w:r>
      <w:r w:rsidR="006C3769" w:rsidRPr="00AE2608">
        <w:t>y</w:t>
      </w:r>
    </w:p>
    <w:p w:rsidR="009C013B" w:rsidRPr="00AE2608" w:rsidRDefault="00D91509" w:rsidP="00D91509">
      <w:pPr>
        <w:spacing w:line="360" w:lineRule="auto"/>
        <w:jc w:val="both"/>
        <w:rPr>
          <w:b/>
          <w:bCs/>
          <w:lang w:val="es-MX"/>
        </w:rPr>
      </w:pPr>
      <w:r w:rsidRPr="00D91509">
        <w:rPr>
          <w:rFonts w:cs="Arial"/>
          <w:b/>
          <w:bCs/>
        </w:rPr>
        <w:t>4)</w:t>
      </w:r>
      <w:r>
        <w:rPr>
          <w:rFonts w:cs="Arial"/>
          <w:bCs/>
        </w:rPr>
        <w:t xml:space="preserve"> </w:t>
      </w:r>
      <w:r w:rsidR="009C013B" w:rsidRPr="00AE2608">
        <w:rPr>
          <w:rFonts w:cs="Arial"/>
          <w:bCs/>
        </w:rPr>
        <w:t>Devolver las actuaciones.</w:t>
      </w:r>
    </w:p>
    <w:p w:rsidR="009C013B" w:rsidRPr="00AE2608" w:rsidRDefault="009C013B">
      <w:pPr>
        <w:spacing w:line="360" w:lineRule="auto"/>
        <w:ind w:left="360"/>
        <w:jc w:val="both"/>
        <w:rPr>
          <w:rFonts w:cs="Arial"/>
          <w:bCs/>
        </w:rPr>
      </w:pPr>
    </w:p>
    <w:p w:rsidR="009C013B" w:rsidRPr="00AE2608" w:rsidRDefault="009C013B">
      <w:pPr>
        <w:spacing w:line="360" w:lineRule="auto"/>
        <w:jc w:val="both"/>
        <w:rPr>
          <w:rFonts w:cs="Arial"/>
          <w:bCs/>
          <w:lang w:val="es-MX"/>
        </w:rPr>
      </w:pPr>
    </w:p>
    <w:p w:rsidR="009D6BBF" w:rsidRPr="00A32923" w:rsidRDefault="00A32923" w:rsidP="009D6BBF">
      <w:pPr>
        <w:spacing w:line="360" w:lineRule="auto"/>
        <w:jc w:val="both"/>
        <w:rPr>
          <w:rFonts w:cs="Arial"/>
          <w:bCs/>
          <w:szCs w:val="24"/>
          <w:lang w:val="es-MX"/>
        </w:rPr>
      </w:pPr>
      <w:proofErr w:type="spellStart"/>
      <w:proofErr w:type="gramStart"/>
      <w:r>
        <w:rPr>
          <w:rFonts w:cs="Arial"/>
          <w:bCs/>
          <w:szCs w:val="24"/>
          <w:lang w:val="es-MX"/>
        </w:rPr>
        <w:t>ag</w:t>
      </w:r>
      <w:proofErr w:type="spellEnd"/>
      <w:proofErr w:type="gramEnd"/>
    </w:p>
    <w:sectPr w:rsidR="009D6BBF" w:rsidRPr="00A32923" w:rsidSect="00F06BCA">
      <w:headerReference w:type="default" r:id="rId9"/>
      <w:footerReference w:type="even" r:id="rId10"/>
      <w:footerReference w:type="default" r:id="rId11"/>
      <w:pgSz w:w="11907" w:h="16840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1D" w:rsidRDefault="009B061D">
      <w:r>
        <w:separator/>
      </w:r>
    </w:p>
  </w:endnote>
  <w:endnote w:type="continuationSeparator" w:id="0">
    <w:p w:rsidR="009B061D" w:rsidRDefault="009B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1D" w:rsidRDefault="009B06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t xml:space="preserve">PAGE  </w:t>
    </w:r>
  </w:p>
  <w:p w:rsidR="009B061D" w:rsidRDefault="009B061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1D" w:rsidRDefault="009B061D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06BCA">
      <w:rPr>
        <w:noProof/>
      </w:rPr>
      <w:t>5</w:t>
    </w:r>
    <w:r>
      <w:fldChar w:fldCharType="end"/>
    </w:r>
  </w:p>
  <w:p w:rsidR="009B061D" w:rsidRDefault="009B06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1D" w:rsidRDefault="009B061D">
      <w:r>
        <w:separator/>
      </w:r>
    </w:p>
  </w:footnote>
  <w:footnote w:type="continuationSeparator" w:id="0">
    <w:p w:rsidR="009B061D" w:rsidRDefault="009B0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1D" w:rsidRDefault="009B061D" w:rsidP="00562967">
    <w:pPr>
      <w:pStyle w:val="Encabezado"/>
      <w:tabs>
        <w:tab w:val="clear" w:pos="4252"/>
        <w:tab w:val="clear" w:pos="8504"/>
        <w:tab w:val="left" w:pos="189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64A48490"/>
    <w:lvl w:ilvl="0" w:tplc="0CB6FC3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1FD7747"/>
    <w:multiLevelType w:val="hybridMultilevel"/>
    <w:tmpl w:val="2584B494"/>
    <w:lvl w:ilvl="0" w:tplc="E21E394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523BB4"/>
    <w:multiLevelType w:val="hybridMultilevel"/>
    <w:tmpl w:val="CB3898F0"/>
    <w:lvl w:ilvl="0" w:tplc="89749F54">
      <w:start w:val="1"/>
      <w:numFmt w:val="decimal"/>
      <w:lvlText w:val="%1)"/>
      <w:lvlJc w:val="left"/>
      <w:pPr>
        <w:ind w:left="63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073" w:hanging="180"/>
      </w:pPr>
    </w:lvl>
    <w:lvl w:ilvl="3" w:tplc="0C0A000F" w:tentative="1">
      <w:start w:val="1"/>
      <w:numFmt w:val="decimal"/>
      <w:lvlText w:val="%4."/>
      <w:lvlJc w:val="left"/>
      <w:pPr>
        <w:ind w:left="2793" w:hanging="360"/>
      </w:pPr>
    </w:lvl>
    <w:lvl w:ilvl="4" w:tplc="0C0A0019" w:tentative="1">
      <w:start w:val="1"/>
      <w:numFmt w:val="lowerLetter"/>
      <w:lvlText w:val="%5."/>
      <w:lvlJc w:val="left"/>
      <w:pPr>
        <w:ind w:left="3513" w:hanging="360"/>
      </w:pPr>
    </w:lvl>
    <w:lvl w:ilvl="5" w:tplc="0C0A001B" w:tentative="1">
      <w:start w:val="1"/>
      <w:numFmt w:val="lowerRoman"/>
      <w:lvlText w:val="%6."/>
      <w:lvlJc w:val="right"/>
      <w:pPr>
        <w:ind w:left="4233" w:hanging="180"/>
      </w:pPr>
    </w:lvl>
    <w:lvl w:ilvl="6" w:tplc="0C0A000F" w:tentative="1">
      <w:start w:val="1"/>
      <w:numFmt w:val="decimal"/>
      <w:lvlText w:val="%7."/>
      <w:lvlJc w:val="left"/>
      <w:pPr>
        <w:ind w:left="4953" w:hanging="360"/>
      </w:pPr>
    </w:lvl>
    <w:lvl w:ilvl="7" w:tplc="0C0A0019" w:tentative="1">
      <w:start w:val="1"/>
      <w:numFmt w:val="lowerLetter"/>
      <w:lvlText w:val="%8."/>
      <w:lvlJc w:val="left"/>
      <w:pPr>
        <w:ind w:left="5673" w:hanging="360"/>
      </w:pPr>
    </w:lvl>
    <w:lvl w:ilvl="8" w:tplc="0C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>
    <w:nsid w:val="473D3217"/>
    <w:multiLevelType w:val="hybridMultilevel"/>
    <w:tmpl w:val="73B439F2"/>
    <w:lvl w:ilvl="0" w:tplc="73BC7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53D74"/>
    <w:multiLevelType w:val="hybridMultilevel"/>
    <w:tmpl w:val="81FAD2D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0406ACE"/>
    <w:multiLevelType w:val="hybridMultilevel"/>
    <w:tmpl w:val="E438BC2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0AA4173"/>
    <w:multiLevelType w:val="hybridMultilevel"/>
    <w:tmpl w:val="E9BC7628"/>
    <w:lvl w:ilvl="0" w:tplc="1D6ACC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A825C2"/>
    <w:multiLevelType w:val="hybridMultilevel"/>
    <w:tmpl w:val="DD3C0B2A"/>
    <w:lvl w:ilvl="0" w:tplc="8500E37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3B"/>
    <w:rsid w:val="00010B2D"/>
    <w:rsid w:val="00011AD7"/>
    <w:rsid w:val="0003497C"/>
    <w:rsid w:val="0006426C"/>
    <w:rsid w:val="00073C66"/>
    <w:rsid w:val="000909B2"/>
    <w:rsid w:val="00096C14"/>
    <w:rsid w:val="000A7135"/>
    <w:rsid w:val="000C46DE"/>
    <w:rsid w:val="000D3E58"/>
    <w:rsid w:val="000E39A7"/>
    <w:rsid w:val="001001A2"/>
    <w:rsid w:val="0010080B"/>
    <w:rsid w:val="00110DDE"/>
    <w:rsid w:val="0011516F"/>
    <w:rsid w:val="001159B1"/>
    <w:rsid w:val="00130DB9"/>
    <w:rsid w:val="0013614B"/>
    <w:rsid w:val="00140B71"/>
    <w:rsid w:val="00146D24"/>
    <w:rsid w:val="00156162"/>
    <w:rsid w:val="001578BF"/>
    <w:rsid w:val="00170761"/>
    <w:rsid w:val="00171519"/>
    <w:rsid w:val="00174D5C"/>
    <w:rsid w:val="001951C8"/>
    <w:rsid w:val="001A73E6"/>
    <w:rsid w:val="001B0362"/>
    <w:rsid w:val="001C65C7"/>
    <w:rsid w:val="001C7264"/>
    <w:rsid w:val="001C7E8D"/>
    <w:rsid w:val="001E1172"/>
    <w:rsid w:val="001F1C25"/>
    <w:rsid w:val="00230E1D"/>
    <w:rsid w:val="00253314"/>
    <w:rsid w:val="00256CC6"/>
    <w:rsid w:val="002624AC"/>
    <w:rsid w:val="00273DDB"/>
    <w:rsid w:val="00274F7D"/>
    <w:rsid w:val="00294C00"/>
    <w:rsid w:val="002A3158"/>
    <w:rsid w:val="002B64AB"/>
    <w:rsid w:val="002C47AB"/>
    <w:rsid w:val="002D74A2"/>
    <w:rsid w:val="002E105E"/>
    <w:rsid w:val="003008CA"/>
    <w:rsid w:val="00302A21"/>
    <w:rsid w:val="00302F41"/>
    <w:rsid w:val="00313237"/>
    <w:rsid w:val="00316BA1"/>
    <w:rsid w:val="00325B7C"/>
    <w:rsid w:val="00326C2C"/>
    <w:rsid w:val="003436C6"/>
    <w:rsid w:val="0035302A"/>
    <w:rsid w:val="00362B4F"/>
    <w:rsid w:val="003851DE"/>
    <w:rsid w:val="00387662"/>
    <w:rsid w:val="00396A79"/>
    <w:rsid w:val="003A169B"/>
    <w:rsid w:val="003B038A"/>
    <w:rsid w:val="003D7FF2"/>
    <w:rsid w:val="0040090F"/>
    <w:rsid w:val="00402770"/>
    <w:rsid w:val="00426FF3"/>
    <w:rsid w:val="004333E7"/>
    <w:rsid w:val="0044319E"/>
    <w:rsid w:val="004611CA"/>
    <w:rsid w:val="00482C3F"/>
    <w:rsid w:val="00494F0D"/>
    <w:rsid w:val="004A7BDF"/>
    <w:rsid w:val="004D0055"/>
    <w:rsid w:val="004F7F15"/>
    <w:rsid w:val="0050453E"/>
    <w:rsid w:val="00506BB1"/>
    <w:rsid w:val="005170C0"/>
    <w:rsid w:val="00523727"/>
    <w:rsid w:val="005250F8"/>
    <w:rsid w:val="005263EE"/>
    <w:rsid w:val="005332F7"/>
    <w:rsid w:val="005404AB"/>
    <w:rsid w:val="005553A1"/>
    <w:rsid w:val="00562967"/>
    <w:rsid w:val="00564018"/>
    <w:rsid w:val="005717D6"/>
    <w:rsid w:val="005804F1"/>
    <w:rsid w:val="00580B3F"/>
    <w:rsid w:val="00582D05"/>
    <w:rsid w:val="005A02CF"/>
    <w:rsid w:val="005B2D48"/>
    <w:rsid w:val="005B3335"/>
    <w:rsid w:val="005B4F03"/>
    <w:rsid w:val="005C646E"/>
    <w:rsid w:val="005E09AC"/>
    <w:rsid w:val="005E5398"/>
    <w:rsid w:val="005E54DB"/>
    <w:rsid w:val="005F1366"/>
    <w:rsid w:val="00601CF1"/>
    <w:rsid w:val="00615C7C"/>
    <w:rsid w:val="006167F1"/>
    <w:rsid w:val="00647A7D"/>
    <w:rsid w:val="00647DA4"/>
    <w:rsid w:val="00650E39"/>
    <w:rsid w:val="0065482E"/>
    <w:rsid w:val="00655FD0"/>
    <w:rsid w:val="00656DF2"/>
    <w:rsid w:val="00657B32"/>
    <w:rsid w:val="006667BD"/>
    <w:rsid w:val="00676741"/>
    <w:rsid w:val="00687345"/>
    <w:rsid w:val="006A6FA0"/>
    <w:rsid w:val="006B193F"/>
    <w:rsid w:val="006B2403"/>
    <w:rsid w:val="006C3769"/>
    <w:rsid w:val="006C6113"/>
    <w:rsid w:val="006C656B"/>
    <w:rsid w:val="006E22EE"/>
    <w:rsid w:val="006E283A"/>
    <w:rsid w:val="006F65C2"/>
    <w:rsid w:val="007012DC"/>
    <w:rsid w:val="00725180"/>
    <w:rsid w:val="00733020"/>
    <w:rsid w:val="007506DA"/>
    <w:rsid w:val="00750FF3"/>
    <w:rsid w:val="007558BF"/>
    <w:rsid w:val="007706A8"/>
    <w:rsid w:val="00771434"/>
    <w:rsid w:val="007737E5"/>
    <w:rsid w:val="007A404D"/>
    <w:rsid w:val="007B4384"/>
    <w:rsid w:val="007B6E86"/>
    <w:rsid w:val="007C6C7D"/>
    <w:rsid w:val="007F61FC"/>
    <w:rsid w:val="008224BA"/>
    <w:rsid w:val="00827B89"/>
    <w:rsid w:val="00833DF6"/>
    <w:rsid w:val="00844D0A"/>
    <w:rsid w:val="008555BD"/>
    <w:rsid w:val="00882E4F"/>
    <w:rsid w:val="00884D92"/>
    <w:rsid w:val="008918BD"/>
    <w:rsid w:val="008A2A44"/>
    <w:rsid w:val="008C1103"/>
    <w:rsid w:val="008C1987"/>
    <w:rsid w:val="008C5135"/>
    <w:rsid w:val="008E7CEF"/>
    <w:rsid w:val="00931C66"/>
    <w:rsid w:val="00932B3E"/>
    <w:rsid w:val="009346D1"/>
    <w:rsid w:val="0093496F"/>
    <w:rsid w:val="00941258"/>
    <w:rsid w:val="009543CB"/>
    <w:rsid w:val="009667DC"/>
    <w:rsid w:val="00967071"/>
    <w:rsid w:val="00972565"/>
    <w:rsid w:val="00977966"/>
    <w:rsid w:val="009844D9"/>
    <w:rsid w:val="0098712D"/>
    <w:rsid w:val="00996870"/>
    <w:rsid w:val="009B061D"/>
    <w:rsid w:val="009C013B"/>
    <w:rsid w:val="009C1798"/>
    <w:rsid w:val="009C32BA"/>
    <w:rsid w:val="009C3A03"/>
    <w:rsid w:val="009D2AAD"/>
    <w:rsid w:val="009D378B"/>
    <w:rsid w:val="009D6BBF"/>
    <w:rsid w:val="009E1D73"/>
    <w:rsid w:val="009E218C"/>
    <w:rsid w:val="009E42BE"/>
    <w:rsid w:val="009F3739"/>
    <w:rsid w:val="00A11441"/>
    <w:rsid w:val="00A31859"/>
    <w:rsid w:val="00A32923"/>
    <w:rsid w:val="00A44408"/>
    <w:rsid w:val="00A54812"/>
    <w:rsid w:val="00A6306A"/>
    <w:rsid w:val="00A766FB"/>
    <w:rsid w:val="00A87175"/>
    <w:rsid w:val="00A87DD1"/>
    <w:rsid w:val="00AA1DC3"/>
    <w:rsid w:val="00AA70BD"/>
    <w:rsid w:val="00AB3E5A"/>
    <w:rsid w:val="00AB619B"/>
    <w:rsid w:val="00AB6849"/>
    <w:rsid w:val="00AC4C36"/>
    <w:rsid w:val="00AE2608"/>
    <w:rsid w:val="00AE3804"/>
    <w:rsid w:val="00AF21B4"/>
    <w:rsid w:val="00B04056"/>
    <w:rsid w:val="00B1040A"/>
    <w:rsid w:val="00B46208"/>
    <w:rsid w:val="00B804B3"/>
    <w:rsid w:val="00B87870"/>
    <w:rsid w:val="00BA6739"/>
    <w:rsid w:val="00BA7C28"/>
    <w:rsid w:val="00BB0BCE"/>
    <w:rsid w:val="00BB56CD"/>
    <w:rsid w:val="00BF7103"/>
    <w:rsid w:val="00BF783E"/>
    <w:rsid w:val="00C1509A"/>
    <w:rsid w:val="00C150F0"/>
    <w:rsid w:val="00C15798"/>
    <w:rsid w:val="00C353F8"/>
    <w:rsid w:val="00C53601"/>
    <w:rsid w:val="00C77681"/>
    <w:rsid w:val="00C81F50"/>
    <w:rsid w:val="00C91227"/>
    <w:rsid w:val="00CA113C"/>
    <w:rsid w:val="00CA132D"/>
    <w:rsid w:val="00CA26D1"/>
    <w:rsid w:val="00CA38EE"/>
    <w:rsid w:val="00CA679A"/>
    <w:rsid w:val="00CA7CD9"/>
    <w:rsid w:val="00CB3A1D"/>
    <w:rsid w:val="00CC0869"/>
    <w:rsid w:val="00CC32BE"/>
    <w:rsid w:val="00CC5586"/>
    <w:rsid w:val="00CE0171"/>
    <w:rsid w:val="00CE50D7"/>
    <w:rsid w:val="00D001F4"/>
    <w:rsid w:val="00D07539"/>
    <w:rsid w:val="00D1427A"/>
    <w:rsid w:val="00D17607"/>
    <w:rsid w:val="00D27188"/>
    <w:rsid w:val="00D327AF"/>
    <w:rsid w:val="00D44CB8"/>
    <w:rsid w:val="00D55DEB"/>
    <w:rsid w:val="00D5672E"/>
    <w:rsid w:val="00D74337"/>
    <w:rsid w:val="00D7498A"/>
    <w:rsid w:val="00D91509"/>
    <w:rsid w:val="00D9365A"/>
    <w:rsid w:val="00DA772D"/>
    <w:rsid w:val="00DA7FE5"/>
    <w:rsid w:val="00DB1554"/>
    <w:rsid w:val="00DF3C10"/>
    <w:rsid w:val="00DF7C85"/>
    <w:rsid w:val="00E02012"/>
    <w:rsid w:val="00E1134A"/>
    <w:rsid w:val="00E126F7"/>
    <w:rsid w:val="00E14C4D"/>
    <w:rsid w:val="00E22559"/>
    <w:rsid w:val="00E34938"/>
    <w:rsid w:val="00E356C4"/>
    <w:rsid w:val="00E35CEB"/>
    <w:rsid w:val="00E36422"/>
    <w:rsid w:val="00E5237C"/>
    <w:rsid w:val="00E76565"/>
    <w:rsid w:val="00E80094"/>
    <w:rsid w:val="00E86FB2"/>
    <w:rsid w:val="00EA6285"/>
    <w:rsid w:val="00EB7EE7"/>
    <w:rsid w:val="00EC09D9"/>
    <w:rsid w:val="00EC6496"/>
    <w:rsid w:val="00ED25E1"/>
    <w:rsid w:val="00ED72E5"/>
    <w:rsid w:val="00EE36D9"/>
    <w:rsid w:val="00EF1EAB"/>
    <w:rsid w:val="00F0060D"/>
    <w:rsid w:val="00F00AB0"/>
    <w:rsid w:val="00F06BCA"/>
    <w:rsid w:val="00F23650"/>
    <w:rsid w:val="00F325FC"/>
    <w:rsid w:val="00F412E4"/>
    <w:rsid w:val="00F43A1E"/>
    <w:rsid w:val="00F61C7F"/>
    <w:rsid w:val="00F762FF"/>
    <w:rsid w:val="00F84F34"/>
    <w:rsid w:val="00FA0976"/>
    <w:rsid w:val="00FA75D9"/>
    <w:rsid w:val="00FC6733"/>
    <w:rsid w:val="00FD5AD7"/>
    <w:rsid w:val="00FD7120"/>
    <w:rsid w:val="00FE1AB8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E1D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nhideWhenUsed/>
    <w:qFormat/>
    <w:rsid w:val="00230E1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7Car">
    <w:name w:val="Título 7 Car"/>
    <w:link w:val="Ttulo7"/>
    <w:uiPriority w:val="9"/>
    <w:semiHidden/>
    <w:rsid w:val="00230E1D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230E1D"/>
    <w:rPr>
      <w:rFonts w:ascii="Calibri" w:eastAsia="Times New Roman" w:hAnsi="Calibri" w:cs="Times New Roman"/>
      <w:i/>
      <w:iCs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0E1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230E1D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436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436C6"/>
    <w:rPr>
      <w:rFonts w:ascii="Arial" w:hAnsi="Arial"/>
      <w:sz w:val="24"/>
    </w:rPr>
  </w:style>
  <w:style w:type="character" w:customStyle="1" w:styleId="PiedepginaCar">
    <w:name w:val="Pie de página Car"/>
    <w:link w:val="Piedepgina"/>
    <w:uiPriority w:val="99"/>
    <w:rsid w:val="003436C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39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3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E1D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unhideWhenUsed/>
    <w:qFormat/>
    <w:rsid w:val="00230E1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7Car">
    <w:name w:val="Título 7 Car"/>
    <w:link w:val="Ttulo7"/>
    <w:uiPriority w:val="9"/>
    <w:semiHidden/>
    <w:rsid w:val="00230E1D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230E1D"/>
    <w:rPr>
      <w:rFonts w:ascii="Calibri" w:eastAsia="Times New Roman" w:hAnsi="Calibri" w:cs="Times New Roman"/>
      <w:i/>
      <w:iCs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0E1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230E1D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436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436C6"/>
    <w:rPr>
      <w:rFonts w:ascii="Arial" w:hAnsi="Arial"/>
      <w:sz w:val="24"/>
    </w:rPr>
  </w:style>
  <w:style w:type="character" w:customStyle="1" w:styleId="PiedepginaCar">
    <w:name w:val="Pie de página Car"/>
    <w:link w:val="Piedepgina"/>
    <w:uiPriority w:val="99"/>
    <w:rsid w:val="003436C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39A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2E1C-A896-4CB5-857B-3C4359F2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1314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8606</CharactersWithSpaces>
  <SharedDoc>false</SharedDoc>
  <HLinks>
    <vt:vector size="6" baseType="variant">
      <vt:variant>
        <vt:i4>2293780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documentos\LICITACIONES\Maldonado\2017-5750 conces Playa Brava.doc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creator>Tribunal de Cuentas</dc:creator>
  <cp:lastModifiedBy>Andrea Gerner</cp:lastModifiedBy>
  <cp:revision>18</cp:revision>
  <cp:lastPrinted>2017-10-23T17:03:00Z</cp:lastPrinted>
  <dcterms:created xsi:type="dcterms:W3CDTF">2017-10-19T17:22:00Z</dcterms:created>
  <dcterms:modified xsi:type="dcterms:W3CDTF">2017-10-23T17:03:00Z</dcterms:modified>
</cp:coreProperties>
</file>