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17" w:rsidRPr="00786EEB" w:rsidRDefault="001B3917" w:rsidP="00786EEB">
      <w:pPr>
        <w:tabs>
          <w:tab w:val="center" w:pos="4253"/>
        </w:tabs>
        <w:suppressAutoHyphens/>
        <w:jc w:val="right"/>
        <w:rPr>
          <w:rFonts w:cs="Arial"/>
          <w:b/>
          <w:sz w:val="28"/>
          <w:szCs w:val="28"/>
          <w:lang w:val="es-ES_tradnl"/>
        </w:rPr>
      </w:pPr>
      <w:r>
        <w:rPr>
          <w:rFonts w:cs="Arial"/>
          <w:b/>
          <w:sz w:val="28"/>
          <w:szCs w:val="28"/>
          <w:lang w:val="es-ES_tradnl"/>
        </w:rPr>
        <w:t>RES. 3483/17</w:t>
      </w:r>
    </w:p>
    <w:p w:rsidR="001B3917" w:rsidRDefault="001B3917" w:rsidP="00786EEB">
      <w:pPr>
        <w:tabs>
          <w:tab w:val="center" w:pos="4253"/>
        </w:tabs>
        <w:suppressAutoHyphens/>
        <w:jc w:val="right"/>
        <w:rPr>
          <w:rFonts w:cs="Arial"/>
          <w:b/>
          <w:lang w:val="es-ES_tradnl"/>
        </w:rPr>
      </w:pPr>
    </w:p>
    <w:p w:rsidR="001B3917" w:rsidRPr="00762B34" w:rsidRDefault="001B3917">
      <w:pPr>
        <w:tabs>
          <w:tab w:val="center" w:pos="4253"/>
        </w:tabs>
        <w:suppressAutoHyphens/>
        <w:jc w:val="center"/>
        <w:rPr>
          <w:rFonts w:cs="Arial"/>
          <w:b/>
          <w:lang w:val="es-ES_tradnl"/>
        </w:rPr>
      </w:pPr>
      <w:r w:rsidRPr="00762B34">
        <w:rPr>
          <w:rFonts w:cs="Arial"/>
          <w:b/>
          <w:lang w:val="es-ES_tradnl"/>
        </w:rPr>
        <w:t>RESOLUCION ADOPTADA POR EL</w:t>
      </w:r>
    </w:p>
    <w:p w:rsidR="001B3917" w:rsidRPr="00762B34" w:rsidRDefault="001B3917">
      <w:pPr>
        <w:tabs>
          <w:tab w:val="left" w:pos="-720"/>
        </w:tabs>
        <w:suppressAutoHyphens/>
        <w:jc w:val="center"/>
        <w:rPr>
          <w:rFonts w:cs="Arial"/>
          <w:b/>
          <w:lang w:val="es-ES_tradnl"/>
        </w:rPr>
      </w:pPr>
    </w:p>
    <w:p w:rsidR="001B3917" w:rsidRPr="00762B34" w:rsidRDefault="001B3917">
      <w:pPr>
        <w:tabs>
          <w:tab w:val="center" w:pos="4253"/>
        </w:tabs>
        <w:suppressAutoHyphens/>
        <w:jc w:val="center"/>
        <w:rPr>
          <w:rFonts w:cs="Arial"/>
          <w:b/>
          <w:lang w:val="es-ES_tradnl"/>
        </w:rPr>
      </w:pPr>
      <w:r w:rsidRPr="00762B34">
        <w:rPr>
          <w:rFonts w:cs="Arial"/>
          <w:b/>
          <w:lang w:val="es-ES_tradnl"/>
        </w:rPr>
        <w:t>TRIBUNAL DE CUENTAS</w:t>
      </w:r>
    </w:p>
    <w:p w:rsidR="001B3917" w:rsidRPr="00762B34" w:rsidRDefault="001B3917">
      <w:pPr>
        <w:tabs>
          <w:tab w:val="left" w:pos="-720"/>
        </w:tabs>
        <w:suppressAutoHyphens/>
        <w:jc w:val="center"/>
        <w:rPr>
          <w:rFonts w:cs="Arial"/>
          <w:b/>
          <w:lang w:val="es-ES_tradnl"/>
        </w:rPr>
      </w:pPr>
    </w:p>
    <w:p w:rsidR="001B3917" w:rsidRPr="00762B34" w:rsidRDefault="001B3917">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18 DE OCTUBRE </w:t>
      </w:r>
      <w:r>
        <w:rPr>
          <w:rFonts w:ascii="Helvetica" w:hAnsi="Helvetica"/>
          <w:b/>
          <w:lang w:val="es-ES_tradnl"/>
        </w:rPr>
        <w:t>DE 2017</w:t>
      </w:r>
    </w:p>
    <w:p w:rsidR="001B3917" w:rsidRPr="00762B34" w:rsidRDefault="001B3917">
      <w:pPr>
        <w:tabs>
          <w:tab w:val="center" w:pos="4253"/>
        </w:tabs>
        <w:suppressAutoHyphens/>
        <w:jc w:val="center"/>
        <w:rPr>
          <w:rFonts w:cs="Arial"/>
          <w:b/>
          <w:lang w:val="es-ES_tradnl"/>
        </w:rPr>
      </w:pPr>
    </w:p>
    <w:p w:rsidR="001B3917" w:rsidRPr="001B3917" w:rsidRDefault="001B3917">
      <w:pPr>
        <w:tabs>
          <w:tab w:val="center" w:pos="4253"/>
        </w:tabs>
        <w:suppressAutoHyphens/>
        <w:jc w:val="center"/>
        <w:rPr>
          <w:rFonts w:cs="Arial"/>
          <w:b/>
          <w:lang w:val="es-AR"/>
        </w:rPr>
      </w:pPr>
      <w:r w:rsidRPr="001B3917">
        <w:rPr>
          <w:rFonts w:cs="Arial"/>
          <w:b/>
          <w:lang w:val="es-AR"/>
        </w:rPr>
        <w:t xml:space="preserve">(E. E. Nº 2017-17-1-0003229, </w:t>
      </w:r>
      <w:proofErr w:type="spellStart"/>
      <w:r w:rsidRPr="001B3917">
        <w:rPr>
          <w:rFonts w:cs="Arial"/>
          <w:b/>
          <w:lang w:val="es-AR"/>
        </w:rPr>
        <w:t>Ent</w:t>
      </w:r>
      <w:proofErr w:type="spellEnd"/>
      <w:r w:rsidRPr="001B3917">
        <w:rPr>
          <w:rFonts w:cs="Arial"/>
          <w:b/>
          <w:lang w:val="es-AR"/>
        </w:rPr>
        <w:t>. N° 4981/17)</w:t>
      </w:r>
    </w:p>
    <w:p w:rsidR="001B3917" w:rsidRPr="001B3917" w:rsidRDefault="001B3917">
      <w:pPr>
        <w:tabs>
          <w:tab w:val="center" w:pos="4253"/>
        </w:tabs>
        <w:suppressAutoHyphens/>
        <w:jc w:val="center"/>
        <w:rPr>
          <w:rFonts w:ascii="Helvetica" w:hAnsi="Helvetica"/>
          <w:b/>
          <w:lang w:val="es-AR"/>
        </w:rPr>
      </w:pPr>
    </w:p>
    <w:p w:rsidR="001B3917" w:rsidRPr="001B3917" w:rsidRDefault="001B3917" w:rsidP="00762B34">
      <w:pPr>
        <w:tabs>
          <w:tab w:val="center" w:pos="4253"/>
        </w:tabs>
        <w:suppressAutoHyphens/>
        <w:jc w:val="right"/>
        <w:rPr>
          <w:spacing w:val="-3"/>
          <w:lang w:val="es-AR"/>
        </w:rPr>
      </w:pPr>
    </w:p>
    <w:p w:rsidR="001B3917" w:rsidRDefault="001B3917" w:rsidP="001B3917">
      <w:pPr>
        <w:spacing w:line="360" w:lineRule="auto"/>
        <w:ind w:firstLine="851"/>
        <w:jc w:val="both"/>
      </w:pPr>
      <w:r w:rsidRPr="001B3917">
        <w:rPr>
          <w:b/>
          <w:bCs/>
          <w:lang w:val="es-UY"/>
        </w:rPr>
        <w:t>VISTO:</w:t>
      </w:r>
      <w:r w:rsidRPr="001B3917">
        <w:rPr>
          <w:lang w:val="es-UY"/>
        </w:rPr>
        <w:t xml:space="preserve"> las nuevas actuaciones remitidas por l</w:t>
      </w:r>
      <w:r w:rsidRPr="001B3917">
        <w:t>a Presidencia de la República,  relativas con la Contratación Directa para el servicio de vigilancia y seguridad en las Plazas de Deportes de la Secretaría Nacional del Deporte;</w:t>
      </w:r>
    </w:p>
    <w:p w:rsidR="001B3917" w:rsidRDefault="001B3917" w:rsidP="001B3917">
      <w:pPr>
        <w:spacing w:line="360" w:lineRule="auto"/>
        <w:ind w:firstLine="851"/>
        <w:jc w:val="both"/>
        <w:rPr>
          <w:lang w:val="es-UY"/>
        </w:rPr>
      </w:pPr>
      <w:r w:rsidRPr="001B3917">
        <w:rPr>
          <w:rFonts w:cs="Arial"/>
          <w:b/>
          <w:bCs/>
          <w:lang w:val="es-ES_tradnl"/>
        </w:rPr>
        <w:t>RESULTANDO: 1)</w:t>
      </w:r>
      <w:r w:rsidRPr="001B3917">
        <w:rPr>
          <w:rFonts w:cs="Arial"/>
          <w:lang w:val="es-ES_tradnl"/>
        </w:rPr>
        <w:t xml:space="preserve"> que en la oportunidad se remite E</w:t>
      </w:r>
      <w:r>
        <w:rPr>
          <w:rFonts w:cs="Arial"/>
          <w:lang w:val="es-ES_tradnl"/>
        </w:rPr>
        <w:t>xpediente N°</w:t>
      </w:r>
      <w:r w:rsidRPr="001B3917">
        <w:rPr>
          <w:rFonts w:cs="Arial"/>
          <w:lang w:val="es-ES_tradnl"/>
        </w:rPr>
        <w:t>652/2017, con el</w:t>
      </w:r>
      <w:r w:rsidRPr="001B3917">
        <w:rPr>
          <w:lang w:val="es-UY"/>
        </w:rPr>
        <w:t xml:space="preserve"> </w:t>
      </w:r>
      <w:proofErr w:type="spellStart"/>
      <w:r w:rsidRPr="001B3917">
        <w:rPr>
          <w:lang w:val="es-UY"/>
        </w:rPr>
        <w:t>planillado</w:t>
      </w:r>
      <w:proofErr w:type="spellEnd"/>
      <w:r w:rsidRPr="001B3917">
        <w:rPr>
          <w:lang w:val="es-UY"/>
        </w:rPr>
        <w:t xml:space="preserve"> de la Secretaría Nacional del Deporte de fecha 20.6.2017, describiendo las plazas de deportes por Departamento, días, horarios cantidad de guardias e informe de existencia de la disponibilidad presupuestal de fecha 3.7.2017;</w:t>
      </w:r>
    </w:p>
    <w:p w:rsidR="001B3917" w:rsidRDefault="001B3917" w:rsidP="001B3917">
      <w:pPr>
        <w:spacing w:line="360" w:lineRule="auto"/>
        <w:ind w:firstLine="2835"/>
        <w:jc w:val="both"/>
        <w:rPr>
          <w:bCs/>
          <w:lang w:val="es-MX"/>
        </w:rPr>
      </w:pPr>
      <w:r w:rsidRPr="001B3917">
        <w:rPr>
          <w:b/>
          <w:lang w:val="es-UY"/>
        </w:rPr>
        <w:t>2)</w:t>
      </w:r>
      <w:r w:rsidRPr="001B3917">
        <w:rPr>
          <w:lang w:val="es-UY"/>
        </w:rPr>
        <w:t xml:space="preserve"> </w:t>
      </w:r>
      <w:r w:rsidRPr="001B3917">
        <w:rPr>
          <w:bCs/>
          <w:lang w:val="es-MX"/>
        </w:rPr>
        <w:t>que este Tribunal, en Sesión de fecha 14 de junio de 2017, observó el gasto por los meses de marzo y abril, por contravenir los Artículo</w:t>
      </w:r>
      <w:r>
        <w:rPr>
          <w:bCs/>
          <w:lang w:val="es-MX"/>
        </w:rPr>
        <w:t>s 43 y 149 L</w:t>
      </w:r>
      <w:r w:rsidRPr="001B3917">
        <w:rPr>
          <w:bCs/>
          <w:lang w:val="es-MX"/>
        </w:rPr>
        <w:t>iteral B) del TOCAF. Habiéndose reiterado el gasto, por resolución de fecha 30.8.17 el Tribunal mantuvo la objeción;</w:t>
      </w:r>
    </w:p>
    <w:p w:rsidR="001B3917" w:rsidRDefault="001B3917" w:rsidP="001B3917">
      <w:pPr>
        <w:spacing w:line="360" w:lineRule="auto"/>
        <w:ind w:firstLine="2835"/>
        <w:jc w:val="both"/>
      </w:pPr>
      <w:r w:rsidRPr="001B3917">
        <w:rPr>
          <w:b/>
          <w:lang w:val="es-UY"/>
        </w:rPr>
        <w:t>3)</w:t>
      </w:r>
      <w:r w:rsidRPr="001B3917">
        <w:rPr>
          <w:lang w:val="es-UY"/>
        </w:rPr>
        <w:t xml:space="preserve"> que se acompaña</w:t>
      </w:r>
      <w:r w:rsidRPr="001B3917">
        <w:t xml:space="preserve"> cotización de la empresa DESKIN S.A. para el servicio de vigilancia para las plazas de deportes números  2, 4, 5, 6, 7, 8, 10, 11, 12, 16, Parque del Plata, Las Piedras; Pando, </w:t>
      </w:r>
      <w:proofErr w:type="spellStart"/>
      <w:r w:rsidRPr="001B3917">
        <w:t>Ituzaingó</w:t>
      </w:r>
      <w:proofErr w:type="spellEnd"/>
      <w:r w:rsidRPr="001B3917">
        <w:t>, Pista de Atletismo, Canelones, Santa Lucía, Suárez, Centro Médico Deportivo Regional Oeste y Secretaría Nacional del Deporte, por el mes de julio de 2017;</w:t>
      </w:r>
    </w:p>
    <w:p w:rsidR="001B3917" w:rsidRDefault="001B3917" w:rsidP="001B3917">
      <w:pPr>
        <w:spacing w:line="360" w:lineRule="auto"/>
        <w:ind w:firstLine="2835"/>
        <w:jc w:val="both"/>
        <w:rPr>
          <w:lang w:val="es-UY"/>
        </w:rPr>
      </w:pPr>
      <w:r w:rsidRPr="001B3917">
        <w:rPr>
          <w:b/>
          <w:bCs/>
          <w:lang w:val="es-UY"/>
        </w:rPr>
        <w:t>4)</w:t>
      </w:r>
      <w:r w:rsidRPr="001B3917">
        <w:rPr>
          <w:bCs/>
          <w:lang w:val="es-UY"/>
        </w:rPr>
        <w:t xml:space="preserve"> </w:t>
      </w:r>
      <w:r w:rsidRPr="001B3917">
        <w:rPr>
          <w:lang w:val="es-UY"/>
        </w:rPr>
        <w:t xml:space="preserve">que se agrega </w:t>
      </w:r>
      <w:r>
        <w:rPr>
          <w:lang w:val="es-UY"/>
        </w:rPr>
        <w:t>p</w:t>
      </w:r>
      <w:r w:rsidRPr="001B3917">
        <w:rPr>
          <w:lang w:val="es-UY"/>
        </w:rPr>
        <w:t>royecto de Resolución del Gerente Nacional del Deporte en ejercicio de atribuciones delegadas, disponiendo la contratación por el mes de julio de 2017, de la empresa DESKIN S.A.</w:t>
      </w:r>
      <w:r>
        <w:rPr>
          <w:lang w:val="es-UY"/>
        </w:rPr>
        <w:t xml:space="preserve"> por un monto total de $ 2:</w:t>
      </w:r>
      <w:r w:rsidRPr="001B3917">
        <w:rPr>
          <w:lang w:val="es-UY"/>
        </w:rPr>
        <w:t>435.740, a los efectos de brindar vigilancia en las distintas dependencias de la Secretaría Nacional del Deporte;</w:t>
      </w:r>
    </w:p>
    <w:p w:rsidR="001B3917" w:rsidRPr="001B3917" w:rsidRDefault="001B3917" w:rsidP="001B3917">
      <w:pPr>
        <w:spacing w:line="360" w:lineRule="auto"/>
        <w:ind w:firstLine="2835"/>
        <w:jc w:val="both"/>
        <w:rPr>
          <w:lang w:val="es-UY"/>
        </w:rPr>
      </w:pPr>
      <w:r w:rsidRPr="001B3917">
        <w:rPr>
          <w:b/>
        </w:rPr>
        <w:lastRenderedPageBreak/>
        <w:t>5)</w:t>
      </w:r>
      <w:r w:rsidRPr="001B3917">
        <w:t xml:space="preserve"> </w:t>
      </w:r>
      <w:r w:rsidRPr="001B3917">
        <w:rPr>
          <w:bCs/>
          <w:lang w:val="es-UY"/>
        </w:rPr>
        <w:t>que</w:t>
      </w:r>
      <w:r w:rsidRPr="001B3917">
        <w:rPr>
          <w:b/>
          <w:bCs/>
          <w:lang w:val="es-UY"/>
        </w:rPr>
        <w:t xml:space="preserve"> </w:t>
      </w:r>
      <w:r w:rsidRPr="001B3917">
        <w:rPr>
          <w:lang w:val="es-UY"/>
        </w:rPr>
        <w:t>la Contadora Auditora, con fecha 8.8.2017, entendió que el gasto total que implica la contratación por todo el período que se prevé utilizar el servicio en todas las plazas de deportes, supera su competencia;</w:t>
      </w:r>
    </w:p>
    <w:p w:rsidR="001B3917" w:rsidRDefault="001B3917" w:rsidP="001B3917">
      <w:pPr>
        <w:tabs>
          <w:tab w:val="left" w:pos="1701"/>
          <w:tab w:val="left" w:pos="2835"/>
        </w:tabs>
        <w:spacing w:line="360" w:lineRule="auto"/>
        <w:ind w:firstLine="851"/>
        <w:jc w:val="both"/>
        <w:rPr>
          <w:lang w:val="es-UY"/>
        </w:rPr>
      </w:pPr>
      <w:r w:rsidRPr="001B3917">
        <w:rPr>
          <w:b/>
          <w:bCs/>
          <w:lang w:val="es-MX"/>
        </w:rPr>
        <w:t>CONSIDERANDO:</w:t>
      </w:r>
      <w:r w:rsidRPr="001B3917">
        <w:rPr>
          <w:bCs/>
          <w:lang w:val="es-MX"/>
        </w:rPr>
        <w:t xml:space="preserve"> </w:t>
      </w:r>
      <w:r w:rsidRPr="001B3917">
        <w:rPr>
          <w:b/>
          <w:bCs/>
          <w:lang w:val="es-MX"/>
        </w:rPr>
        <w:t>1)</w:t>
      </w:r>
      <w:r w:rsidRPr="001B3917">
        <w:rPr>
          <w:bCs/>
          <w:lang w:val="es-MX"/>
        </w:rPr>
        <w:t xml:space="preserve"> que </w:t>
      </w:r>
      <w:r w:rsidRPr="001B3917">
        <w:rPr>
          <w:lang w:val="es-UY"/>
        </w:rPr>
        <w:t>el principio en materia de planificación de las com</w:t>
      </w:r>
      <w:r>
        <w:rPr>
          <w:lang w:val="es-UY"/>
        </w:rPr>
        <w:t>pras estatales enunciado en el A</w:t>
      </w:r>
      <w:r w:rsidRPr="001B3917">
        <w:rPr>
          <w:lang w:val="es-UY"/>
        </w:rPr>
        <w:t xml:space="preserve">rtículo 43 del TOCAF, expresa que </w:t>
      </w:r>
      <w:r>
        <w:rPr>
          <w:i/>
          <w:lang w:val="es-UY"/>
        </w:rPr>
        <w:t>“Los O</w:t>
      </w:r>
      <w:r w:rsidRPr="001B3917">
        <w:rPr>
          <w:i/>
          <w:lang w:val="es-UY"/>
        </w:rPr>
        <w:t>rdenadores de gastos adoptarán las medidas necesarias para contratar los suministros o servicios por grupos de artículos o servicios, de forma de facilitar la presentación del mayor número posible de oferentes</w:t>
      </w:r>
      <w:r w:rsidRPr="001B3917">
        <w:rPr>
          <w:lang w:val="es-UY"/>
        </w:rPr>
        <w:t>”, siendo dicha previsión una clara manifestación del Principio de Concurrencia (Artículo</w:t>
      </w:r>
      <w:r>
        <w:rPr>
          <w:lang w:val="es-UY"/>
        </w:rPr>
        <w:t xml:space="preserve"> 149 L</w:t>
      </w:r>
      <w:r w:rsidRPr="001B3917">
        <w:rPr>
          <w:lang w:val="es-UY"/>
        </w:rPr>
        <w:t>iteral B del TOCAF);</w:t>
      </w:r>
    </w:p>
    <w:p w:rsidR="001B3917" w:rsidRDefault="001B3917" w:rsidP="001B3917">
      <w:pPr>
        <w:tabs>
          <w:tab w:val="left" w:pos="1701"/>
          <w:tab w:val="left" w:pos="2835"/>
        </w:tabs>
        <w:spacing w:line="360" w:lineRule="auto"/>
        <w:ind w:firstLine="2977"/>
        <w:jc w:val="both"/>
      </w:pPr>
      <w:r w:rsidRPr="001B3917">
        <w:rPr>
          <w:b/>
        </w:rPr>
        <w:t>2)</w:t>
      </w:r>
      <w:r w:rsidRPr="001B3917">
        <w:t xml:space="preserve"> que la excepción a la contratación por grupos de artículos o servicios es la posibilidad de fraccionar las compras en caso que sea conveniente para el servicio, lo cual a su vez debe fundamentarse en el acto de adjudicación (Artículo</w:t>
      </w:r>
      <w:r>
        <w:t xml:space="preserve"> 43 I</w:t>
      </w:r>
      <w:r w:rsidRPr="001B3917">
        <w:t>nciso 3º del TOCAF);</w:t>
      </w:r>
    </w:p>
    <w:p w:rsidR="001B3917" w:rsidRPr="001B3917" w:rsidRDefault="001B3917" w:rsidP="001B3917">
      <w:pPr>
        <w:tabs>
          <w:tab w:val="left" w:pos="1701"/>
          <w:tab w:val="left" w:pos="2835"/>
        </w:tabs>
        <w:spacing w:line="360" w:lineRule="auto"/>
        <w:ind w:firstLine="2977"/>
        <w:jc w:val="both"/>
      </w:pPr>
      <w:r w:rsidRPr="001B3917">
        <w:rPr>
          <w:b/>
        </w:rPr>
        <w:t>3)</w:t>
      </w:r>
      <w:r w:rsidRPr="001B3917">
        <w:t xml:space="preserve"> que en el caso, el objeto de las contrataciones es idéntico, sin perjuicio de lo cual, se fracciona en varios procedimientos de contratación, sin constar fundamentación alguna. </w:t>
      </w:r>
      <w:r w:rsidRPr="001B3917">
        <w:rPr>
          <w:lang w:val="es-UY"/>
        </w:rPr>
        <w:t>En consecuencia, hubiera correspondido la realización de un llamado a Licitación Pública, no invocándose por la Administración excepción alguna</w:t>
      </w:r>
      <w:r w:rsidRPr="001B3917">
        <w:t xml:space="preserve">; </w:t>
      </w:r>
    </w:p>
    <w:p w:rsidR="001B3917" w:rsidRPr="001B3917" w:rsidRDefault="001B3917" w:rsidP="001B3917">
      <w:pPr>
        <w:spacing w:line="360" w:lineRule="auto"/>
        <w:ind w:firstLine="851"/>
        <w:jc w:val="both"/>
        <w:rPr>
          <w:rFonts w:cs="Arial"/>
          <w:bCs/>
          <w:szCs w:val="20"/>
          <w:lang w:val="es-ES_tradnl"/>
        </w:rPr>
      </w:pPr>
      <w:r w:rsidRPr="001B3917">
        <w:rPr>
          <w:rFonts w:cs="Arial"/>
          <w:b/>
          <w:szCs w:val="20"/>
          <w:lang w:val="es-ES_tradnl"/>
        </w:rPr>
        <w:t>ATENTO:</w:t>
      </w:r>
      <w:r w:rsidRPr="001B3917">
        <w:rPr>
          <w:rFonts w:cs="Arial"/>
          <w:bCs/>
          <w:szCs w:val="20"/>
          <w:lang w:val="es-ES_tradnl"/>
        </w:rPr>
        <w:t xml:space="preserve"> a lo precedentemente expuesto</w:t>
      </w:r>
      <w:r w:rsidRPr="001B3917">
        <w:rPr>
          <w:rFonts w:cs="Arial"/>
          <w:bCs/>
          <w:szCs w:val="20"/>
          <w:lang w:val="es-UY"/>
        </w:rPr>
        <w:t xml:space="preserve"> y </w:t>
      </w:r>
      <w:r w:rsidRPr="001B3917">
        <w:rPr>
          <w:rFonts w:cs="Arial"/>
          <w:bCs/>
          <w:szCs w:val="20"/>
          <w:lang w:val="es-ES_tradnl"/>
        </w:rPr>
        <w:t>a lo dispuesto por el Artículo</w:t>
      </w:r>
      <w:r>
        <w:rPr>
          <w:rFonts w:cs="Arial"/>
          <w:bCs/>
          <w:szCs w:val="20"/>
          <w:lang w:val="es-ES_tradnl"/>
        </w:rPr>
        <w:t xml:space="preserve"> 211 L</w:t>
      </w:r>
      <w:r w:rsidRPr="001B3917">
        <w:rPr>
          <w:rFonts w:cs="Arial"/>
          <w:bCs/>
          <w:szCs w:val="20"/>
          <w:lang w:val="es-ES_tradnl"/>
        </w:rPr>
        <w:t xml:space="preserve">iteral B) de </w:t>
      </w:r>
      <w:smartTag w:uri="urn:schemas-microsoft-com:office:smarttags" w:element="PersonName">
        <w:smartTagPr>
          <w:attr w:name="ProductID" w:val="la Constituci￳n"/>
        </w:smartTagPr>
        <w:r w:rsidRPr="001B3917">
          <w:rPr>
            <w:rFonts w:cs="Arial"/>
            <w:bCs/>
            <w:szCs w:val="20"/>
            <w:lang w:val="es-ES_tradnl"/>
          </w:rPr>
          <w:t>la Constitución</w:t>
        </w:r>
      </w:smartTag>
      <w:r w:rsidRPr="001B3917">
        <w:rPr>
          <w:rFonts w:cs="Arial"/>
          <w:bCs/>
          <w:szCs w:val="20"/>
          <w:lang w:val="es-ES_tradnl"/>
        </w:rPr>
        <w:t xml:space="preserve"> de </w:t>
      </w:r>
      <w:smartTag w:uri="urn:schemas-microsoft-com:office:smarttags" w:element="PersonName">
        <w:smartTagPr>
          <w:attr w:name="ProductID" w:val="la Rep￺blica"/>
        </w:smartTagPr>
        <w:r w:rsidRPr="001B3917">
          <w:rPr>
            <w:rFonts w:cs="Arial"/>
            <w:bCs/>
            <w:szCs w:val="20"/>
            <w:lang w:val="es-ES_tradnl"/>
          </w:rPr>
          <w:t>la República</w:t>
        </w:r>
      </w:smartTag>
      <w:r w:rsidRPr="001B3917">
        <w:rPr>
          <w:rFonts w:cs="Arial"/>
          <w:bCs/>
          <w:szCs w:val="20"/>
          <w:lang w:val="es-ES_tradnl"/>
        </w:rPr>
        <w:t>;</w:t>
      </w:r>
    </w:p>
    <w:p w:rsidR="001B3917" w:rsidRPr="001B3917" w:rsidRDefault="001B3917" w:rsidP="001B3917">
      <w:pPr>
        <w:keepNext/>
        <w:spacing w:line="360" w:lineRule="auto"/>
        <w:jc w:val="center"/>
        <w:outlineLvl w:val="2"/>
        <w:rPr>
          <w:rFonts w:cs="Arial"/>
          <w:b/>
          <w:bCs/>
          <w:lang w:val="es-ES_tradnl"/>
        </w:rPr>
      </w:pPr>
      <w:r w:rsidRPr="001B3917">
        <w:rPr>
          <w:rFonts w:cs="Arial"/>
          <w:b/>
          <w:lang w:val="es-ES_tradnl"/>
        </w:rPr>
        <w:t xml:space="preserve"> </w:t>
      </w:r>
      <w:r w:rsidRPr="001B3917">
        <w:rPr>
          <w:rFonts w:cs="Arial"/>
          <w:b/>
          <w:bCs/>
          <w:lang w:val="es-ES_tradnl"/>
        </w:rPr>
        <w:t>EL TRIBUNAL ACUERDA</w:t>
      </w:r>
    </w:p>
    <w:p w:rsidR="001B3917" w:rsidRPr="001B3917" w:rsidRDefault="001B3917" w:rsidP="001B3917">
      <w:pPr>
        <w:numPr>
          <w:ilvl w:val="0"/>
          <w:numId w:val="1"/>
        </w:numPr>
        <w:tabs>
          <w:tab w:val="clear" w:pos="1068"/>
        </w:tabs>
        <w:spacing w:line="360" w:lineRule="auto"/>
        <w:ind w:left="284" w:hanging="284"/>
        <w:jc w:val="both"/>
        <w:rPr>
          <w:rFonts w:cs="Arial"/>
        </w:rPr>
      </w:pPr>
      <w:r w:rsidRPr="001B3917">
        <w:rPr>
          <w:rFonts w:cs="Arial"/>
          <w:spacing w:val="-3"/>
        </w:rPr>
        <w:t xml:space="preserve">Observar el gasto de </w:t>
      </w:r>
      <w:r>
        <w:t>$ 2:</w:t>
      </w:r>
      <w:r w:rsidRPr="001B3917">
        <w:t xml:space="preserve">435.740, </w:t>
      </w:r>
      <w:r w:rsidRPr="001B3917">
        <w:rPr>
          <w:rFonts w:cs="Arial"/>
          <w:spacing w:val="-3"/>
        </w:rPr>
        <w:t>correspondiente al mes de julio de 2017;</w:t>
      </w:r>
    </w:p>
    <w:p w:rsidR="001B3917" w:rsidRPr="001B3917" w:rsidRDefault="001B3917" w:rsidP="001B3917">
      <w:pPr>
        <w:numPr>
          <w:ilvl w:val="0"/>
          <w:numId w:val="1"/>
        </w:numPr>
        <w:tabs>
          <w:tab w:val="clear" w:pos="1068"/>
        </w:tabs>
        <w:spacing w:line="360" w:lineRule="auto"/>
        <w:ind w:left="284" w:hanging="284"/>
        <w:jc w:val="both"/>
        <w:rPr>
          <w:rFonts w:cs="Arial"/>
        </w:rPr>
      </w:pPr>
      <w:r w:rsidRPr="001B3917">
        <w:rPr>
          <w:rFonts w:cs="Arial"/>
          <w:spacing w:val="-3"/>
        </w:rPr>
        <w:t xml:space="preserve">Comunicar a </w:t>
      </w:r>
      <w:smartTag w:uri="urn:schemas-microsoft-com:office:smarttags" w:element="PersonName">
        <w:smartTagPr>
          <w:attr w:name="ProductID" w:val="la Contadora"/>
        </w:smartTagPr>
        <w:r w:rsidRPr="001B3917">
          <w:rPr>
            <w:rFonts w:cs="Arial"/>
            <w:spacing w:val="-3"/>
          </w:rPr>
          <w:t>la Contadora</w:t>
        </w:r>
      </w:smartTag>
      <w:r w:rsidRPr="001B3917">
        <w:rPr>
          <w:rFonts w:cs="Arial"/>
          <w:spacing w:val="-3"/>
        </w:rPr>
        <w:t xml:space="preserve"> Auditora</w:t>
      </w:r>
      <w:r>
        <w:rPr>
          <w:rFonts w:cs="Arial"/>
          <w:spacing w:val="-3"/>
        </w:rPr>
        <w:t>;</w:t>
      </w:r>
      <w:r w:rsidRPr="001B3917">
        <w:rPr>
          <w:rFonts w:cs="Arial"/>
          <w:spacing w:val="-3"/>
          <w:lang w:val="es-ES_tradnl"/>
        </w:rPr>
        <w:t xml:space="preserve"> </w:t>
      </w:r>
    </w:p>
    <w:p w:rsidR="00F86359" w:rsidRDefault="001B3917" w:rsidP="001B3917">
      <w:pPr>
        <w:spacing w:line="360" w:lineRule="auto"/>
        <w:jc w:val="both"/>
        <w:rPr>
          <w:rFonts w:cs="Arial"/>
          <w:lang w:val="es-ES_tradnl"/>
        </w:rPr>
      </w:pPr>
      <w:r w:rsidRPr="001B3917">
        <w:rPr>
          <w:rFonts w:cs="Arial"/>
          <w:b/>
          <w:bCs/>
          <w:lang w:val="es-ES_tradnl"/>
        </w:rPr>
        <w:t>3)</w:t>
      </w:r>
      <w:r>
        <w:rPr>
          <w:rFonts w:cs="Arial"/>
          <w:lang w:val="es-ES_tradnl"/>
        </w:rPr>
        <w:t xml:space="preserve"> </w:t>
      </w:r>
      <w:r w:rsidRPr="001B3917">
        <w:rPr>
          <w:rFonts w:cs="Arial"/>
          <w:lang w:val="es-ES_tradnl"/>
        </w:rPr>
        <w:t>Devolver  las actuaciones a la Presidencia de la República</w:t>
      </w:r>
      <w:r>
        <w:rPr>
          <w:rFonts w:cs="Arial"/>
          <w:lang w:val="es-ES_tradnl"/>
        </w:rPr>
        <w:t>.</w:t>
      </w:r>
    </w:p>
    <w:p w:rsidR="001B3917" w:rsidRDefault="001B3917" w:rsidP="001B3917">
      <w:pPr>
        <w:spacing w:line="360" w:lineRule="auto"/>
        <w:jc w:val="both"/>
        <w:rPr>
          <w:lang w:val="es-ES_tradnl"/>
        </w:rPr>
      </w:pPr>
    </w:p>
    <w:p w:rsidR="001B3917" w:rsidRPr="001B3917" w:rsidRDefault="001B3917" w:rsidP="001B3917">
      <w:pPr>
        <w:spacing w:line="360" w:lineRule="auto"/>
        <w:ind w:hanging="426"/>
        <w:jc w:val="both"/>
        <w:rPr>
          <w:lang w:val="es-ES_tradnl"/>
        </w:rPr>
      </w:pPr>
      <w:proofErr w:type="gramStart"/>
      <w:r>
        <w:rPr>
          <w:lang w:val="es-ES_tradnl"/>
        </w:rPr>
        <w:t>dc</w:t>
      </w:r>
      <w:bookmarkStart w:id="0" w:name="_GoBack"/>
      <w:bookmarkEnd w:id="0"/>
      <w:proofErr w:type="gramEnd"/>
    </w:p>
    <w:sectPr w:rsidR="001B3917" w:rsidRPr="001B3917" w:rsidSect="001B3917">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F680E"/>
    <w:multiLevelType w:val="multilevel"/>
    <w:tmpl w:val="6AD4E026"/>
    <w:lvl w:ilvl="0">
      <w:start w:val="1"/>
      <w:numFmt w:val="decimal"/>
      <w:lvlText w:val="%1)"/>
      <w:lvlJc w:val="left"/>
      <w:pPr>
        <w:tabs>
          <w:tab w:val="num" w:pos="1068"/>
        </w:tabs>
        <w:ind w:left="1068" w:hanging="360"/>
      </w:pPr>
      <w:rPr>
        <w:rFonts w:hint="default"/>
        <w:b/>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17"/>
    <w:rsid w:val="001B3917"/>
    <w:rsid w:val="00330727"/>
    <w:rsid w:val="009D365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39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3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523</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2017-10-23T18:54:00Z</cp:lastPrinted>
  <dcterms:created xsi:type="dcterms:W3CDTF">2017-10-23T18:46:00Z</dcterms:created>
  <dcterms:modified xsi:type="dcterms:W3CDTF">2017-10-23T18:54:00Z</dcterms:modified>
</cp:coreProperties>
</file>