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07" w:rsidRPr="00786EEB" w:rsidRDefault="00C72607" w:rsidP="00786EEB">
      <w:pPr>
        <w:tabs>
          <w:tab w:val="center" w:pos="4253"/>
        </w:tabs>
        <w:suppressAutoHyphens/>
        <w:jc w:val="right"/>
        <w:rPr>
          <w:rFonts w:cs="Arial"/>
          <w:b/>
          <w:sz w:val="28"/>
          <w:szCs w:val="28"/>
          <w:lang w:val="es-ES_tradnl"/>
        </w:rPr>
      </w:pPr>
      <w:r>
        <w:rPr>
          <w:rFonts w:cs="Arial"/>
          <w:b/>
          <w:sz w:val="28"/>
          <w:szCs w:val="28"/>
          <w:lang w:val="es-ES_tradnl"/>
        </w:rPr>
        <w:t>RES. 3313/17</w:t>
      </w:r>
    </w:p>
    <w:p w:rsidR="00C72607" w:rsidRDefault="00C72607" w:rsidP="00786EEB">
      <w:pPr>
        <w:tabs>
          <w:tab w:val="center" w:pos="4253"/>
        </w:tabs>
        <w:suppressAutoHyphens/>
        <w:jc w:val="right"/>
        <w:rPr>
          <w:rFonts w:cs="Arial"/>
          <w:b/>
          <w:lang w:val="es-ES_tradnl"/>
        </w:rPr>
      </w:pPr>
    </w:p>
    <w:p w:rsidR="00C72607" w:rsidRPr="00762B34" w:rsidRDefault="00C72607">
      <w:pPr>
        <w:tabs>
          <w:tab w:val="center" w:pos="4253"/>
        </w:tabs>
        <w:suppressAutoHyphens/>
        <w:jc w:val="center"/>
        <w:rPr>
          <w:rFonts w:cs="Arial"/>
          <w:b/>
          <w:lang w:val="es-ES_tradnl"/>
        </w:rPr>
      </w:pPr>
      <w:r w:rsidRPr="00762B34">
        <w:rPr>
          <w:rFonts w:cs="Arial"/>
          <w:b/>
          <w:lang w:val="es-ES_tradnl"/>
        </w:rPr>
        <w:t>RESOLUCION ADOPTADA POR EL</w:t>
      </w:r>
    </w:p>
    <w:p w:rsidR="00C72607" w:rsidRPr="00762B34" w:rsidRDefault="00C72607">
      <w:pPr>
        <w:tabs>
          <w:tab w:val="left" w:pos="-720"/>
        </w:tabs>
        <w:suppressAutoHyphens/>
        <w:jc w:val="center"/>
        <w:rPr>
          <w:rFonts w:cs="Arial"/>
          <w:b/>
          <w:lang w:val="es-ES_tradnl"/>
        </w:rPr>
      </w:pPr>
    </w:p>
    <w:p w:rsidR="00C72607" w:rsidRPr="00762B34" w:rsidRDefault="00C72607">
      <w:pPr>
        <w:tabs>
          <w:tab w:val="center" w:pos="4253"/>
        </w:tabs>
        <w:suppressAutoHyphens/>
        <w:jc w:val="center"/>
        <w:rPr>
          <w:rFonts w:cs="Arial"/>
          <w:b/>
          <w:lang w:val="es-ES_tradnl"/>
        </w:rPr>
      </w:pPr>
      <w:r w:rsidRPr="00762B34">
        <w:rPr>
          <w:rFonts w:cs="Arial"/>
          <w:b/>
          <w:lang w:val="es-ES_tradnl"/>
        </w:rPr>
        <w:t>TRIBUNAL DE CUENTAS</w:t>
      </w:r>
    </w:p>
    <w:p w:rsidR="00C72607" w:rsidRPr="00762B34" w:rsidRDefault="00C72607">
      <w:pPr>
        <w:tabs>
          <w:tab w:val="left" w:pos="-720"/>
        </w:tabs>
        <w:suppressAutoHyphens/>
        <w:jc w:val="center"/>
        <w:rPr>
          <w:rFonts w:cs="Arial"/>
          <w:b/>
          <w:lang w:val="es-ES_tradnl"/>
        </w:rPr>
      </w:pPr>
    </w:p>
    <w:p w:rsidR="00C72607" w:rsidRPr="00762B34" w:rsidRDefault="00C72607">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4 DE OCTUBRE </w:t>
      </w:r>
      <w:r>
        <w:rPr>
          <w:rFonts w:ascii="Helvetica" w:hAnsi="Helvetica"/>
          <w:b/>
          <w:lang w:val="es-ES_tradnl"/>
        </w:rPr>
        <w:t>DE 2017</w:t>
      </w:r>
    </w:p>
    <w:p w:rsidR="00C72607" w:rsidRPr="00762B34" w:rsidRDefault="00C72607">
      <w:pPr>
        <w:tabs>
          <w:tab w:val="center" w:pos="4253"/>
        </w:tabs>
        <w:suppressAutoHyphens/>
        <w:jc w:val="center"/>
        <w:rPr>
          <w:rFonts w:cs="Arial"/>
          <w:b/>
          <w:lang w:val="es-ES_tradnl"/>
        </w:rPr>
      </w:pPr>
    </w:p>
    <w:p w:rsidR="00C72607" w:rsidRPr="00C72607" w:rsidRDefault="00C72607">
      <w:pPr>
        <w:tabs>
          <w:tab w:val="center" w:pos="4253"/>
        </w:tabs>
        <w:suppressAutoHyphens/>
        <w:jc w:val="center"/>
        <w:rPr>
          <w:rFonts w:cs="Arial"/>
          <w:b/>
          <w:lang w:val="es-AR"/>
        </w:rPr>
      </w:pPr>
      <w:r w:rsidRPr="00C72607">
        <w:rPr>
          <w:rFonts w:cs="Arial"/>
          <w:b/>
          <w:lang w:val="es-AR"/>
        </w:rPr>
        <w:t xml:space="preserve">(E. E. Nº 2016-17-1-0009166, </w:t>
      </w:r>
      <w:proofErr w:type="spellStart"/>
      <w:r w:rsidRPr="00C72607">
        <w:rPr>
          <w:rFonts w:cs="Arial"/>
          <w:b/>
          <w:lang w:val="es-AR"/>
        </w:rPr>
        <w:t>Ent</w:t>
      </w:r>
      <w:proofErr w:type="spellEnd"/>
      <w:r w:rsidRPr="00C72607">
        <w:rPr>
          <w:rFonts w:cs="Arial"/>
          <w:b/>
          <w:lang w:val="es-AR"/>
        </w:rPr>
        <w:t>. N° 4043/17)</w:t>
      </w:r>
    </w:p>
    <w:p w:rsidR="00C72607" w:rsidRPr="00C72607" w:rsidRDefault="00C72607">
      <w:pPr>
        <w:tabs>
          <w:tab w:val="center" w:pos="4253"/>
        </w:tabs>
        <w:suppressAutoHyphens/>
        <w:jc w:val="center"/>
        <w:rPr>
          <w:rFonts w:ascii="Helvetica" w:hAnsi="Helvetica"/>
          <w:b/>
          <w:lang w:val="es-AR"/>
        </w:rPr>
      </w:pPr>
    </w:p>
    <w:p w:rsidR="00C72607" w:rsidRDefault="00C72607" w:rsidP="00C72607">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las actuaciones remitidas por la Intendencia de Maldonado, relacionada</w:t>
      </w:r>
      <w:r>
        <w:rPr>
          <w:rFonts w:cs="Arial"/>
          <w:lang w:val="es" w:eastAsia="es-AR"/>
        </w:rPr>
        <w:t>s con la Licitación A</w:t>
      </w:r>
      <w:r>
        <w:rPr>
          <w:rFonts w:cs="Arial"/>
          <w:lang w:val="es" w:eastAsia="es-AR"/>
        </w:rPr>
        <w:t>breviada Nº 83/2016, convocada para la explotación comercial de deportes náutico</w:t>
      </w:r>
      <w:r>
        <w:rPr>
          <w:rFonts w:cs="Arial"/>
          <w:lang w:val="es" w:eastAsia="es-AR"/>
        </w:rPr>
        <w:t>s a motor en parada 4 de playa M</w:t>
      </w:r>
      <w:r>
        <w:rPr>
          <w:rFonts w:cs="Arial"/>
          <w:lang w:val="es" w:eastAsia="es-AR"/>
        </w:rPr>
        <w:t>ansa;</w:t>
      </w:r>
    </w:p>
    <w:p w:rsidR="00C72607" w:rsidRDefault="00C72607" w:rsidP="00C72607">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 xml:space="preserve">que el Director General de Hacienda adjudicó el llamado de referencia por Resolución Nº 08081/2016 de </w:t>
      </w:r>
      <w:r>
        <w:rPr>
          <w:rFonts w:cs="Arial"/>
          <w:lang w:val="es" w:eastAsia="es-AR"/>
        </w:rPr>
        <w:t>fecha 07.11.16, desde el 1º de d</w:t>
      </w:r>
      <w:r>
        <w:rPr>
          <w:rFonts w:cs="Arial"/>
          <w:lang w:val="es" w:eastAsia="es-AR"/>
        </w:rPr>
        <w:t>iciembre hasta el último día de Semana de Turismo del año sigui</w:t>
      </w:r>
      <w:r>
        <w:rPr>
          <w:rFonts w:cs="Arial"/>
          <w:lang w:val="es" w:eastAsia="es-AR"/>
        </w:rPr>
        <w:t xml:space="preserve">ente, a la empresa Juan Pablo </w:t>
      </w:r>
      <w:proofErr w:type="spellStart"/>
      <w:r>
        <w:rPr>
          <w:rFonts w:cs="Arial"/>
          <w:lang w:val="es" w:eastAsia="es-AR"/>
        </w:rPr>
        <w:t>Fí</w:t>
      </w:r>
      <w:r>
        <w:rPr>
          <w:rFonts w:cs="Arial"/>
          <w:lang w:val="es" w:eastAsia="es-AR"/>
        </w:rPr>
        <w:t>goli</w:t>
      </w:r>
      <w:proofErr w:type="spellEnd"/>
      <w:r>
        <w:rPr>
          <w:rFonts w:cs="Arial"/>
          <w:lang w:val="es" w:eastAsia="es-AR"/>
        </w:rPr>
        <w:t xml:space="preserve"> por un canon de $</w:t>
      </w:r>
      <w:r>
        <w:rPr>
          <w:rFonts w:cs="Arial"/>
          <w:lang w:val="es" w:eastAsia="es-AR"/>
        </w:rPr>
        <w:t xml:space="preserve"> </w:t>
      </w:r>
      <w:r>
        <w:rPr>
          <w:rFonts w:cs="Arial"/>
          <w:lang w:val="es" w:eastAsia="es-AR"/>
        </w:rPr>
        <w:t>625.000;</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 xml:space="preserve">2) </w:t>
      </w:r>
      <w:r>
        <w:rPr>
          <w:rFonts w:cs="Arial"/>
          <w:lang w:val="es" w:eastAsia="es-AR"/>
        </w:rPr>
        <w:t xml:space="preserve">que los oferentes Walter </w:t>
      </w:r>
      <w:proofErr w:type="spellStart"/>
      <w:r>
        <w:rPr>
          <w:rFonts w:cs="Arial"/>
          <w:lang w:val="es" w:eastAsia="es-AR"/>
        </w:rPr>
        <w:t>Volpe</w:t>
      </w:r>
      <w:proofErr w:type="spellEnd"/>
      <w:r>
        <w:rPr>
          <w:rFonts w:cs="Arial"/>
          <w:lang w:val="es" w:eastAsia="es-AR"/>
        </w:rPr>
        <w:t xml:space="preserve">, Pablo Santos y Juan </w:t>
      </w:r>
      <w:proofErr w:type="spellStart"/>
      <w:r>
        <w:rPr>
          <w:rFonts w:cs="Arial"/>
          <w:lang w:val="es" w:eastAsia="es-AR"/>
        </w:rPr>
        <w:t>Volpe</w:t>
      </w:r>
      <w:proofErr w:type="spellEnd"/>
      <w:r>
        <w:rPr>
          <w:rFonts w:cs="Arial"/>
          <w:lang w:val="es" w:eastAsia="es-AR"/>
        </w:rPr>
        <w:t>, en fecha 21.11.16 interponen recursos administrativos de reposición y apelación en subsidio en aras de impugnar la adjudicación, argumentando que la empresa adjudicataria presentó información falsa en los antecedentes, señalando además que la misma presenta antecedentes negativos en organismos públicos, embargos, y cuestionando la propuesta ofertada por la empresa gananciosa, por considerarla incompleta e inferior a la suya;</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 xml:space="preserve">3) </w:t>
      </w:r>
      <w:r>
        <w:rPr>
          <w:rFonts w:cs="Arial"/>
          <w:lang w:val="es" w:eastAsia="es-AR"/>
        </w:rPr>
        <w:t>que el Intendente por Resolución Nº 089123/16 de fecha 09.12.16 resolvió levantar el efecto suspensivo de los recursos, por considerar urgente la inmediata ejecución del servicio licitado para la temporada estival;</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lastRenderedPageBreak/>
        <w:t xml:space="preserve">4) </w:t>
      </w:r>
      <w:r>
        <w:rPr>
          <w:rFonts w:cs="Arial"/>
          <w:lang w:val="es" w:eastAsia="es-AR"/>
        </w:rPr>
        <w:t>que este Tribunal en Sesión de fecha 22.02.17 acordó observar el procedimiento por incumplimiento de las Resoluciones de fechas 11.05.05 y 28.03.07, y por no establecerse criterios objetivos para determinar los puntajes dentro de cada uno de los factores establecidos para la evaluación de las ofertas, en contra</w:t>
      </w:r>
      <w:r>
        <w:rPr>
          <w:rFonts w:cs="Arial"/>
          <w:lang w:val="es" w:eastAsia="es-AR"/>
        </w:rPr>
        <w:t>vención a lo establecido en el A</w:t>
      </w:r>
      <w:r>
        <w:rPr>
          <w:rFonts w:cs="Arial"/>
          <w:lang w:val="es" w:eastAsia="es-AR"/>
        </w:rPr>
        <w:t>rtículo 48 literal C) del T.O.C.A.F;</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 xml:space="preserve">5) </w:t>
      </w:r>
      <w:r>
        <w:rPr>
          <w:rFonts w:cs="Arial"/>
          <w:lang w:val="es" w:eastAsia="es-AR"/>
        </w:rPr>
        <w:t xml:space="preserve">que se confirió vista de las actuaciones al adjudicatario Juan Pablo </w:t>
      </w:r>
      <w:proofErr w:type="spellStart"/>
      <w:r>
        <w:rPr>
          <w:rFonts w:cs="Arial"/>
          <w:lang w:val="es" w:eastAsia="es-AR"/>
        </w:rPr>
        <w:t>F</w:t>
      </w:r>
      <w:r>
        <w:rPr>
          <w:rFonts w:cs="Arial"/>
          <w:lang w:val="es" w:eastAsia="es-AR"/>
        </w:rPr>
        <w:t>í</w:t>
      </w:r>
      <w:r>
        <w:rPr>
          <w:rFonts w:cs="Arial"/>
          <w:lang w:val="es" w:eastAsia="es-AR"/>
        </w:rPr>
        <w:t>goli</w:t>
      </w:r>
      <w:proofErr w:type="spellEnd"/>
      <w:r>
        <w:rPr>
          <w:rFonts w:cs="Arial"/>
          <w:lang w:val="es" w:eastAsia="es-AR"/>
        </w:rPr>
        <w:t xml:space="preserve"> quien la evacuó solicitando la confirmación de la Resolución recurrida, por entenderla plenamente ajustada a derecho;</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 xml:space="preserve">6) </w:t>
      </w:r>
      <w:r>
        <w:rPr>
          <w:rFonts w:cs="Arial"/>
          <w:lang w:val="es" w:eastAsia="es-AR"/>
        </w:rPr>
        <w:t xml:space="preserve">que en informe de Asesoría Jurídica de fecha 06.06.17 se manifiesta (en apretada </w:t>
      </w:r>
      <w:r>
        <w:rPr>
          <w:rFonts w:cs="Arial"/>
          <w:lang w:val="es" w:eastAsia="es-AR"/>
        </w:rPr>
        <w:t>síntesis) que el canon ofrecido</w:t>
      </w:r>
      <w:r>
        <w:rPr>
          <w:rFonts w:cs="Arial"/>
          <w:lang w:val="es" w:eastAsia="es-AR"/>
        </w:rPr>
        <w:t xml:space="preserve"> por la empresa Juan Pablo </w:t>
      </w:r>
      <w:proofErr w:type="spellStart"/>
      <w:r>
        <w:rPr>
          <w:rFonts w:cs="Arial"/>
          <w:lang w:val="es" w:eastAsia="es-AR"/>
        </w:rPr>
        <w:t>Fígoli</w:t>
      </w:r>
      <w:proofErr w:type="spellEnd"/>
      <w:r>
        <w:rPr>
          <w:rFonts w:cs="Arial"/>
          <w:lang w:val="es" w:eastAsia="es-AR"/>
        </w:rPr>
        <w:t xml:space="preserve"> es sustancialmente superior al cotizado por la empresa impugnante, que esta última incurrió en un apartamiento sustancial a las bases del llamado en tanto el servicio se  previó fuera hasta el último día de la semana de turismo del año siguiente y la impugnante ofertó el servicio “hasta los primeros días de marzo", que considera debidamente motivado el acto administrativo impugnado, y que no existió desviación de poder. Por todo ello sugiere confirmado el acto administrativo cuestionado;</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7)</w:t>
      </w:r>
      <w:r>
        <w:rPr>
          <w:rFonts w:cs="Arial"/>
          <w:lang w:val="es" w:eastAsia="es-AR"/>
        </w:rPr>
        <w:t xml:space="preserve"> que el Director General de Hacienda mediante Resolución N° 04978/2017 de fecha 17.07.17 dispuso no hacer lugar al recurso interpuesto y confirmar la adjudicación dispuesta por Resolución N° 8081/2016 de fecha 07.11.16, considerando que no existen razones que afecten el acto administrativo impugnado;</w:t>
      </w:r>
    </w:p>
    <w:p w:rsidR="00C72607" w:rsidRDefault="00C72607" w:rsidP="00C72607">
      <w:pPr>
        <w:autoSpaceDE w:val="0"/>
        <w:autoSpaceDN w:val="0"/>
        <w:adjustRightInd w:val="0"/>
        <w:spacing w:line="360" w:lineRule="auto"/>
        <w:ind w:firstLine="2835"/>
        <w:jc w:val="both"/>
        <w:rPr>
          <w:rFonts w:cs="Arial"/>
          <w:lang w:val="es" w:eastAsia="es-AR"/>
        </w:rPr>
      </w:pPr>
      <w:r>
        <w:rPr>
          <w:rFonts w:cs="Arial"/>
          <w:b/>
          <w:bCs/>
          <w:lang w:val="es" w:eastAsia="es-AR"/>
        </w:rPr>
        <w:t>8)</w:t>
      </w:r>
      <w:r>
        <w:rPr>
          <w:rFonts w:cs="Arial"/>
          <w:lang w:val="es" w:eastAsia="es-AR"/>
        </w:rPr>
        <w:t xml:space="preserve"> que el In</w:t>
      </w:r>
      <w:r>
        <w:rPr>
          <w:rFonts w:cs="Arial"/>
          <w:lang w:val="es" w:eastAsia="es-AR"/>
        </w:rPr>
        <w:t>tendente mediante Resolución N°</w:t>
      </w:r>
      <w:r>
        <w:rPr>
          <w:rFonts w:cs="Arial"/>
          <w:lang w:val="es" w:eastAsia="es-AR"/>
        </w:rPr>
        <w:t>01403/2017 de fecha 28.07.17 en el mismo sentido, desestimó el recurso de apelación interpuesto contra la Resolución N° 8081/2016;</w:t>
      </w:r>
    </w:p>
    <w:p w:rsidR="00BC35B3" w:rsidRDefault="00C72607" w:rsidP="00BC35B3">
      <w:pPr>
        <w:autoSpaceDE w:val="0"/>
        <w:autoSpaceDN w:val="0"/>
        <w:adjustRightInd w:val="0"/>
        <w:spacing w:line="360" w:lineRule="auto"/>
        <w:ind w:firstLine="851"/>
        <w:jc w:val="both"/>
        <w:rPr>
          <w:rFonts w:cs="Arial"/>
          <w:lang w:val="es" w:eastAsia="es-AR"/>
        </w:rPr>
      </w:pPr>
      <w:r>
        <w:rPr>
          <w:rFonts w:cs="Arial"/>
          <w:b/>
          <w:bCs/>
          <w:lang w:val="es" w:eastAsia="es-AR"/>
        </w:rPr>
        <w:lastRenderedPageBreak/>
        <w:t xml:space="preserve">CONSIDERANDO: 1) </w:t>
      </w:r>
      <w:r>
        <w:rPr>
          <w:rFonts w:cs="Arial"/>
          <w:lang w:val="es" w:eastAsia="es-AR"/>
        </w:rPr>
        <w:t xml:space="preserve">que la Administración actuante </w:t>
      </w:r>
      <w:r>
        <w:rPr>
          <w:rFonts w:cs="Arial"/>
          <w:lang w:val="es" w:eastAsia="es-AR"/>
        </w:rPr>
        <w:t>cumplió con lo dispuesto en el A</w:t>
      </w:r>
      <w:r>
        <w:rPr>
          <w:rFonts w:cs="Arial"/>
          <w:lang w:val="es" w:eastAsia="es-AR"/>
        </w:rPr>
        <w:t>rtículo 318 de la Constitución de la República, dando trámite a los recursos interpuestos y pronunciándose en forma expresa sobre los mismos;</w:t>
      </w:r>
    </w:p>
    <w:p w:rsidR="00C72607" w:rsidRDefault="00C72607" w:rsidP="00BC35B3">
      <w:pPr>
        <w:autoSpaceDE w:val="0"/>
        <w:autoSpaceDN w:val="0"/>
        <w:adjustRightInd w:val="0"/>
        <w:spacing w:line="360" w:lineRule="auto"/>
        <w:ind w:firstLine="3119"/>
        <w:jc w:val="both"/>
        <w:rPr>
          <w:rFonts w:cs="Arial"/>
          <w:lang w:val="es" w:eastAsia="es-AR"/>
        </w:rPr>
      </w:pPr>
      <w:r>
        <w:rPr>
          <w:rFonts w:cs="Arial"/>
          <w:b/>
          <w:bCs/>
          <w:lang w:val="es" w:eastAsia="es-AR"/>
        </w:rPr>
        <w:t xml:space="preserve">2) </w:t>
      </w:r>
      <w:r>
        <w:rPr>
          <w:rFonts w:cs="Arial"/>
          <w:lang w:val="es" w:eastAsia="es-AR"/>
        </w:rPr>
        <w:t>que este Tribunal oportunamente observó el sistema de evaluación de ofertas estatuido por la Administración para el procedimiento en análisis, por entender que el mismo no estableció criterios objetivos para determinar los puntajes dentro de cada uno de los factores establecidos para la evaluación de las ofertas (Resultando 4);</w:t>
      </w:r>
    </w:p>
    <w:p w:rsidR="00C72607" w:rsidRDefault="00C72607" w:rsidP="00BC35B3">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precedentemente expuesto;</w:t>
      </w:r>
    </w:p>
    <w:p w:rsidR="00BC35B3" w:rsidRDefault="00BC35B3" w:rsidP="00BC35B3">
      <w:pPr>
        <w:autoSpaceDE w:val="0"/>
        <w:autoSpaceDN w:val="0"/>
        <w:adjustRightInd w:val="0"/>
        <w:spacing w:line="360" w:lineRule="auto"/>
        <w:jc w:val="center"/>
        <w:rPr>
          <w:rFonts w:cs="Arial"/>
          <w:b/>
          <w:bCs/>
          <w:iCs/>
          <w:lang w:val="es" w:eastAsia="es-AR"/>
        </w:rPr>
      </w:pPr>
      <w:r>
        <w:rPr>
          <w:rFonts w:cs="Arial"/>
          <w:b/>
          <w:bCs/>
          <w:iCs/>
          <w:lang w:val="es" w:eastAsia="es-AR"/>
        </w:rPr>
        <w:t>EL TRIBUNAL ACUERDA</w:t>
      </w:r>
    </w:p>
    <w:p w:rsidR="00C72607" w:rsidRPr="00BC35B3" w:rsidRDefault="00C72607" w:rsidP="00BC35B3">
      <w:pPr>
        <w:pStyle w:val="Prrafodelista"/>
        <w:numPr>
          <w:ilvl w:val="0"/>
          <w:numId w:val="2"/>
        </w:numPr>
        <w:autoSpaceDE w:val="0"/>
        <w:autoSpaceDN w:val="0"/>
        <w:adjustRightInd w:val="0"/>
        <w:spacing w:line="360" w:lineRule="auto"/>
        <w:ind w:left="284" w:hanging="284"/>
        <w:rPr>
          <w:rFonts w:cs="Arial"/>
          <w:b/>
          <w:bCs/>
          <w:iCs/>
          <w:lang w:val="es" w:eastAsia="es-AR"/>
        </w:rPr>
      </w:pPr>
      <w:r w:rsidRPr="00BC35B3">
        <w:rPr>
          <w:rFonts w:cs="Arial"/>
          <w:lang w:val="es" w:eastAsia="es-AR"/>
        </w:rPr>
        <w:t>Expedirse en los términos de los Considerandos precedentes;</w:t>
      </w:r>
    </w:p>
    <w:p w:rsidR="00F86359" w:rsidRPr="00BC35B3" w:rsidRDefault="00C72607" w:rsidP="00BC35B3">
      <w:pPr>
        <w:pStyle w:val="Prrafodelista"/>
        <w:numPr>
          <w:ilvl w:val="0"/>
          <w:numId w:val="2"/>
        </w:numPr>
        <w:autoSpaceDE w:val="0"/>
        <w:autoSpaceDN w:val="0"/>
        <w:adjustRightInd w:val="0"/>
        <w:spacing w:line="360" w:lineRule="auto"/>
        <w:ind w:left="284" w:hanging="284"/>
      </w:pPr>
      <w:r w:rsidRPr="00BC35B3">
        <w:rPr>
          <w:rFonts w:cs="Arial"/>
          <w:lang w:val="es" w:eastAsia="es-AR"/>
        </w:rPr>
        <w:t xml:space="preserve">Devolver las actuaciones. </w:t>
      </w:r>
    </w:p>
    <w:p w:rsidR="00BC35B3" w:rsidRDefault="00BC35B3" w:rsidP="00BC35B3">
      <w:pPr>
        <w:autoSpaceDE w:val="0"/>
        <w:autoSpaceDN w:val="0"/>
        <w:adjustRightInd w:val="0"/>
        <w:spacing w:line="360" w:lineRule="auto"/>
      </w:pPr>
    </w:p>
    <w:p w:rsidR="00BC35B3" w:rsidRDefault="00BC35B3" w:rsidP="00BC35B3">
      <w:pPr>
        <w:autoSpaceDE w:val="0"/>
        <w:autoSpaceDN w:val="0"/>
        <w:adjustRightInd w:val="0"/>
        <w:spacing w:line="360" w:lineRule="auto"/>
      </w:pPr>
    </w:p>
    <w:p w:rsidR="00BC35B3" w:rsidRDefault="00BC35B3" w:rsidP="00BC35B3">
      <w:pPr>
        <w:autoSpaceDE w:val="0"/>
        <w:autoSpaceDN w:val="0"/>
        <w:adjustRightInd w:val="0"/>
        <w:spacing w:line="360" w:lineRule="auto"/>
      </w:pPr>
    </w:p>
    <w:p w:rsidR="00BC35B3" w:rsidRDefault="00BC35B3" w:rsidP="00BC35B3">
      <w:pPr>
        <w:autoSpaceDE w:val="0"/>
        <w:autoSpaceDN w:val="0"/>
        <w:adjustRightInd w:val="0"/>
        <w:spacing w:line="360" w:lineRule="auto"/>
        <w:ind w:hanging="284"/>
      </w:pPr>
      <w:proofErr w:type="gramStart"/>
      <w:r>
        <w:t>dc</w:t>
      </w:r>
      <w:bookmarkStart w:id="0" w:name="_GoBack"/>
      <w:bookmarkEnd w:id="0"/>
      <w:proofErr w:type="gramEnd"/>
    </w:p>
    <w:sectPr w:rsidR="00BC35B3" w:rsidSect="00C72607">
      <w:footerReference w:type="default" r:id="rId9"/>
      <w:pgSz w:w="12240" w:h="15840" w:code="1"/>
      <w:pgMar w:top="3289" w:right="1701" w:bottom="1701" w:left="1701" w:header="720" w:footer="720"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B3" w:rsidRDefault="00BC35B3" w:rsidP="00BC35B3">
      <w:r>
        <w:separator/>
      </w:r>
    </w:p>
  </w:endnote>
  <w:endnote w:type="continuationSeparator" w:id="0">
    <w:p w:rsidR="00BC35B3" w:rsidRDefault="00BC35B3" w:rsidP="00BC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3877"/>
      <w:docPartObj>
        <w:docPartGallery w:val="Page Numbers (Bottom of Page)"/>
        <w:docPartUnique/>
      </w:docPartObj>
    </w:sdtPr>
    <w:sdtContent>
      <w:p w:rsidR="00BC35B3" w:rsidRDefault="00BC35B3">
        <w:pPr>
          <w:pStyle w:val="Piedepgina"/>
          <w:jc w:val="center"/>
        </w:pPr>
        <w:r>
          <w:fldChar w:fldCharType="begin"/>
        </w:r>
        <w:r>
          <w:instrText>PAGE   \* MERGEFORMAT</w:instrText>
        </w:r>
        <w:r>
          <w:fldChar w:fldCharType="separate"/>
        </w:r>
        <w:r>
          <w:rPr>
            <w:noProof/>
          </w:rPr>
          <w:t>3</w:t>
        </w:r>
        <w:r>
          <w:fldChar w:fldCharType="end"/>
        </w:r>
      </w:p>
    </w:sdtContent>
  </w:sdt>
  <w:p w:rsidR="00BC35B3" w:rsidRDefault="00BC35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B3" w:rsidRDefault="00BC35B3" w:rsidP="00BC35B3">
      <w:r>
        <w:separator/>
      </w:r>
    </w:p>
  </w:footnote>
  <w:footnote w:type="continuationSeparator" w:id="0">
    <w:p w:rsidR="00BC35B3" w:rsidRDefault="00BC35B3" w:rsidP="00BC3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C079D8"/>
    <w:lvl w:ilvl="0">
      <w:numFmt w:val="bullet"/>
      <w:lvlText w:val="*"/>
      <w:lvlJc w:val="left"/>
    </w:lvl>
  </w:abstractNum>
  <w:abstractNum w:abstractNumId="1">
    <w:nsid w:val="7BD727EE"/>
    <w:multiLevelType w:val="hybridMultilevel"/>
    <w:tmpl w:val="78E41EF0"/>
    <w:lvl w:ilvl="0" w:tplc="41524BB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07"/>
    <w:rsid w:val="00330727"/>
    <w:rsid w:val="009D365A"/>
    <w:rsid w:val="00BC35B3"/>
    <w:rsid w:val="00C72607"/>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07"/>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5B3"/>
    <w:pPr>
      <w:ind w:left="720"/>
      <w:contextualSpacing/>
    </w:pPr>
  </w:style>
  <w:style w:type="paragraph" w:styleId="Encabezado">
    <w:name w:val="header"/>
    <w:basedOn w:val="Normal"/>
    <w:link w:val="EncabezadoCar"/>
    <w:uiPriority w:val="99"/>
    <w:unhideWhenUsed/>
    <w:rsid w:val="00BC35B3"/>
    <w:pPr>
      <w:tabs>
        <w:tab w:val="center" w:pos="4419"/>
        <w:tab w:val="right" w:pos="8838"/>
      </w:tabs>
    </w:pPr>
  </w:style>
  <w:style w:type="character" w:customStyle="1" w:styleId="EncabezadoCar">
    <w:name w:val="Encabezado Car"/>
    <w:basedOn w:val="Fuentedeprrafopredeter"/>
    <w:link w:val="Encabezado"/>
    <w:uiPriority w:val="99"/>
    <w:rsid w:val="00BC35B3"/>
    <w:rPr>
      <w:rFonts w:ascii="Arial" w:hAnsi="Arial"/>
      <w:sz w:val="24"/>
      <w:szCs w:val="24"/>
      <w:lang w:val="es-ES" w:eastAsia="es-ES"/>
    </w:rPr>
  </w:style>
  <w:style w:type="paragraph" w:styleId="Piedepgina">
    <w:name w:val="footer"/>
    <w:basedOn w:val="Normal"/>
    <w:link w:val="PiedepginaCar"/>
    <w:uiPriority w:val="99"/>
    <w:unhideWhenUsed/>
    <w:rsid w:val="00BC35B3"/>
    <w:pPr>
      <w:tabs>
        <w:tab w:val="center" w:pos="4419"/>
        <w:tab w:val="right" w:pos="8838"/>
      </w:tabs>
    </w:pPr>
  </w:style>
  <w:style w:type="character" w:customStyle="1" w:styleId="PiedepginaCar">
    <w:name w:val="Pie de página Car"/>
    <w:basedOn w:val="Fuentedeprrafopredeter"/>
    <w:link w:val="Piedepgina"/>
    <w:uiPriority w:val="99"/>
    <w:rsid w:val="00BC35B3"/>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07"/>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5B3"/>
    <w:pPr>
      <w:ind w:left="720"/>
      <w:contextualSpacing/>
    </w:pPr>
  </w:style>
  <w:style w:type="paragraph" w:styleId="Encabezado">
    <w:name w:val="header"/>
    <w:basedOn w:val="Normal"/>
    <w:link w:val="EncabezadoCar"/>
    <w:uiPriority w:val="99"/>
    <w:unhideWhenUsed/>
    <w:rsid w:val="00BC35B3"/>
    <w:pPr>
      <w:tabs>
        <w:tab w:val="center" w:pos="4419"/>
        <w:tab w:val="right" w:pos="8838"/>
      </w:tabs>
    </w:pPr>
  </w:style>
  <w:style w:type="character" w:customStyle="1" w:styleId="EncabezadoCar">
    <w:name w:val="Encabezado Car"/>
    <w:basedOn w:val="Fuentedeprrafopredeter"/>
    <w:link w:val="Encabezado"/>
    <w:uiPriority w:val="99"/>
    <w:rsid w:val="00BC35B3"/>
    <w:rPr>
      <w:rFonts w:ascii="Arial" w:hAnsi="Arial"/>
      <w:sz w:val="24"/>
      <w:szCs w:val="24"/>
      <w:lang w:val="es-ES" w:eastAsia="es-ES"/>
    </w:rPr>
  </w:style>
  <w:style w:type="paragraph" w:styleId="Piedepgina">
    <w:name w:val="footer"/>
    <w:basedOn w:val="Normal"/>
    <w:link w:val="PiedepginaCar"/>
    <w:uiPriority w:val="99"/>
    <w:unhideWhenUsed/>
    <w:rsid w:val="00BC35B3"/>
    <w:pPr>
      <w:tabs>
        <w:tab w:val="center" w:pos="4419"/>
        <w:tab w:val="right" w:pos="8838"/>
      </w:tabs>
    </w:pPr>
  </w:style>
  <w:style w:type="character" w:customStyle="1" w:styleId="PiedepginaCar">
    <w:name w:val="Pie de página Car"/>
    <w:basedOn w:val="Fuentedeprrafopredeter"/>
    <w:link w:val="Piedepgina"/>
    <w:uiPriority w:val="99"/>
    <w:rsid w:val="00BC35B3"/>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7D31-2CED-434B-B36D-1B1B5B0C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572</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2017-10-11T15:26:00Z</cp:lastPrinted>
  <dcterms:created xsi:type="dcterms:W3CDTF">2017-10-11T15:11:00Z</dcterms:created>
  <dcterms:modified xsi:type="dcterms:W3CDTF">2017-10-11T15:27:00Z</dcterms:modified>
</cp:coreProperties>
</file>