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34685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 w:rsidR="00D96C19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3217</w:t>
      </w:r>
      <w:r w:rsidRPr="0034685B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685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34685B" w:rsidRPr="0034685B" w:rsidRDefault="0034685B" w:rsidP="0034685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685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34685B" w:rsidRPr="0034685B" w:rsidRDefault="0034685B" w:rsidP="0034685B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34685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27</w:t>
      </w:r>
      <w:r w:rsidRPr="0034685B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SETIEMBRE </w:t>
      </w:r>
      <w:r w:rsidRPr="0034685B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2017</w:t>
      </w: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34685B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(E. E. Nº 2017-17-1-0005591, </w:t>
      </w:r>
      <w:proofErr w:type="spellStart"/>
      <w:r w:rsidRPr="0034685B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34685B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. N° 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4491</w:t>
      </w:r>
      <w:r w:rsidRPr="0034685B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17</w:t>
      </w:r>
      <w:r w:rsidRPr="0034685B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)</w:t>
      </w:r>
    </w:p>
    <w:p w:rsidR="0034685B" w:rsidRPr="0034685B" w:rsidRDefault="0034685B" w:rsidP="0034685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UY" w:eastAsia="es-ES"/>
        </w:rPr>
      </w:pPr>
    </w:p>
    <w:p w:rsidR="0034685B" w:rsidRDefault="0034685B" w:rsidP="004B4E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B4E1B" w:rsidRDefault="004B4E1B" w:rsidP="00D96C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</w:t>
      </w:r>
      <w:r w:rsidRPr="008B5814">
        <w:rPr>
          <w:rFonts w:ascii="Arial" w:hAnsi="Arial" w:cs="Arial"/>
          <w:sz w:val="24"/>
          <w:szCs w:val="24"/>
        </w:rPr>
        <w:t>l Ministerio de Transporte y Obras Públicas</w:t>
      </w:r>
      <w:r w:rsidR="008B6E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Compra Directa por Excepción </w:t>
      </w:r>
      <w:r w:rsidR="00D96C19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Nº 1088/2017, </w:t>
      </w:r>
      <w:r w:rsidR="008B6E57">
        <w:rPr>
          <w:rFonts w:ascii="Arial" w:hAnsi="Arial" w:cs="Arial"/>
          <w:sz w:val="24"/>
          <w:szCs w:val="24"/>
        </w:rPr>
        <w:t>cuyo objeto es</w:t>
      </w:r>
      <w:r>
        <w:rPr>
          <w:rFonts w:ascii="Arial" w:hAnsi="Arial" w:cs="Arial"/>
          <w:sz w:val="24"/>
          <w:szCs w:val="24"/>
        </w:rPr>
        <w:t xml:space="preserve"> la “Reconstrucción de un tramo de 52 metros de frente de muelle interior de la escollera del Puerto de Punta del Este.”, al amparo de lo preceptuado por el Artículo 33, </w:t>
      </w:r>
      <w:r w:rsidR="00D96C1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C), </w:t>
      </w:r>
      <w:r w:rsidR="0058457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9) del T.O.C.A.F.; </w:t>
      </w:r>
    </w:p>
    <w:p w:rsidR="004B4E1B" w:rsidRDefault="004B4E1B" w:rsidP="00D96C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Pr="008C7620">
        <w:rPr>
          <w:rFonts w:ascii="Arial" w:hAnsi="Arial" w:cs="Arial"/>
          <w:sz w:val="24"/>
          <w:szCs w:val="24"/>
        </w:rPr>
        <w:t xml:space="preserve">que luce </w:t>
      </w:r>
      <w:r w:rsidR="0058457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nforme </w:t>
      </w:r>
      <w:r w:rsidR="008B6E57">
        <w:rPr>
          <w:rFonts w:ascii="Arial" w:hAnsi="Arial" w:cs="Arial"/>
          <w:sz w:val="24"/>
          <w:szCs w:val="24"/>
        </w:rPr>
        <w:t xml:space="preserve">de fecha 19/7/17 suscripto por </w:t>
      </w:r>
      <w:r>
        <w:rPr>
          <w:rFonts w:ascii="Arial" w:hAnsi="Arial" w:cs="Arial"/>
          <w:sz w:val="24"/>
          <w:szCs w:val="24"/>
        </w:rPr>
        <w:t xml:space="preserve">el Área Coordinación, Planeamiento y Proyectos Portuarios, Área Obras, Área Gestión </w:t>
      </w:r>
      <w:r w:rsidR="005845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dministrativo </w:t>
      </w:r>
      <w:r w:rsidR="0058457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inanciero </w:t>
      </w:r>
      <w:r w:rsidR="005845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ontable, Asesoría Jurídica, </w:t>
      </w:r>
      <w:r w:rsidR="00E24D3D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que se adjunta propuesta de SACEEM para reparar un tramo de 52 metros de muelle interior de la escollera en el Puerto de Punta del Este</w:t>
      </w:r>
      <w:r w:rsidR="008B6E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presenta  importantes deterioros en su estructura de hormigón, así como socavaciones </w:t>
      </w:r>
      <w:proofErr w:type="gramStart"/>
      <w:r>
        <w:rPr>
          <w:rFonts w:ascii="Arial" w:hAnsi="Arial" w:cs="Arial"/>
          <w:sz w:val="24"/>
          <w:szCs w:val="24"/>
        </w:rPr>
        <w:t>tanto</w:t>
      </w:r>
      <w:proofErr w:type="gramEnd"/>
      <w:r>
        <w:rPr>
          <w:rFonts w:ascii="Arial" w:hAnsi="Arial" w:cs="Arial"/>
          <w:sz w:val="24"/>
          <w:szCs w:val="24"/>
        </w:rPr>
        <w:t xml:space="preserve"> en sus elementos de apoyo como en el talud interior de protección de la escollera, lo que claramente representa un potencial riesgo para los usuarios</w:t>
      </w:r>
      <w:r w:rsidR="0058457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B4E1B" w:rsidRDefault="004B4E1B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E24D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según expresa la Administración, la situación exige </w:t>
      </w:r>
      <w:r w:rsidR="008B6E57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monitoreo periódico para detectar señales que pudieran indicar el agravamiento de la situación estructural</w:t>
      </w:r>
      <w:r w:rsidR="008B6E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de por sí crítica. En ese eventual caso</w:t>
      </w:r>
      <w:r w:rsidR="00E24D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respuesta inmediata de la Administración sería la de impedir el uso del muelle</w:t>
      </w:r>
      <w:r w:rsidR="00063C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tanto para atraque de embarcaciones como para la circulación peatonal, lo que evidentemente repercutiría muy negativamente en los usuarios y en la percepción que se tiene del principal puerto deportivo del país</w:t>
      </w:r>
      <w:r w:rsidR="008B6E5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6E57" w:rsidRDefault="004B4E1B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C5FC7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063C9F">
        <w:rPr>
          <w:rFonts w:ascii="Arial" w:hAnsi="Arial" w:cs="Arial"/>
          <w:sz w:val="24"/>
          <w:szCs w:val="24"/>
        </w:rPr>
        <w:t xml:space="preserve"> asimismo</w:t>
      </w:r>
      <w:r w:rsidR="008B6E57">
        <w:rPr>
          <w:rFonts w:ascii="Arial" w:hAnsi="Arial" w:cs="Arial"/>
          <w:sz w:val="24"/>
          <w:szCs w:val="24"/>
        </w:rPr>
        <w:t>,</w:t>
      </w:r>
      <w:r w:rsidR="00063C9F">
        <w:rPr>
          <w:rFonts w:ascii="Arial" w:hAnsi="Arial" w:cs="Arial"/>
          <w:sz w:val="24"/>
          <w:szCs w:val="24"/>
        </w:rPr>
        <w:t xml:space="preserve"> se informa que</w:t>
      </w:r>
      <w:r>
        <w:rPr>
          <w:rFonts w:ascii="Arial" w:hAnsi="Arial" w:cs="Arial"/>
          <w:sz w:val="24"/>
          <w:szCs w:val="24"/>
        </w:rPr>
        <w:t xml:space="preserve"> la falla de uno de los tramos de 6 metros</w:t>
      </w:r>
      <w:r w:rsidR="00063C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claramente indicando la precariedad de todo el tramo de 52 metros de muelle sin reparar. La ejecución de</w:t>
      </w:r>
      <w:r w:rsidR="00063C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reconstrucción de los 52 metros de muelle faltante</w:t>
      </w:r>
      <w:r w:rsidR="00063C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prevista a principios de este año, para el </w:t>
      </w:r>
      <w:r w:rsidR="00063C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2018. Sin embargo</w:t>
      </w:r>
      <w:r w:rsidR="008B6E5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 situación detecta</w:t>
      </w:r>
      <w:r w:rsidR="00063C9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obliga a priorizar la ejecución de la obra de reconstrucción por razones de urgencia</w:t>
      </w:r>
      <w:r w:rsidR="00063C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una vez detectada la situación de riesgo estructural y el consecuente riesgo para los usua</w:t>
      </w:r>
      <w:r w:rsidRPr="00065BE4">
        <w:rPr>
          <w:rFonts w:ascii="Arial" w:hAnsi="Arial" w:cs="Arial"/>
          <w:sz w:val="24"/>
          <w:szCs w:val="24"/>
        </w:rPr>
        <w:t>rios del puerto</w:t>
      </w:r>
      <w:r w:rsidR="008B6E57">
        <w:rPr>
          <w:rFonts w:ascii="Arial" w:hAnsi="Arial" w:cs="Arial"/>
          <w:sz w:val="24"/>
          <w:szCs w:val="24"/>
        </w:rPr>
        <w:t>;</w:t>
      </w:r>
    </w:p>
    <w:p w:rsidR="004B4E1B" w:rsidRDefault="00D96C19" w:rsidP="00D96C1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8B6E57">
        <w:rPr>
          <w:rFonts w:ascii="Arial" w:hAnsi="Arial" w:cs="Arial"/>
          <w:b/>
          <w:sz w:val="24"/>
          <w:szCs w:val="24"/>
        </w:rPr>
        <w:t xml:space="preserve">4) </w:t>
      </w:r>
      <w:r w:rsidR="008B6E57">
        <w:rPr>
          <w:rFonts w:ascii="Arial" w:hAnsi="Arial" w:cs="Arial"/>
          <w:sz w:val="24"/>
          <w:szCs w:val="24"/>
        </w:rPr>
        <w:t>que e</w:t>
      </w:r>
      <w:r w:rsidR="004B4E1B">
        <w:rPr>
          <w:rFonts w:ascii="Arial" w:hAnsi="Arial" w:cs="Arial"/>
          <w:sz w:val="24"/>
          <w:szCs w:val="24"/>
        </w:rPr>
        <w:t>l monto cotizado por la empresa SACEEM resulta de recibo</w:t>
      </w:r>
      <w:r w:rsidR="00063C9F">
        <w:rPr>
          <w:rFonts w:ascii="Arial" w:hAnsi="Arial" w:cs="Arial"/>
          <w:sz w:val="24"/>
          <w:szCs w:val="24"/>
        </w:rPr>
        <w:t>,</w:t>
      </w:r>
      <w:r w:rsidR="004B4E1B">
        <w:rPr>
          <w:rFonts w:ascii="Arial" w:hAnsi="Arial" w:cs="Arial"/>
          <w:sz w:val="24"/>
          <w:szCs w:val="24"/>
        </w:rPr>
        <w:t xml:space="preserve"> comparándolo con lo oportunamente ofertado por dicha empresa en la Licitación Pública Nº 2/2007. Si bien la empresa prevé un plazo de 6 meses de obra en su oferta, se acordó con la misma que la obra principal sería ejecutada en 4</w:t>
      </w:r>
      <w:r w:rsidR="00063C9F">
        <w:rPr>
          <w:rFonts w:ascii="Arial" w:hAnsi="Arial" w:cs="Arial"/>
          <w:sz w:val="24"/>
          <w:szCs w:val="24"/>
        </w:rPr>
        <w:t xml:space="preserve"> o </w:t>
      </w:r>
      <w:r w:rsidR="004B4E1B">
        <w:rPr>
          <w:rFonts w:ascii="Arial" w:hAnsi="Arial" w:cs="Arial"/>
          <w:sz w:val="24"/>
          <w:szCs w:val="24"/>
        </w:rPr>
        <w:t xml:space="preserve">5 meses; </w:t>
      </w:r>
    </w:p>
    <w:p w:rsidR="004B4E1B" w:rsidRDefault="008B6E57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B4E1B" w:rsidRPr="002C5FC7">
        <w:rPr>
          <w:rFonts w:ascii="Arial" w:hAnsi="Arial" w:cs="Arial"/>
          <w:b/>
          <w:sz w:val="24"/>
          <w:szCs w:val="24"/>
        </w:rPr>
        <w:t>)</w:t>
      </w:r>
      <w:r w:rsidR="004B4E1B">
        <w:rPr>
          <w:rFonts w:ascii="Arial" w:hAnsi="Arial" w:cs="Arial"/>
          <w:sz w:val="24"/>
          <w:szCs w:val="24"/>
        </w:rPr>
        <w:t xml:space="preserve"> que en consecuencia, si la obra se iniciara el 1º de agosto de 2017</w:t>
      </w:r>
      <w:r w:rsidR="00063C9F">
        <w:rPr>
          <w:rFonts w:ascii="Arial" w:hAnsi="Arial" w:cs="Arial"/>
          <w:sz w:val="24"/>
          <w:szCs w:val="24"/>
        </w:rPr>
        <w:t>,</w:t>
      </w:r>
      <w:r w:rsidR="004B4E1B">
        <w:rPr>
          <w:rFonts w:ascii="Arial" w:hAnsi="Arial" w:cs="Arial"/>
          <w:sz w:val="24"/>
          <w:szCs w:val="24"/>
        </w:rPr>
        <w:t xml:space="preserve"> sería finalizada antes de fin de año (antes de la próxima temporada veraniega). El monto total </w:t>
      </w:r>
      <w:r>
        <w:rPr>
          <w:rFonts w:ascii="Arial" w:hAnsi="Arial" w:cs="Arial"/>
          <w:sz w:val="24"/>
          <w:szCs w:val="24"/>
        </w:rPr>
        <w:t>-que</w:t>
      </w:r>
      <w:r w:rsidR="004B4E1B">
        <w:rPr>
          <w:rFonts w:ascii="Arial" w:hAnsi="Arial" w:cs="Arial"/>
          <w:sz w:val="24"/>
          <w:szCs w:val="24"/>
        </w:rPr>
        <w:t xml:space="preserve"> incluye los rubros para el apoyo a la Dirección de Obra correspondientes a la contratación de un fiscal y al apoyo de buceo necesario para la inspección de las obras bajo agua</w:t>
      </w:r>
      <w:r>
        <w:rPr>
          <w:rFonts w:ascii="Arial" w:hAnsi="Arial" w:cs="Arial"/>
          <w:sz w:val="24"/>
          <w:szCs w:val="24"/>
        </w:rPr>
        <w:t xml:space="preserve">- </w:t>
      </w:r>
      <w:r w:rsidR="004B4E1B">
        <w:rPr>
          <w:rFonts w:ascii="Arial" w:hAnsi="Arial" w:cs="Arial"/>
          <w:sz w:val="24"/>
          <w:szCs w:val="24"/>
        </w:rPr>
        <w:t>es de</w:t>
      </w:r>
      <w:r w:rsidR="00393E57">
        <w:rPr>
          <w:rFonts w:ascii="Arial" w:hAnsi="Arial" w:cs="Arial"/>
          <w:sz w:val="24"/>
          <w:szCs w:val="24"/>
        </w:rPr>
        <w:t xml:space="preserve"> </w:t>
      </w:r>
      <w:r w:rsidR="004B4E1B">
        <w:rPr>
          <w:rFonts w:ascii="Arial" w:hAnsi="Arial" w:cs="Arial"/>
          <w:sz w:val="24"/>
          <w:szCs w:val="24"/>
        </w:rPr>
        <w:t>$ 32:768.049</w:t>
      </w:r>
      <w:r>
        <w:rPr>
          <w:rFonts w:ascii="Arial" w:hAnsi="Arial" w:cs="Arial"/>
          <w:sz w:val="24"/>
          <w:szCs w:val="24"/>
        </w:rPr>
        <w:t xml:space="preserve"> y</w:t>
      </w:r>
      <w:r w:rsidR="004B4E1B">
        <w:rPr>
          <w:rFonts w:ascii="Arial" w:hAnsi="Arial" w:cs="Arial"/>
          <w:sz w:val="24"/>
          <w:szCs w:val="24"/>
        </w:rPr>
        <w:t xml:space="preserve"> no incluye IVA, por tratarse de obras de un recinto portuario aduanero. Asimismo, incluye las leyes sociales declaradas por la empresa en su oferta; </w:t>
      </w:r>
    </w:p>
    <w:p w:rsidR="004B4E1B" w:rsidRDefault="008B6E57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B4E1B" w:rsidRPr="002C5FC7">
        <w:rPr>
          <w:rFonts w:ascii="Arial" w:hAnsi="Arial" w:cs="Arial"/>
          <w:b/>
          <w:sz w:val="24"/>
          <w:szCs w:val="24"/>
        </w:rPr>
        <w:t>)</w:t>
      </w:r>
      <w:r w:rsidR="004B4E1B">
        <w:rPr>
          <w:rFonts w:ascii="Arial" w:hAnsi="Arial" w:cs="Arial"/>
          <w:sz w:val="24"/>
          <w:szCs w:val="24"/>
        </w:rPr>
        <w:t xml:space="preserve"> que se adjunta c</w:t>
      </w:r>
      <w:r w:rsidR="004B4E1B" w:rsidRPr="002C5FC7">
        <w:rPr>
          <w:rFonts w:ascii="Arial" w:hAnsi="Arial" w:cs="Arial"/>
          <w:sz w:val="24"/>
          <w:szCs w:val="24"/>
        </w:rPr>
        <w:t>otización presentada por la empresa SACEEM, de fecha 14 de julio de 2017,  por la suma de $ 20:228.607, más monto imponible de mano de obra que asciende a la suma de $ 7:254.005, a valores julio 2017, válida por un plazo de 30 días, contados a partir de la fecha, siendo el plazo de ejecución de 140 días</w:t>
      </w:r>
      <w:r w:rsidR="004B4E1B">
        <w:rPr>
          <w:rFonts w:ascii="Arial" w:hAnsi="Arial" w:cs="Arial"/>
          <w:sz w:val="24"/>
          <w:szCs w:val="24"/>
        </w:rPr>
        <w:t xml:space="preserve">; </w:t>
      </w:r>
    </w:p>
    <w:p w:rsidR="00246DB5" w:rsidRDefault="008B6E57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46DB5" w:rsidRPr="00246DB5">
        <w:rPr>
          <w:rFonts w:ascii="Arial" w:hAnsi="Arial" w:cs="Arial"/>
          <w:b/>
          <w:sz w:val="24"/>
          <w:szCs w:val="24"/>
        </w:rPr>
        <w:t>)</w:t>
      </w:r>
      <w:r w:rsidR="00246DB5">
        <w:rPr>
          <w:rFonts w:ascii="Arial" w:hAnsi="Arial" w:cs="Arial"/>
          <w:sz w:val="24"/>
          <w:szCs w:val="24"/>
        </w:rPr>
        <w:t xml:space="preserve"> que con fecha 31 de julio de 2017, el MEF solicita</w:t>
      </w:r>
      <w:r>
        <w:rPr>
          <w:rFonts w:ascii="Arial" w:hAnsi="Arial" w:cs="Arial"/>
          <w:sz w:val="24"/>
          <w:szCs w:val="24"/>
        </w:rPr>
        <w:t>,</w:t>
      </w:r>
      <w:r w:rsidR="00246DB5">
        <w:rPr>
          <w:rFonts w:ascii="Arial" w:hAnsi="Arial" w:cs="Arial"/>
          <w:sz w:val="24"/>
          <w:szCs w:val="24"/>
        </w:rPr>
        <w:t xml:space="preserve"> a efectos de poder dar cumplimiento a lo dispuesto por el Artículo 738 de la Ley Nº 16.736 y Artículo</w:t>
      </w:r>
      <w:r w:rsidR="00E24D3D">
        <w:rPr>
          <w:rFonts w:ascii="Arial" w:hAnsi="Arial" w:cs="Arial"/>
          <w:sz w:val="24"/>
          <w:szCs w:val="24"/>
        </w:rPr>
        <w:t xml:space="preserve"> </w:t>
      </w:r>
      <w:r w:rsidR="00246DB5">
        <w:rPr>
          <w:rFonts w:ascii="Arial" w:hAnsi="Arial" w:cs="Arial"/>
          <w:sz w:val="24"/>
          <w:szCs w:val="24"/>
        </w:rPr>
        <w:t xml:space="preserve">11 del Decreto 90/000 de 3 de marzo de 2000, constancia de disponibilidad, un mínimo de dos cotizaciones adicionales del </w:t>
      </w:r>
      <w:r w:rsidR="00246DB5">
        <w:rPr>
          <w:rFonts w:ascii="Arial" w:hAnsi="Arial" w:cs="Arial"/>
          <w:sz w:val="24"/>
          <w:szCs w:val="24"/>
        </w:rPr>
        <w:lastRenderedPageBreak/>
        <w:t>objeto de la contratación, cuadros comparativos o cualquier otro antecedente que facilite la comparación con los precios y condiciones de mercado;</w:t>
      </w:r>
    </w:p>
    <w:p w:rsidR="004B4E1B" w:rsidRPr="002C5FC7" w:rsidRDefault="008B6E57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4B4E1B" w:rsidRPr="002C5FC7">
        <w:rPr>
          <w:rFonts w:ascii="Arial" w:hAnsi="Arial" w:cs="Arial"/>
          <w:b/>
          <w:sz w:val="24"/>
          <w:szCs w:val="24"/>
        </w:rPr>
        <w:t>)</w:t>
      </w:r>
      <w:r w:rsidR="004B4E1B">
        <w:rPr>
          <w:rFonts w:ascii="Arial" w:hAnsi="Arial" w:cs="Arial"/>
          <w:b/>
          <w:sz w:val="24"/>
          <w:szCs w:val="24"/>
        </w:rPr>
        <w:t xml:space="preserve"> </w:t>
      </w:r>
      <w:r w:rsidR="004B4E1B" w:rsidRPr="002C5FC7">
        <w:rPr>
          <w:rFonts w:ascii="Arial" w:hAnsi="Arial" w:cs="Arial"/>
          <w:sz w:val="24"/>
          <w:szCs w:val="24"/>
        </w:rPr>
        <w:t>que luce</w:t>
      </w:r>
      <w:r w:rsidR="004B4E1B">
        <w:rPr>
          <w:rFonts w:ascii="Arial" w:hAnsi="Arial" w:cs="Arial"/>
          <w:sz w:val="24"/>
          <w:szCs w:val="24"/>
        </w:rPr>
        <w:t xml:space="preserve"> </w:t>
      </w:r>
      <w:r w:rsidR="004B4E1B" w:rsidRPr="002C5FC7">
        <w:rPr>
          <w:rFonts w:ascii="Arial" w:hAnsi="Arial" w:cs="Arial"/>
          <w:sz w:val="24"/>
          <w:szCs w:val="24"/>
        </w:rPr>
        <w:t xml:space="preserve">Resolución del Poder Ejecutivo, de fecha 28 de agosto de 2017, mediante la cual se exonera </w:t>
      </w:r>
      <w:r w:rsidR="00246DB5">
        <w:rPr>
          <w:rFonts w:ascii="Arial" w:hAnsi="Arial" w:cs="Arial"/>
          <w:sz w:val="24"/>
          <w:szCs w:val="24"/>
        </w:rPr>
        <w:t>para el caso concreto y por vía de excepción</w:t>
      </w:r>
      <w:r w:rsidR="009C028D">
        <w:rPr>
          <w:rFonts w:ascii="Arial" w:hAnsi="Arial" w:cs="Arial"/>
          <w:sz w:val="24"/>
          <w:szCs w:val="24"/>
        </w:rPr>
        <w:t xml:space="preserve">, </w:t>
      </w:r>
      <w:r w:rsidR="00270697">
        <w:rPr>
          <w:rFonts w:ascii="Arial" w:hAnsi="Arial" w:cs="Arial"/>
          <w:sz w:val="24"/>
          <w:szCs w:val="24"/>
        </w:rPr>
        <w:t xml:space="preserve">al MTOP, </w:t>
      </w:r>
      <w:r w:rsidR="004B4E1B" w:rsidRPr="002C5FC7">
        <w:rPr>
          <w:rFonts w:ascii="Arial" w:hAnsi="Arial" w:cs="Arial"/>
          <w:sz w:val="24"/>
          <w:szCs w:val="24"/>
        </w:rPr>
        <w:t>del cumplimiento de lo dispuesto por el Artículo 11 del Decreto Nº 90/000</w:t>
      </w:r>
      <w:r w:rsidR="00270697">
        <w:rPr>
          <w:rFonts w:ascii="Arial" w:hAnsi="Arial" w:cs="Arial"/>
          <w:sz w:val="24"/>
          <w:szCs w:val="24"/>
        </w:rPr>
        <w:t xml:space="preserve">, </w:t>
      </w:r>
      <w:r w:rsidR="004B4E1B" w:rsidRPr="002C5FC7">
        <w:rPr>
          <w:rFonts w:ascii="Arial" w:hAnsi="Arial" w:cs="Arial"/>
          <w:sz w:val="24"/>
          <w:szCs w:val="24"/>
        </w:rPr>
        <w:t>para la contratación de la reconstrucción de 52 metros de frente del muelle interior de la escollera del Puerto de Punta del Este,</w:t>
      </w:r>
      <w:r w:rsidR="004B4E1B">
        <w:rPr>
          <w:rFonts w:ascii="Arial" w:hAnsi="Arial" w:cs="Arial"/>
          <w:sz w:val="24"/>
          <w:szCs w:val="24"/>
        </w:rPr>
        <w:t xml:space="preserve"> Departamento de Maldonado; </w:t>
      </w:r>
    </w:p>
    <w:p w:rsidR="004B4E1B" w:rsidRDefault="008B6E57" w:rsidP="00D96C1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B4E1B" w:rsidRPr="002C5FC7">
        <w:rPr>
          <w:rFonts w:ascii="Arial" w:hAnsi="Arial" w:cs="Arial"/>
          <w:b/>
          <w:sz w:val="24"/>
          <w:szCs w:val="24"/>
        </w:rPr>
        <w:t>)</w:t>
      </w:r>
      <w:r w:rsidR="004B4E1B">
        <w:rPr>
          <w:rFonts w:ascii="Arial" w:hAnsi="Arial" w:cs="Arial"/>
          <w:b/>
          <w:sz w:val="24"/>
          <w:szCs w:val="24"/>
        </w:rPr>
        <w:t xml:space="preserve"> </w:t>
      </w:r>
      <w:r w:rsidR="004B4E1B" w:rsidRPr="002C5FC7">
        <w:rPr>
          <w:rFonts w:ascii="Arial" w:hAnsi="Arial" w:cs="Arial"/>
          <w:sz w:val="24"/>
          <w:szCs w:val="24"/>
        </w:rPr>
        <w:t>que</w:t>
      </w:r>
      <w:r w:rsidR="004B4E1B">
        <w:rPr>
          <w:rFonts w:ascii="Arial" w:hAnsi="Arial" w:cs="Arial"/>
          <w:sz w:val="24"/>
          <w:szCs w:val="24"/>
        </w:rPr>
        <w:t xml:space="preserve"> </w:t>
      </w:r>
      <w:r w:rsidR="00246DB5">
        <w:rPr>
          <w:rFonts w:ascii="Arial" w:hAnsi="Arial" w:cs="Arial"/>
          <w:sz w:val="24"/>
          <w:szCs w:val="24"/>
        </w:rPr>
        <w:t>consta</w:t>
      </w:r>
      <w:r w:rsidR="004B4E1B">
        <w:rPr>
          <w:rFonts w:ascii="Arial" w:hAnsi="Arial" w:cs="Arial"/>
          <w:sz w:val="24"/>
          <w:szCs w:val="24"/>
        </w:rPr>
        <w:t xml:space="preserve"> </w:t>
      </w:r>
      <w:r w:rsidR="004B4E1B" w:rsidRPr="002C5FC7">
        <w:rPr>
          <w:rFonts w:ascii="Arial" w:hAnsi="Arial" w:cs="Arial"/>
          <w:sz w:val="24"/>
          <w:szCs w:val="24"/>
        </w:rPr>
        <w:t xml:space="preserve">Proyecto de Resolución del </w:t>
      </w:r>
      <w:r w:rsidR="00246DB5">
        <w:rPr>
          <w:rFonts w:ascii="Arial" w:hAnsi="Arial" w:cs="Arial"/>
          <w:sz w:val="24"/>
          <w:szCs w:val="24"/>
        </w:rPr>
        <w:t>Ministro de Transporte y Obras Públicas, a dictarse en ejercicio de atribuciones delegadas</w:t>
      </w:r>
      <w:r w:rsidR="004B4E1B" w:rsidRPr="002C5FC7">
        <w:rPr>
          <w:rFonts w:ascii="Arial" w:hAnsi="Arial" w:cs="Arial"/>
          <w:sz w:val="24"/>
          <w:szCs w:val="24"/>
        </w:rPr>
        <w:t xml:space="preserve">, </w:t>
      </w:r>
      <w:r w:rsidR="00246DB5">
        <w:rPr>
          <w:rFonts w:ascii="Arial" w:hAnsi="Arial" w:cs="Arial"/>
          <w:sz w:val="24"/>
          <w:szCs w:val="24"/>
        </w:rPr>
        <w:t>a</w:t>
      </w:r>
      <w:r w:rsidR="004B4E1B" w:rsidRPr="002C5FC7">
        <w:rPr>
          <w:rFonts w:ascii="Arial" w:hAnsi="Arial" w:cs="Arial"/>
          <w:sz w:val="24"/>
          <w:szCs w:val="24"/>
        </w:rPr>
        <w:t>djudica</w:t>
      </w:r>
      <w:r w:rsidR="00246DB5">
        <w:rPr>
          <w:rFonts w:ascii="Arial" w:hAnsi="Arial" w:cs="Arial"/>
          <w:sz w:val="24"/>
          <w:szCs w:val="24"/>
        </w:rPr>
        <w:t>ndo</w:t>
      </w:r>
      <w:r w:rsidR="004B4E1B" w:rsidRPr="002C5FC7">
        <w:rPr>
          <w:rFonts w:ascii="Arial" w:hAnsi="Arial" w:cs="Arial"/>
          <w:sz w:val="24"/>
          <w:szCs w:val="24"/>
        </w:rPr>
        <w:t xml:space="preserve"> la Compra Directa</w:t>
      </w:r>
      <w:r w:rsidR="00246DB5">
        <w:rPr>
          <w:rFonts w:ascii="Arial" w:hAnsi="Arial" w:cs="Arial"/>
          <w:sz w:val="24"/>
          <w:szCs w:val="24"/>
        </w:rPr>
        <w:t xml:space="preserve"> por Excepción </w:t>
      </w:r>
      <w:r w:rsidR="004B4E1B" w:rsidRPr="002C5FC7">
        <w:rPr>
          <w:rFonts w:ascii="Arial" w:hAnsi="Arial" w:cs="Arial"/>
          <w:sz w:val="24"/>
          <w:szCs w:val="24"/>
        </w:rPr>
        <w:t>Nº 1088/2017, a favor de SACEEM  por la suma de $ 32:768.0</w:t>
      </w:r>
      <w:r w:rsidR="004B4E1B">
        <w:rPr>
          <w:rFonts w:ascii="Arial" w:hAnsi="Arial" w:cs="Arial"/>
          <w:sz w:val="24"/>
          <w:szCs w:val="24"/>
        </w:rPr>
        <w:t>49 incluido Leyes Sociales</w:t>
      </w:r>
      <w:r w:rsidR="00E24D3D">
        <w:rPr>
          <w:rFonts w:ascii="Arial" w:hAnsi="Arial" w:cs="Arial"/>
          <w:sz w:val="24"/>
          <w:szCs w:val="24"/>
        </w:rPr>
        <w:t xml:space="preserve"> e imprevistos</w:t>
      </w:r>
      <w:r w:rsidR="004B4E1B">
        <w:rPr>
          <w:rFonts w:ascii="Arial" w:hAnsi="Arial" w:cs="Arial"/>
          <w:sz w:val="24"/>
          <w:szCs w:val="24"/>
        </w:rPr>
        <w:t xml:space="preserve">; </w:t>
      </w:r>
    </w:p>
    <w:p w:rsidR="00270697" w:rsidRDefault="004B4E1B" w:rsidP="00D96C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270697">
        <w:rPr>
          <w:rFonts w:ascii="Arial" w:hAnsi="Arial" w:cs="Arial"/>
          <w:b/>
          <w:sz w:val="24"/>
          <w:szCs w:val="24"/>
        </w:rPr>
        <w:t xml:space="preserve">1) </w:t>
      </w:r>
      <w:r w:rsidR="008B6E57">
        <w:rPr>
          <w:rFonts w:ascii="Arial" w:hAnsi="Arial" w:cs="Arial"/>
          <w:sz w:val="24"/>
          <w:szCs w:val="24"/>
        </w:rPr>
        <w:t>que la Administración actuante ha justificado</w:t>
      </w:r>
      <w:r w:rsidR="0096136E" w:rsidRPr="00C92521">
        <w:rPr>
          <w:rFonts w:ascii="Arial" w:hAnsi="Arial" w:cs="Arial"/>
          <w:sz w:val="24"/>
          <w:szCs w:val="24"/>
        </w:rPr>
        <w:t xml:space="preserve"> la causal de excepción invocada</w:t>
      </w:r>
      <w:r w:rsidR="008B6E57">
        <w:rPr>
          <w:rFonts w:ascii="Arial" w:hAnsi="Arial" w:cs="Arial"/>
          <w:sz w:val="24"/>
          <w:szCs w:val="24"/>
        </w:rPr>
        <w:t xml:space="preserve"> para prescindir del procedimiento competitivo, prevista</w:t>
      </w:r>
      <w:r w:rsidR="0096136E" w:rsidRPr="00C92521">
        <w:rPr>
          <w:rFonts w:ascii="Arial" w:hAnsi="Arial" w:cs="Arial"/>
          <w:sz w:val="24"/>
          <w:szCs w:val="24"/>
        </w:rPr>
        <w:t xml:space="preserve"> en el numeral 9</w:t>
      </w:r>
      <w:r w:rsidR="008B6E57">
        <w:rPr>
          <w:rFonts w:ascii="Arial" w:hAnsi="Arial" w:cs="Arial"/>
          <w:sz w:val="24"/>
          <w:szCs w:val="24"/>
        </w:rPr>
        <w:t>º</w:t>
      </w:r>
      <w:r w:rsidR="0096136E" w:rsidRPr="00C92521">
        <w:rPr>
          <w:rFonts w:ascii="Arial" w:hAnsi="Arial" w:cs="Arial"/>
          <w:sz w:val="24"/>
          <w:szCs w:val="24"/>
        </w:rPr>
        <w:t xml:space="preserve"> del </w:t>
      </w:r>
      <w:r w:rsidR="00D96C19">
        <w:rPr>
          <w:rFonts w:ascii="Arial" w:hAnsi="Arial" w:cs="Arial"/>
          <w:sz w:val="24"/>
          <w:szCs w:val="24"/>
        </w:rPr>
        <w:t>L</w:t>
      </w:r>
      <w:r w:rsidR="0096136E" w:rsidRPr="00C92521">
        <w:rPr>
          <w:rFonts w:ascii="Arial" w:hAnsi="Arial" w:cs="Arial"/>
          <w:sz w:val="24"/>
          <w:szCs w:val="24"/>
        </w:rPr>
        <w:t>iteral C) del Artículo 33 del TOCAF</w:t>
      </w:r>
      <w:r w:rsidR="0096136E">
        <w:rPr>
          <w:rFonts w:ascii="Arial" w:hAnsi="Arial" w:cs="Arial"/>
          <w:sz w:val="24"/>
          <w:szCs w:val="24"/>
        </w:rPr>
        <w:t xml:space="preserve">; </w:t>
      </w:r>
    </w:p>
    <w:p w:rsidR="00270697" w:rsidRDefault="00270697" w:rsidP="00D96C1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por Decreto Nº 90/00 de 3/3/00 se dispone que el MEF no hará lugar a la certificación prevista en el </w:t>
      </w:r>
      <w:r w:rsidR="00D96C19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738 de la </w:t>
      </w:r>
      <w:r w:rsidR="00D96C1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Ley 16736 de 5/1/96, cuando no se cumplan con determinadas condicionantes (constancia de disponibilidad, mínimo de dos cotizaciones adicionales del bien o servicio objeto de la contratación, cuadros comparativos o cualquier otro antecedente que facilite la comparación con los precios y condiciones de mercado);</w:t>
      </w:r>
    </w:p>
    <w:p w:rsidR="00716456" w:rsidRPr="0005777B" w:rsidRDefault="00270697" w:rsidP="00D96C19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exoneración por el Poder Ejecutivo al MTOP respecto a estas condiciones</w:t>
      </w:r>
      <w:r w:rsidR="00D062AE">
        <w:rPr>
          <w:rFonts w:ascii="Arial" w:hAnsi="Arial" w:cs="Arial"/>
          <w:sz w:val="24"/>
          <w:szCs w:val="24"/>
        </w:rPr>
        <w:t xml:space="preserve"> (Resultando 8)</w:t>
      </w:r>
      <w:r>
        <w:rPr>
          <w:rFonts w:ascii="Arial" w:hAnsi="Arial" w:cs="Arial"/>
          <w:sz w:val="24"/>
          <w:szCs w:val="24"/>
        </w:rPr>
        <w:t xml:space="preserve">, no implica necesariamente </w:t>
      </w:r>
      <w:r w:rsidR="00D062AE">
        <w:rPr>
          <w:rFonts w:ascii="Arial" w:hAnsi="Arial" w:cs="Arial"/>
          <w:sz w:val="24"/>
          <w:szCs w:val="24"/>
        </w:rPr>
        <w:t>prescindir de la certificación d</w:t>
      </w:r>
      <w:r>
        <w:rPr>
          <w:rFonts w:ascii="Arial" w:hAnsi="Arial" w:cs="Arial"/>
          <w:sz w:val="24"/>
          <w:szCs w:val="24"/>
        </w:rPr>
        <w:t>el MEF</w:t>
      </w:r>
      <w:r w:rsidR="00D062AE">
        <w:rPr>
          <w:rFonts w:ascii="Arial" w:hAnsi="Arial" w:cs="Arial"/>
          <w:sz w:val="24"/>
          <w:szCs w:val="24"/>
        </w:rPr>
        <w:t xml:space="preserve"> respecto a la</w:t>
      </w:r>
      <w:r>
        <w:rPr>
          <w:rFonts w:ascii="Arial" w:hAnsi="Arial" w:cs="Arial"/>
          <w:sz w:val="24"/>
          <w:szCs w:val="24"/>
        </w:rPr>
        <w:t xml:space="preserve"> causal invocada en el caso concreto</w:t>
      </w:r>
      <w:r w:rsidR="00D062AE">
        <w:rPr>
          <w:rFonts w:ascii="Arial" w:hAnsi="Arial" w:cs="Arial"/>
          <w:sz w:val="24"/>
          <w:szCs w:val="24"/>
        </w:rPr>
        <w:t xml:space="preserve">, conforme lo dispone el mismo </w:t>
      </w:r>
      <w:r w:rsidR="00D96C19">
        <w:rPr>
          <w:rFonts w:ascii="Arial" w:hAnsi="Arial" w:cs="Arial"/>
          <w:sz w:val="24"/>
          <w:szCs w:val="24"/>
        </w:rPr>
        <w:t>A</w:t>
      </w:r>
      <w:r w:rsidR="00D062AE">
        <w:rPr>
          <w:rFonts w:ascii="Arial" w:hAnsi="Arial" w:cs="Arial"/>
          <w:sz w:val="24"/>
          <w:szCs w:val="24"/>
        </w:rPr>
        <w:t>rt</w:t>
      </w:r>
      <w:r w:rsidR="00D96C19">
        <w:rPr>
          <w:rFonts w:ascii="Arial" w:hAnsi="Arial" w:cs="Arial"/>
          <w:sz w:val="24"/>
          <w:szCs w:val="24"/>
        </w:rPr>
        <w:t>ículo</w:t>
      </w:r>
      <w:r w:rsidR="00D062AE">
        <w:rPr>
          <w:rFonts w:ascii="Arial" w:hAnsi="Arial" w:cs="Arial"/>
          <w:sz w:val="24"/>
          <w:szCs w:val="24"/>
        </w:rPr>
        <w:t xml:space="preserve"> 33 del TOCAF</w:t>
      </w:r>
      <w:r>
        <w:rPr>
          <w:rFonts w:ascii="Arial" w:hAnsi="Arial" w:cs="Arial"/>
          <w:sz w:val="24"/>
          <w:szCs w:val="24"/>
        </w:rPr>
        <w:t>;</w:t>
      </w:r>
      <w:r w:rsidR="0096136E" w:rsidRPr="00C92521">
        <w:rPr>
          <w:rFonts w:ascii="Arial" w:hAnsi="Arial" w:cs="Arial"/>
          <w:sz w:val="24"/>
          <w:szCs w:val="24"/>
        </w:rPr>
        <w:t xml:space="preserve"> </w:t>
      </w:r>
      <w:r w:rsidR="00716456" w:rsidRPr="00716456">
        <w:rPr>
          <w:rFonts w:ascii="Arial" w:hAnsi="Arial" w:cs="Arial"/>
          <w:sz w:val="24"/>
          <w:szCs w:val="24"/>
        </w:rPr>
        <w:t xml:space="preserve"> </w:t>
      </w:r>
      <w:r w:rsidR="00716456">
        <w:rPr>
          <w:rFonts w:ascii="Arial" w:hAnsi="Arial" w:cs="Arial"/>
          <w:sz w:val="24"/>
          <w:szCs w:val="24"/>
        </w:rPr>
        <w:t xml:space="preserve"> </w:t>
      </w:r>
    </w:p>
    <w:p w:rsidR="00C92521" w:rsidRDefault="00C92521" w:rsidP="00D96C1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 w:rsidR="00B261D9">
        <w:rPr>
          <w:rFonts w:ascii="Arial" w:hAnsi="Arial" w:cs="Arial"/>
          <w:sz w:val="24"/>
          <w:szCs w:val="24"/>
        </w:rPr>
        <w:t xml:space="preserve">puesto y a lo dispuesto por el </w:t>
      </w:r>
      <w:r w:rsidR="00D96C19">
        <w:rPr>
          <w:rFonts w:ascii="Arial" w:hAnsi="Arial" w:cs="Arial"/>
          <w:sz w:val="24"/>
          <w:szCs w:val="24"/>
        </w:rPr>
        <w:t xml:space="preserve">         L</w:t>
      </w:r>
      <w:r w:rsidRPr="00C92521">
        <w:rPr>
          <w:rFonts w:ascii="Arial" w:hAnsi="Arial" w:cs="Arial"/>
          <w:sz w:val="24"/>
          <w:szCs w:val="24"/>
        </w:rPr>
        <w:t>iteral B) del Artículo 211 de la Constitución de la República;</w:t>
      </w:r>
    </w:p>
    <w:p w:rsidR="008B6E57" w:rsidRDefault="008B6E57" w:rsidP="00C9252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2521" w:rsidRDefault="00C92521" w:rsidP="00C9252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C92521" w:rsidRDefault="00C92521" w:rsidP="00310309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="00716456" w:rsidRPr="00716456">
        <w:rPr>
          <w:rFonts w:ascii="Arial" w:hAnsi="Arial" w:cs="Arial"/>
          <w:sz w:val="24"/>
          <w:szCs w:val="24"/>
        </w:rPr>
        <w:t>Obtenida la certificación del M</w:t>
      </w:r>
      <w:r w:rsidR="00310309">
        <w:rPr>
          <w:rFonts w:ascii="Arial" w:hAnsi="Arial" w:cs="Arial"/>
          <w:sz w:val="24"/>
          <w:szCs w:val="24"/>
        </w:rPr>
        <w:t xml:space="preserve">inisterio de </w:t>
      </w:r>
      <w:r w:rsidR="00716456" w:rsidRPr="00716456">
        <w:rPr>
          <w:rFonts w:ascii="Arial" w:hAnsi="Arial" w:cs="Arial"/>
          <w:sz w:val="24"/>
          <w:szCs w:val="24"/>
        </w:rPr>
        <w:t>E</w:t>
      </w:r>
      <w:r w:rsidR="00310309">
        <w:rPr>
          <w:rFonts w:ascii="Arial" w:hAnsi="Arial" w:cs="Arial"/>
          <w:sz w:val="24"/>
          <w:szCs w:val="24"/>
        </w:rPr>
        <w:t xml:space="preserve">conomía y </w:t>
      </w:r>
      <w:r w:rsidR="00716456" w:rsidRPr="00716456">
        <w:rPr>
          <w:rFonts w:ascii="Arial" w:hAnsi="Arial" w:cs="Arial"/>
          <w:sz w:val="24"/>
          <w:szCs w:val="24"/>
        </w:rPr>
        <w:t>F</w:t>
      </w:r>
      <w:r w:rsidR="00310309">
        <w:rPr>
          <w:rFonts w:ascii="Arial" w:hAnsi="Arial" w:cs="Arial"/>
          <w:sz w:val="24"/>
          <w:szCs w:val="24"/>
        </w:rPr>
        <w:t>inanzas</w:t>
      </w:r>
      <w:r w:rsidR="00716456" w:rsidRPr="00716456">
        <w:rPr>
          <w:rFonts w:ascii="Arial" w:hAnsi="Arial" w:cs="Arial"/>
          <w:sz w:val="24"/>
          <w:szCs w:val="24"/>
        </w:rPr>
        <w:t xml:space="preserve"> y d</w:t>
      </w:r>
      <w:r w:rsidRPr="00C92521">
        <w:rPr>
          <w:rFonts w:ascii="Arial" w:hAnsi="Arial" w:cs="Arial"/>
          <w:sz w:val="24"/>
          <w:szCs w:val="24"/>
        </w:rPr>
        <w:t>ictada la Resolución definitiva por el Ordenador competente</w:t>
      </w:r>
      <w:r>
        <w:rPr>
          <w:rFonts w:ascii="Arial" w:hAnsi="Arial" w:cs="Arial"/>
          <w:sz w:val="24"/>
          <w:szCs w:val="24"/>
        </w:rPr>
        <w:t>, cométese a la C</w:t>
      </w:r>
      <w:r w:rsidRPr="00C92521">
        <w:rPr>
          <w:rFonts w:ascii="Arial" w:hAnsi="Arial" w:cs="Arial"/>
          <w:sz w:val="24"/>
          <w:szCs w:val="24"/>
        </w:rPr>
        <w:t>ontadora Auditora destacada ante el</w:t>
      </w:r>
      <w:r w:rsidR="00992BCE">
        <w:rPr>
          <w:rFonts w:ascii="Arial" w:hAnsi="Arial" w:cs="Arial"/>
          <w:sz w:val="24"/>
          <w:szCs w:val="24"/>
        </w:rPr>
        <w:t xml:space="preserve"> Ministerio de Transporte y Obras Públicas</w:t>
      </w:r>
      <w:r w:rsidRPr="00C92521">
        <w:rPr>
          <w:rFonts w:ascii="Arial" w:hAnsi="Arial" w:cs="Arial"/>
          <w:sz w:val="24"/>
          <w:szCs w:val="24"/>
        </w:rPr>
        <w:t>, la intervención del gasto de</w:t>
      </w:r>
      <w:r w:rsidRPr="00C92521">
        <w:rPr>
          <w:rFonts w:ascii="Arial" w:hAnsi="Arial" w:cs="Arial"/>
          <w:b/>
          <w:sz w:val="24"/>
          <w:szCs w:val="24"/>
        </w:rPr>
        <w:t xml:space="preserve"> </w:t>
      </w:r>
      <w:r w:rsidR="00393E57">
        <w:rPr>
          <w:rFonts w:ascii="Arial" w:hAnsi="Arial" w:cs="Arial"/>
          <w:sz w:val="24"/>
          <w:szCs w:val="24"/>
        </w:rPr>
        <w:t>$ 32:768.049 (incluidas leyes sociales)</w:t>
      </w:r>
      <w:r>
        <w:rPr>
          <w:rFonts w:ascii="Arial" w:hAnsi="Arial" w:cs="Arial"/>
          <w:sz w:val="24"/>
          <w:szCs w:val="24"/>
        </w:rPr>
        <w:t xml:space="preserve">, a favor de la firma </w:t>
      </w:r>
      <w:r w:rsidR="00393E57">
        <w:rPr>
          <w:rFonts w:ascii="Arial" w:hAnsi="Arial" w:cs="Arial"/>
          <w:sz w:val="24"/>
          <w:szCs w:val="24"/>
        </w:rPr>
        <w:t xml:space="preserve">SACEEM, previo control de su imputación en el </w:t>
      </w:r>
      <w:r w:rsidR="002F3B09">
        <w:rPr>
          <w:rFonts w:ascii="Arial" w:hAnsi="Arial" w:cs="Arial"/>
          <w:sz w:val="24"/>
          <w:szCs w:val="24"/>
        </w:rPr>
        <w:t>G</w:t>
      </w:r>
      <w:r w:rsidR="00393E57">
        <w:rPr>
          <w:rFonts w:ascii="Arial" w:hAnsi="Arial" w:cs="Arial"/>
          <w:sz w:val="24"/>
          <w:szCs w:val="24"/>
        </w:rPr>
        <w:t>rupo adecuado con disponibilidad suficiente</w:t>
      </w:r>
      <w:r w:rsidR="00716456">
        <w:rPr>
          <w:rFonts w:ascii="Arial" w:hAnsi="Arial" w:cs="Arial"/>
          <w:sz w:val="24"/>
          <w:szCs w:val="24"/>
        </w:rPr>
        <w:t>;</w:t>
      </w:r>
    </w:p>
    <w:p w:rsidR="00C92521" w:rsidRDefault="00C92521" w:rsidP="0031030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2) </w:t>
      </w:r>
      <w:proofErr w:type="spellStart"/>
      <w:r>
        <w:rPr>
          <w:rFonts w:ascii="Arial" w:hAnsi="Arial" w:cs="Arial"/>
          <w:sz w:val="24"/>
          <w:szCs w:val="24"/>
        </w:rPr>
        <w:t>Cométese</w:t>
      </w:r>
      <w:proofErr w:type="spellEnd"/>
      <w:r w:rsidRPr="00C92521">
        <w:rPr>
          <w:rFonts w:ascii="Arial" w:hAnsi="Arial" w:cs="Arial"/>
          <w:sz w:val="24"/>
          <w:szCs w:val="24"/>
        </w:rPr>
        <w:t xml:space="preserve"> asimismo a la Contadora Auditora</w:t>
      </w:r>
      <w:r w:rsidR="002F3B09">
        <w:rPr>
          <w:rFonts w:ascii="Arial" w:hAnsi="Arial" w:cs="Arial"/>
          <w:sz w:val="24"/>
          <w:szCs w:val="24"/>
        </w:rPr>
        <w:t>,</w:t>
      </w:r>
      <w:r w:rsidRPr="00C92521">
        <w:rPr>
          <w:rFonts w:ascii="Arial" w:hAnsi="Arial" w:cs="Arial"/>
          <w:sz w:val="24"/>
          <w:szCs w:val="24"/>
        </w:rPr>
        <w:t xml:space="preserve"> la verificación del cumplimiento de que la Resolución Definitiva concuerde con las condiciones de la contratación sometidas a este Tribunal (Art. 8 de la Ordenanza N° 27 de fecha 22/5/58 en la redacción sustitutiva dispuesta por Resolución del Tribunal de Cuentas del 16/6/2010)</w:t>
      </w:r>
      <w:r w:rsidR="00310309">
        <w:rPr>
          <w:rFonts w:ascii="Arial" w:hAnsi="Arial" w:cs="Arial"/>
          <w:sz w:val="24"/>
          <w:szCs w:val="24"/>
        </w:rPr>
        <w:t>;</w:t>
      </w:r>
    </w:p>
    <w:p w:rsidR="00C92521" w:rsidRPr="00C92521" w:rsidRDefault="004221E5" w:rsidP="00310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92521" w:rsidRPr="00C92521">
        <w:rPr>
          <w:rFonts w:ascii="Arial" w:hAnsi="Arial" w:cs="Arial"/>
          <w:b/>
          <w:sz w:val="24"/>
          <w:szCs w:val="24"/>
        </w:rPr>
        <w:t xml:space="preserve">) </w:t>
      </w:r>
      <w:r w:rsidR="00C92521">
        <w:rPr>
          <w:rFonts w:ascii="Arial" w:hAnsi="Arial" w:cs="Arial"/>
          <w:sz w:val="24"/>
          <w:szCs w:val="24"/>
        </w:rPr>
        <w:t>Comuníquese</w:t>
      </w:r>
      <w:r w:rsidR="00C92521" w:rsidRPr="00C92521">
        <w:rPr>
          <w:rFonts w:ascii="Arial" w:hAnsi="Arial" w:cs="Arial"/>
          <w:sz w:val="24"/>
          <w:szCs w:val="24"/>
        </w:rPr>
        <w:t xml:space="preserve"> a la Contadora Auditora</w:t>
      </w:r>
      <w:r w:rsidR="00310309">
        <w:rPr>
          <w:rFonts w:ascii="Arial" w:hAnsi="Arial" w:cs="Arial"/>
          <w:sz w:val="24"/>
          <w:szCs w:val="24"/>
        </w:rPr>
        <w:t>;</w:t>
      </w:r>
    </w:p>
    <w:p w:rsidR="00C92521" w:rsidRPr="00C92521" w:rsidRDefault="004221E5" w:rsidP="003103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92521" w:rsidRPr="00C92521">
        <w:rPr>
          <w:rFonts w:ascii="Arial" w:hAnsi="Arial" w:cs="Arial"/>
          <w:b/>
          <w:sz w:val="24"/>
          <w:szCs w:val="24"/>
        </w:rPr>
        <w:t xml:space="preserve">) </w:t>
      </w:r>
      <w:r w:rsidR="00C92521" w:rsidRPr="00C92521">
        <w:rPr>
          <w:rFonts w:ascii="Arial" w:hAnsi="Arial" w:cs="Arial"/>
          <w:sz w:val="24"/>
          <w:szCs w:val="24"/>
        </w:rPr>
        <w:t>Dev</w:t>
      </w:r>
      <w:r w:rsidR="00E6658A">
        <w:rPr>
          <w:rFonts w:ascii="Arial" w:hAnsi="Arial" w:cs="Arial"/>
          <w:sz w:val="24"/>
          <w:szCs w:val="24"/>
        </w:rPr>
        <w:t>uélvase al Ministerio de Transporte y Obras Públicas.</w:t>
      </w:r>
    </w:p>
    <w:p w:rsidR="00661535" w:rsidRDefault="00661535" w:rsidP="00661535">
      <w:pPr>
        <w:pStyle w:val="Ttulo"/>
        <w:ind w:left="360" w:firstLine="348"/>
        <w:jc w:val="right"/>
        <w:rPr>
          <w:b w:val="0"/>
          <w:bCs/>
          <w:i/>
          <w:u w:val="none"/>
          <w:lang w:val="es-ES_tradnl"/>
        </w:rPr>
      </w:pPr>
    </w:p>
    <w:p w:rsidR="002F3B09" w:rsidRPr="00310309" w:rsidRDefault="00310309" w:rsidP="002F3B09">
      <w:pPr>
        <w:pStyle w:val="Ttulo"/>
        <w:jc w:val="both"/>
        <w:rPr>
          <w:b w:val="0"/>
          <w:bCs/>
          <w:u w:val="none"/>
          <w:lang w:val="es-ES_tradnl"/>
        </w:rPr>
      </w:pPr>
      <w:bookmarkStart w:id="0" w:name="_GoBack"/>
      <w:proofErr w:type="spellStart"/>
      <w:proofErr w:type="gramStart"/>
      <w:r w:rsidRPr="00310309">
        <w:rPr>
          <w:b w:val="0"/>
          <w:bCs/>
          <w:u w:val="none"/>
          <w:lang w:val="es-ES_tradnl"/>
        </w:rPr>
        <w:t>ag</w:t>
      </w:r>
      <w:bookmarkEnd w:id="0"/>
      <w:proofErr w:type="spellEnd"/>
      <w:proofErr w:type="gramEnd"/>
    </w:p>
    <w:sectPr w:rsidR="002F3B09" w:rsidRPr="00310309" w:rsidSect="0034685B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C1" w:rsidRDefault="00C43BC1" w:rsidP="006E20B4">
      <w:pPr>
        <w:spacing w:after="0" w:line="240" w:lineRule="auto"/>
      </w:pPr>
      <w:r>
        <w:separator/>
      </w:r>
    </w:p>
  </w:endnote>
  <w:endnote w:type="continuationSeparator" w:id="0">
    <w:p w:rsidR="00C43BC1" w:rsidRDefault="00C43BC1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727910"/>
      <w:docPartObj>
        <w:docPartGallery w:val="Page Numbers (Bottom of Page)"/>
        <w:docPartUnique/>
      </w:docPartObj>
    </w:sdtPr>
    <w:sdtEndPr/>
    <w:sdtContent>
      <w:p w:rsidR="00716456" w:rsidRDefault="0071645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309">
          <w:rPr>
            <w:noProof/>
          </w:rPr>
          <w:t>3</w:t>
        </w:r>
        <w:r>
          <w:fldChar w:fldCharType="end"/>
        </w:r>
      </w:p>
    </w:sdtContent>
  </w:sdt>
  <w:p w:rsidR="00716456" w:rsidRDefault="007164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C1" w:rsidRDefault="00C43BC1" w:rsidP="006E20B4">
      <w:pPr>
        <w:spacing w:after="0" w:line="240" w:lineRule="auto"/>
      </w:pPr>
      <w:r>
        <w:separator/>
      </w:r>
    </w:p>
  </w:footnote>
  <w:footnote w:type="continuationSeparator" w:id="0">
    <w:p w:rsidR="00C43BC1" w:rsidRDefault="00C43BC1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</w:lvl>
    <w:lvl w:ilvl="3" w:tplc="0C0A000F" w:tentative="1">
      <w:start w:val="1"/>
      <w:numFmt w:val="decimal"/>
      <w:lvlText w:val="%4."/>
      <w:lvlJc w:val="left"/>
      <w:pPr>
        <w:ind w:left="4020" w:hanging="360"/>
      </w:p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</w:lvl>
    <w:lvl w:ilvl="6" w:tplc="0C0A000F" w:tentative="1">
      <w:start w:val="1"/>
      <w:numFmt w:val="decimal"/>
      <w:lvlText w:val="%7."/>
      <w:lvlJc w:val="left"/>
      <w:pPr>
        <w:ind w:left="6180" w:hanging="360"/>
      </w:p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067FF"/>
    <w:rsid w:val="00013109"/>
    <w:rsid w:val="0002657B"/>
    <w:rsid w:val="000462D5"/>
    <w:rsid w:val="0005777B"/>
    <w:rsid w:val="00063C9F"/>
    <w:rsid w:val="00065BE4"/>
    <w:rsid w:val="000862DB"/>
    <w:rsid w:val="000976D7"/>
    <w:rsid w:val="000C2978"/>
    <w:rsid w:val="000F0559"/>
    <w:rsid w:val="00122D2B"/>
    <w:rsid w:val="00142088"/>
    <w:rsid w:val="00193761"/>
    <w:rsid w:val="001D1797"/>
    <w:rsid w:val="001D1E0E"/>
    <w:rsid w:val="001E1633"/>
    <w:rsid w:val="00246DB5"/>
    <w:rsid w:val="00267E43"/>
    <w:rsid w:val="00270697"/>
    <w:rsid w:val="0027414A"/>
    <w:rsid w:val="002C5FC7"/>
    <w:rsid w:val="002D41E6"/>
    <w:rsid w:val="002E54BE"/>
    <w:rsid w:val="002F20C2"/>
    <w:rsid w:val="002F3B09"/>
    <w:rsid w:val="00310309"/>
    <w:rsid w:val="0031484B"/>
    <w:rsid w:val="0032680A"/>
    <w:rsid w:val="0034685B"/>
    <w:rsid w:val="0036019B"/>
    <w:rsid w:val="00384CCD"/>
    <w:rsid w:val="00393E57"/>
    <w:rsid w:val="003E27F9"/>
    <w:rsid w:val="003E5C79"/>
    <w:rsid w:val="004221E5"/>
    <w:rsid w:val="004B4E1B"/>
    <w:rsid w:val="004D2E7E"/>
    <w:rsid w:val="004E6C34"/>
    <w:rsid w:val="00540659"/>
    <w:rsid w:val="00584574"/>
    <w:rsid w:val="005909E0"/>
    <w:rsid w:val="005E23D5"/>
    <w:rsid w:val="00621D75"/>
    <w:rsid w:val="00641C91"/>
    <w:rsid w:val="0065445F"/>
    <w:rsid w:val="00661535"/>
    <w:rsid w:val="00690C6C"/>
    <w:rsid w:val="006B5EB9"/>
    <w:rsid w:val="006D0A40"/>
    <w:rsid w:val="006D7C61"/>
    <w:rsid w:val="006E20B4"/>
    <w:rsid w:val="00716456"/>
    <w:rsid w:val="0073205C"/>
    <w:rsid w:val="00786675"/>
    <w:rsid w:val="007E7FAB"/>
    <w:rsid w:val="008104F3"/>
    <w:rsid w:val="00836BAB"/>
    <w:rsid w:val="00841AD4"/>
    <w:rsid w:val="008B5814"/>
    <w:rsid w:val="008B6E57"/>
    <w:rsid w:val="008C7620"/>
    <w:rsid w:val="00945564"/>
    <w:rsid w:val="0096136E"/>
    <w:rsid w:val="009764D1"/>
    <w:rsid w:val="00992BCE"/>
    <w:rsid w:val="009B0863"/>
    <w:rsid w:val="009C028D"/>
    <w:rsid w:val="009F000F"/>
    <w:rsid w:val="00A03E50"/>
    <w:rsid w:val="00A147A9"/>
    <w:rsid w:val="00A15BA1"/>
    <w:rsid w:val="00A323D9"/>
    <w:rsid w:val="00A4055F"/>
    <w:rsid w:val="00A55984"/>
    <w:rsid w:val="00A6009B"/>
    <w:rsid w:val="00A618E6"/>
    <w:rsid w:val="00A722A8"/>
    <w:rsid w:val="00A84E9A"/>
    <w:rsid w:val="00A86842"/>
    <w:rsid w:val="00AC1F4A"/>
    <w:rsid w:val="00AE073D"/>
    <w:rsid w:val="00AE4784"/>
    <w:rsid w:val="00AE4CE9"/>
    <w:rsid w:val="00B112D0"/>
    <w:rsid w:val="00B261D9"/>
    <w:rsid w:val="00B36277"/>
    <w:rsid w:val="00B527ED"/>
    <w:rsid w:val="00B85498"/>
    <w:rsid w:val="00BA289B"/>
    <w:rsid w:val="00BB55E6"/>
    <w:rsid w:val="00C12932"/>
    <w:rsid w:val="00C34A24"/>
    <w:rsid w:val="00C43BC1"/>
    <w:rsid w:val="00C805F1"/>
    <w:rsid w:val="00C92521"/>
    <w:rsid w:val="00C93711"/>
    <w:rsid w:val="00CE69ED"/>
    <w:rsid w:val="00CF252F"/>
    <w:rsid w:val="00CF6C2D"/>
    <w:rsid w:val="00D062AE"/>
    <w:rsid w:val="00D33288"/>
    <w:rsid w:val="00D96C19"/>
    <w:rsid w:val="00DD2641"/>
    <w:rsid w:val="00DD3D56"/>
    <w:rsid w:val="00DF5E49"/>
    <w:rsid w:val="00E10DDE"/>
    <w:rsid w:val="00E24D3D"/>
    <w:rsid w:val="00E6658A"/>
    <w:rsid w:val="00E67F0B"/>
    <w:rsid w:val="00EB3025"/>
    <w:rsid w:val="00EC131C"/>
    <w:rsid w:val="00EF3E1A"/>
    <w:rsid w:val="00F01E57"/>
    <w:rsid w:val="00F03BD8"/>
    <w:rsid w:val="00F22D2E"/>
    <w:rsid w:val="00F33CF9"/>
    <w:rsid w:val="00F420A7"/>
    <w:rsid w:val="00F85C5D"/>
    <w:rsid w:val="00FC10D7"/>
    <w:rsid w:val="00FD485B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0B4"/>
  </w:style>
  <w:style w:type="paragraph" w:styleId="Piedepgina">
    <w:name w:val="footer"/>
    <w:basedOn w:val="Normal"/>
    <w:link w:val="PiedepginaCar"/>
    <w:uiPriority w:val="99"/>
    <w:unhideWhenUsed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0B4"/>
  </w:style>
  <w:style w:type="paragraph" w:styleId="Ttulo">
    <w:name w:val="Title"/>
    <w:basedOn w:val="Normal"/>
    <w:link w:val="TtuloCar"/>
    <w:qFormat/>
    <w:rsid w:val="00EB3025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EB302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12D0"/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Andrea Gerner</cp:lastModifiedBy>
  <cp:revision>5</cp:revision>
  <cp:lastPrinted>2017-09-05T18:45:00Z</cp:lastPrinted>
  <dcterms:created xsi:type="dcterms:W3CDTF">2017-10-02T17:19:00Z</dcterms:created>
  <dcterms:modified xsi:type="dcterms:W3CDTF">2017-10-03T16:31:00Z</dcterms:modified>
</cp:coreProperties>
</file>