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DF" w:rsidRPr="00F26ADF" w:rsidRDefault="00F26ADF" w:rsidP="00F26ADF">
      <w:pPr>
        <w:tabs>
          <w:tab w:val="center" w:pos="4253"/>
        </w:tabs>
        <w:suppressAutoHyphens/>
        <w:jc w:val="right"/>
        <w:rPr>
          <w:rFonts w:ascii="Arial" w:hAnsi="Arial" w:cs="Arial"/>
          <w:szCs w:val="24"/>
          <w:lang w:val="es-ES_tradnl"/>
        </w:rPr>
      </w:pPr>
      <w:proofErr w:type="spellStart"/>
      <w:r w:rsidRPr="00F26ADF">
        <w:rPr>
          <w:rFonts w:ascii="Arial" w:hAnsi="Arial" w:cs="Arial"/>
          <w:szCs w:val="24"/>
          <w:lang w:val="es-ES_tradnl"/>
        </w:rPr>
        <w:t>RES.Nº</w:t>
      </w:r>
      <w:proofErr w:type="spellEnd"/>
      <w:r w:rsidR="00D945C3">
        <w:rPr>
          <w:rFonts w:ascii="Arial" w:hAnsi="Arial" w:cs="Arial"/>
          <w:szCs w:val="24"/>
          <w:lang w:val="es-ES_tradnl"/>
        </w:rPr>
        <w:t xml:space="preserve"> 3000</w:t>
      </w:r>
      <w:r w:rsidRPr="00F26ADF">
        <w:rPr>
          <w:rFonts w:ascii="Arial" w:hAnsi="Arial" w:cs="Arial"/>
          <w:szCs w:val="24"/>
          <w:lang w:val="es-ES_tradnl"/>
        </w:rPr>
        <w:t>/17</w:t>
      </w:r>
    </w:p>
    <w:p w:rsidR="00F26ADF" w:rsidRPr="00F26ADF" w:rsidRDefault="00F26ADF" w:rsidP="00F26A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F26ADF" w:rsidRPr="00F26ADF" w:rsidRDefault="00F26ADF" w:rsidP="00F26A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F26ADF">
        <w:rPr>
          <w:rFonts w:ascii="Arial" w:hAnsi="Arial" w:cs="Arial"/>
          <w:szCs w:val="24"/>
          <w:lang w:val="es-ES_tradnl"/>
        </w:rPr>
        <w:t>RESOLUCION ADOPTADA POR EL</w:t>
      </w:r>
    </w:p>
    <w:p w:rsidR="00F26ADF" w:rsidRPr="00F26ADF" w:rsidRDefault="00F26ADF" w:rsidP="00F26ADF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F26ADF" w:rsidRPr="00F26ADF" w:rsidRDefault="00F26ADF" w:rsidP="00F26A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F26ADF">
        <w:rPr>
          <w:rFonts w:ascii="Arial" w:hAnsi="Arial" w:cs="Arial"/>
          <w:szCs w:val="24"/>
          <w:lang w:val="es-ES_tradnl"/>
        </w:rPr>
        <w:t>TRIBUNAL DE CUENTAS</w:t>
      </w:r>
    </w:p>
    <w:p w:rsidR="00F26ADF" w:rsidRPr="00F26ADF" w:rsidRDefault="00F26ADF" w:rsidP="00F26ADF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F26ADF" w:rsidRPr="00F26ADF" w:rsidRDefault="00F26ADF" w:rsidP="00F26A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F26ADF">
        <w:rPr>
          <w:rFonts w:ascii="Arial" w:hAnsi="Arial" w:cs="Arial"/>
          <w:szCs w:val="24"/>
          <w:lang w:val="es-ES_tradnl"/>
        </w:rPr>
        <w:t>EN SESION DE FECHA 13 DE SETIEMBRE</w:t>
      </w:r>
      <w:r w:rsidRPr="00F26ADF">
        <w:rPr>
          <w:rFonts w:ascii="Arial" w:hAnsi="Arial" w:cs="Arial"/>
          <w:lang w:val="es-ES_tradnl"/>
        </w:rPr>
        <w:t xml:space="preserve"> </w:t>
      </w:r>
      <w:r w:rsidRPr="00F26ADF">
        <w:rPr>
          <w:rFonts w:ascii="Arial" w:hAnsi="Arial" w:cs="Arial"/>
          <w:szCs w:val="24"/>
          <w:lang w:val="es-ES_tradnl"/>
        </w:rPr>
        <w:t>DE 2017</w:t>
      </w:r>
    </w:p>
    <w:p w:rsidR="00F26ADF" w:rsidRPr="00F26ADF" w:rsidRDefault="00F26ADF" w:rsidP="00F26A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F26ADF" w:rsidRPr="00F26ADF" w:rsidRDefault="00F26ADF" w:rsidP="00F26ADF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F26ADF">
        <w:rPr>
          <w:rFonts w:ascii="Arial" w:hAnsi="Arial" w:cs="Arial"/>
          <w:szCs w:val="24"/>
          <w:lang w:val="es-ES_tradnl"/>
        </w:rPr>
        <w:t>(</w:t>
      </w:r>
      <w:proofErr w:type="spellStart"/>
      <w:r w:rsidRPr="00F26ADF">
        <w:rPr>
          <w:rFonts w:ascii="Arial" w:hAnsi="Arial" w:cs="Arial"/>
          <w:szCs w:val="24"/>
          <w:lang w:val="es-ES_tradnl"/>
        </w:rPr>
        <w:t>E.E.Nº</w:t>
      </w:r>
      <w:proofErr w:type="spellEnd"/>
      <w:r w:rsidRPr="00F26ADF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2017-17-1-0005414</w:t>
      </w:r>
      <w:r w:rsidRPr="00F26ADF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Pr="00F26ADF">
        <w:rPr>
          <w:rFonts w:ascii="Arial" w:hAnsi="Arial" w:cs="Arial"/>
          <w:szCs w:val="24"/>
          <w:lang w:val="es-ES_tradnl"/>
        </w:rPr>
        <w:t>Ent.N°</w:t>
      </w:r>
      <w:proofErr w:type="spellEnd"/>
      <w:r>
        <w:rPr>
          <w:rFonts w:ascii="Arial" w:hAnsi="Arial" w:cs="Arial"/>
          <w:szCs w:val="24"/>
          <w:lang w:val="es-ES_tradnl"/>
        </w:rPr>
        <w:t xml:space="preserve"> 4285</w:t>
      </w:r>
      <w:r w:rsidRPr="00F26ADF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17</w:t>
      </w:r>
      <w:r w:rsidRPr="00F26ADF">
        <w:rPr>
          <w:rFonts w:ascii="Arial" w:hAnsi="Arial" w:cs="Arial"/>
          <w:szCs w:val="24"/>
          <w:lang w:val="es-ES_tradnl"/>
        </w:rPr>
        <w:t>)</w:t>
      </w:r>
    </w:p>
    <w:p w:rsidR="00F26ADF" w:rsidRDefault="00F26ADF" w:rsidP="00751C0F">
      <w:pPr>
        <w:pStyle w:val="Ttulo2"/>
        <w:spacing w:line="360" w:lineRule="auto"/>
        <w:jc w:val="left"/>
        <w:rPr>
          <w:bCs/>
        </w:rPr>
      </w:pPr>
    </w:p>
    <w:p w:rsidR="00751C0F" w:rsidRDefault="00751C0F" w:rsidP="008B7DF4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VISTO: </w:t>
      </w:r>
      <w:r>
        <w:rPr>
          <w:b w:val="0"/>
          <w:bCs/>
          <w:u w:val="none"/>
        </w:rPr>
        <w:t xml:space="preserve">las actuaciones remitidas por </w:t>
      </w:r>
      <w:r w:rsidR="005370FF">
        <w:rPr>
          <w:b w:val="0"/>
          <w:bCs/>
          <w:u w:val="none"/>
        </w:rPr>
        <w:t>el Contador Delegado e</w:t>
      </w:r>
      <w:r w:rsidR="00214803">
        <w:rPr>
          <w:b w:val="0"/>
          <w:bCs/>
          <w:u w:val="none"/>
        </w:rPr>
        <w:t>n</w:t>
      </w:r>
      <w:r w:rsidR="005370FF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la Administración de los Servicios de Salud del Estado (ASSE)</w:t>
      </w:r>
      <w:r w:rsidR="005370FF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relacionadas con la</w:t>
      </w:r>
      <w:r w:rsidR="00D945C3">
        <w:rPr>
          <w:b w:val="0"/>
          <w:bCs/>
          <w:u w:val="none"/>
        </w:rPr>
        <w:t xml:space="preserve"> C</w:t>
      </w:r>
      <w:r w:rsidR="008B7DF4">
        <w:rPr>
          <w:b w:val="0"/>
          <w:bCs/>
          <w:u w:val="none"/>
        </w:rPr>
        <w:t xml:space="preserve">ontratación </w:t>
      </w:r>
      <w:r w:rsidR="00D945C3">
        <w:rPr>
          <w:b w:val="0"/>
          <w:bCs/>
          <w:u w:val="none"/>
        </w:rPr>
        <w:t>D</w:t>
      </w:r>
      <w:r w:rsidR="008B7DF4">
        <w:rPr>
          <w:b w:val="0"/>
          <w:bCs/>
          <w:u w:val="none"/>
        </w:rPr>
        <w:t xml:space="preserve">irecta </w:t>
      </w:r>
      <w:r w:rsidR="001039DA">
        <w:rPr>
          <w:b w:val="0"/>
          <w:bCs/>
          <w:u w:val="none"/>
        </w:rPr>
        <w:t xml:space="preserve">del Hospital Dr. Gustavo Saint Bois </w:t>
      </w:r>
      <w:r w:rsidR="008B7DF4">
        <w:rPr>
          <w:b w:val="0"/>
          <w:bCs/>
          <w:u w:val="none"/>
        </w:rPr>
        <w:t xml:space="preserve">con </w:t>
      </w:r>
      <w:r w:rsidR="0062403E">
        <w:rPr>
          <w:b w:val="0"/>
          <w:bCs/>
          <w:u w:val="none"/>
        </w:rPr>
        <w:t>la empresa VIRTESOL</w:t>
      </w:r>
      <w:r w:rsidR="001039DA">
        <w:rPr>
          <w:b w:val="0"/>
          <w:bCs/>
          <w:u w:val="none"/>
        </w:rPr>
        <w:t xml:space="preserve"> S</w:t>
      </w:r>
      <w:r w:rsidR="00214803">
        <w:rPr>
          <w:b w:val="0"/>
          <w:bCs/>
          <w:u w:val="none"/>
        </w:rPr>
        <w:t>.</w:t>
      </w:r>
      <w:r w:rsidR="001039DA">
        <w:rPr>
          <w:b w:val="0"/>
          <w:bCs/>
          <w:u w:val="none"/>
        </w:rPr>
        <w:t>A</w:t>
      </w:r>
      <w:r w:rsidR="00214803">
        <w:rPr>
          <w:b w:val="0"/>
          <w:bCs/>
          <w:u w:val="none"/>
        </w:rPr>
        <w:t>.</w:t>
      </w:r>
      <w:r w:rsidR="005370FF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para la </w:t>
      </w:r>
      <w:r w:rsidR="001039DA">
        <w:rPr>
          <w:b w:val="0"/>
          <w:bCs/>
          <w:u w:val="none"/>
        </w:rPr>
        <w:t>contratación del servicio de “seguridad y vigilancia”;</w:t>
      </w:r>
    </w:p>
    <w:p w:rsidR="00F26ADF" w:rsidRDefault="00751C0F" w:rsidP="008B7DF4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>RESULTANDO: 1)</w:t>
      </w:r>
      <w:r w:rsidR="001A5412">
        <w:rPr>
          <w:u w:val="none"/>
        </w:rPr>
        <w:t xml:space="preserve"> </w:t>
      </w:r>
      <w:r w:rsidR="001A5412">
        <w:rPr>
          <w:b w:val="0"/>
          <w:u w:val="none"/>
        </w:rPr>
        <w:t xml:space="preserve">que se remite </w:t>
      </w:r>
      <w:r w:rsidR="00F26ADF">
        <w:rPr>
          <w:b w:val="0"/>
          <w:u w:val="none"/>
        </w:rPr>
        <w:t>N</w:t>
      </w:r>
      <w:r w:rsidR="001A5412">
        <w:rPr>
          <w:b w:val="0"/>
          <w:u w:val="none"/>
        </w:rPr>
        <w:t>ota suscrita por el Contador Delegado e</w:t>
      </w:r>
      <w:r w:rsidR="00214803">
        <w:rPr>
          <w:b w:val="0"/>
          <w:u w:val="none"/>
        </w:rPr>
        <w:t>n</w:t>
      </w:r>
      <w:r w:rsidR="001A5412">
        <w:rPr>
          <w:b w:val="0"/>
          <w:u w:val="none"/>
        </w:rPr>
        <w:t xml:space="preserve"> dicha Administración de fecha 18</w:t>
      </w:r>
      <w:r w:rsidR="00F26ADF">
        <w:rPr>
          <w:b w:val="0"/>
          <w:u w:val="none"/>
        </w:rPr>
        <w:t>/08/</w:t>
      </w:r>
      <w:r w:rsidR="001A5412">
        <w:rPr>
          <w:b w:val="0"/>
          <w:u w:val="none"/>
        </w:rPr>
        <w:t xml:space="preserve">2017, mediante la que informa que el Hospital Dr. Gustavo Saint Bois ha contratado en forma </w:t>
      </w:r>
      <w:r w:rsidR="00F26ADF">
        <w:rPr>
          <w:b w:val="0"/>
          <w:u w:val="none"/>
        </w:rPr>
        <w:t xml:space="preserve">     </w:t>
      </w:r>
      <w:r w:rsidR="001A5412">
        <w:rPr>
          <w:b w:val="0"/>
          <w:u w:val="none"/>
        </w:rPr>
        <w:t xml:space="preserve">directa </w:t>
      </w:r>
      <w:r w:rsidR="0062403E">
        <w:rPr>
          <w:b w:val="0"/>
          <w:u w:val="none"/>
        </w:rPr>
        <w:t xml:space="preserve">con la citada empresa, </w:t>
      </w:r>
      <w:r w:rsidR="00F26ADF">
        <w:rPr>
          <w:b w:val="0"/>
          <w:u w:val="none"/>
        </w:rPr>
        <w:t>durante el presente Ejercicio</w:t>
      </w:r>
      <w:r w:rsidR="001A5412">
        <w:rPr>
          <w:b w:val="0"/>
          <w:u w:val="none"/>
        </w:rPr>
        <w:t xml:space="preserve"> por la suma de </w:t>
      </w:r>
      <w:r w:rsidR="00F26ADF">
        <w:rPr>
          <w:b w:val="0"/>
          <w:u w:val="none"/>
        </w:rPr>
        <w:t xml:space="preserve">       </w:t>
      </w:r>
      <w:r w:rsidR="001A5412">
        <w:rPr>
          <w:b w:val="0"/>
          <w:u w:val="none"/>
        </w:rPr>
        <w:t xml:space="preserve">$ 9:566.895, lo que surge de la Afectación Nº 52 </w:t>
      </w:r>
      <w:r w:rsidR="00255BD1">
        <w:rPr>
          <w:b w:val="0"/>
          <w:u w:val="none"/>
        </w:rPr>
        <w:t>del año fiscal 2017</w:t>
      </w:r>
      <w:r w:rsidR="001A5412">
        <w:rPr>
          <w:b w:val="0"/>
          <w:u w:val="none"/>
        </w:rPr>
        <w:t>. Asimismo, expres</w:t>
      </w:r>
      <w:r w:rsidR="00255BD1">
        <w:rPr>
          <w:b w:val="0"/>
          <w:u w:val="none"/>
        </w:rPr>
        <w:t>a</w:t>
      </w:r>
      <w:r w:rsidR="001A5412">
        <w:rPr>
          <w:b w:val="0"/>
          <w:u w:val="none"/>
        </w:rPr>
        <w:t xml:space="preserve"> que </w:t>
      </w:r>
      <w:r w:rsidR="000D2DB4">
        <w:rPr>
          <w:b w:val="0"/>
          <w:u w:val="none"/>
        </w:rPr>
        <w:t>el monto de la contratación exce</w:t>
      </w:r>
      <w:r w:rsidR="00F26ADF">
        <w:rPr>
          <w:b w:val="0"/>
          <w:u w:val="none"/>
        </w:rPr>
        <w:t>de  su potestad de intervención;</w:t>
      </w:r>
    </w:p>
    <w:p w:rsidR="00F26ADF" w:rsidRDefault="000D2DB4" w:rsidP="00F26ADF">
      <w:pPr>
        <w:pStyle w:val="Ttulo"/>
        <w:ind w:firstLine="2694"/>
        <w:jc w:val="both"/>
        <w:rPr>
          <w:b w:val="0"/>
          <w:u w:val="none"/>
        </w:rPr>
      </w:pPr>
      <w:r>
        <w:rPr>
          <w:u w:val="none"/>
        </w:rPr>
        <w:t xml:space="preserve">2) </w:t>
      </w:r>
      <w:r>
        <w:rPr>
          <w:b w:val="0"/>
          <w:u w:val="none"/>
        </w:rPr>
        <w:t>que se adjunta factura Crédito Nº 000341 de fecha 30</w:t>
      </w:r>
      <w:r w:rsidR="00F26ADF">
        <w:rPr>
          <w:b w:val="0"/>
          <w:u w:val="none"/>
        </w:rPr>
        <w:t>/0</w:t>
      </w:r>
      <w:r w:rsidR="00EF65DF">
        <w:rPr>
          <w:b w:val="0"/>
          <w:u w:val="none"/>
        </w:rPr>
        <w:t>6</w:t>
      </w:r>
      <w:r w:rsidR="00F26ADF">
        <w:rPr>
          <w:b w:val="0"/>
          <w:u w:val="none"/>
        </w:rPr>
        <w:t>/</w:t>
      </w:r>
      <w:r>
        <w:rPr>
          <w:b w:val="0"/>
          <w:u w:val="none"/>
        </w:rPr>
        <w:t>2017, por la suma de $ 1:561.889,31;</w:t>
      </w:r>
    </w:p>
    <w:p w:rsidR="00F83DAA" w:rsidRPr="00F83DAA" w:rsidRDefault="00F83DAA" w:rsidP="00F26ADF">
      <w:pPr>
        <w:pStyle w:val="Ttulo"/>
        <w:ind w:firstLine="2694"/>
        <w:jc w:val="both"/>
        <w:rPr>
          <w:b w:val="0"/>
          <w:u w:val="none"/>
        </w:rPr>
      </w:pPr>
      <w:bookmarkStart w:id="0" w:name="_GoBack"/>
      <w:bookmarkEnd w:id="0"/>
      <w:r>
        <w:rPr>
          <w:u w:val="none"/>
        </w:rPr>
        <w:t xml:space="preserve">3) </w:t>
      </w:r>
      <w:r w:rsidR="0062403E">
        <w:rPr>
          <w:b w:val="0"/>
          <w:u w:val="none"/>
        </w:rPr>
        <w:t xml:space="preserve">que lucen Documentos de Afectación Nº 000052, Compromiso Nº 006 </w:t>
      </w:r>
      <w:r w:rsidR="00F26ADF">
        <w:rPr>
          <w:b w:val="0"/>
          <w:u w:val="none"/>
        </w:rPr>
        <w:t>y Obligación Nº 001</w:t>
      </w:r>
      <w:r w:rsidR="00214803">
        <w:rPr>
          <w:b w:val="0"/>
          <w:u w:val="none"/>
        </w:rPr>
        <w:t xml:space="preserve"> </w:t>
      </w:r>
      <w:r w:rsidR="00F26ADF">
        <w:rPr>
          <w:b w:val="0"/>
          <w:u w:val="none"/>
        </w:rPr>
        <w:t>de fecha 17/07/</w:t>
      </w:r>
      <w:r w:rsidR="0062403E">
        <w:rPr>
          <w:b w:val="0"/>
          <w:u w:val="none"/>
        </w:rPr>
        <w:t>2017, por un total nominal de $ 1:561.889;</w:t>
      </w:r>
    </w:p>
    <w:p w:rsidR="00D945C3" w:rsidRDefault="0062403E" w:rsidP="00D945C3">
      <w:pPr>
        <w:spacing w:line="360" w:lineRule="auto"/>
        <w:ind w:firstLine="709"/>
        <w:jc w:val="both"/>
        <w:rPr>
          <w:rFonts w:ascii="Arial" w:hAnsi="Arial" w:cs="Arial"/>
          <w:b w:val="0"/>
          <w:szCs w:val="24"/>
          <w:lang w:val="es-UY"/>
        </w:rPr>
      </w:pPr>
      <w:r>
        <w:rPr>
          <w:rFonts w:ascii="Arial" w:hAnsi="Arial" w:cs="Arial"/>
          <w:bCs/>
        </w:rPr>
        <w:t>CONSIDERANDO:</w:t>
      </w:r>
      <w:r w:rsidR="004E5E96" w:rsidRPr="00A130B9">
        <w:rPr>
          <w:rFonts w:ascii="Arial" w:hAnsi="Arial" w:cs="Arial"/>
          <w:szCs w:val="24"/>
          <w:lang w:val="es-UY"/>
        </w:rPr>
        <w:t>1</w:t>
      </w:r>
      <w:r w:rsidR="004E5E96" w:rsidRPr="00255BD1">
        <w:rPr>
          <w:rFonts w:ascii="Arial" w:hAnsi="Arial" w:cs="Arial"/>
          <w:szCs w:val="24"/>
          <w:lang w:val="es-UY"/>
        </w:rPr>
        <w:t>)</w:t>
      </w:r>
      <w:r w:rsidR="0090604B">
        <w:rPr>
          <w:rFonts w:ascii="Arial" w:hAnsi="Arial" w:cs="Arial"/>
          <w:b w:val="0"/>
          <w:szCs w:val="24"/>
          <w:lang w:val="es-UY"/>
        </w:rPr>
        <w:t xml:space="preserve"> que </w:t>
      </w:r>
      <w:r w:rsidR="00D945C3">
        <w:rPr>
          <w:rFonts w:ascii="Arial" w:hAnsi="Arial" w:cs="Arial"/>
          <w:b w:val="0"/>
          <w:szCs w:val="24"/>
          <w:lang w:val="es-UY"/>
        </w:rPr>
        <w:t xml:space="preserve">lo ejecutado en el año asciende a </w:t>
      </w:r>
      <w:r w:rsidR="004E5E96" w:rsidRPr="004E5E96">
        <w:rPr>
          <w:rFonts w:ascii="Arial" w:hAnsi="Arial" w:cs="Arial"/>
          <w:b w:val="0"/>
        </w:rPr>
        <w:t>$ 9:566.895</w:t>
      </w:r>
      <w:r w:rsidR="004E5E96" w:rsidRPr="004E5E96">
        <w:rPr>
          <w:rFonts w:ascii="Arial" w:hAnsi="Arial" w:cs="Arial"/>
          <w:b w:val="0"/>
          <w:szCs w:val="24"/>
          <w:lang w:val="es-UY"/>
        </w:rPr>
        <w:t xml:space="preserve">, </w:t>
      </w:r>
      <w:r w:rsidR="00D945C3">
        <w:rPr>
          <w:rFonts w:ascii="Arial" w:hAnsi="Arial" w:cs="Arial"/>
          <w:b w:val="0"/>
          <w:szCs w:val="24"/>
          <w:lang w:val="es-UY"/>
        </w:rPr>
        <w:t xml:space="preserve">por lo que </w:t>
      </w:r>
      <w:r w:rsidR="004E5E96" w:rsidRPr="004E5E96">
        <w:rPr>
          <w:rFonts w:ascii="Arial" w:hAnsi="Arial" w:cs="Arial"/>
          <w:b w:val="0"/>
          <w:szCs w:val="24"/>
          <w:lang w:val="es-UY"/>
        </w:rPr>
        <w:t xml:space="preserve">debió realizarse un procedimiento de </w:t>
      </w:r>
      <w:r w:rsidR="00214803">
        <w:rPr>
          <w:rFonts w:ascii="Arial" w:hAnsi="Arial" w:cs="Arial"/>
          <w:b w:val="0"/>
          <w:szCs w:val="24"/>
          <w:lang w:val="es-UY"/>
        </w:rPr>
        <w:t>L</w:t>
      </w:r>
      <w:r w:rsidR="004E5E96" w:rsidRPr="004E5E96">
        <w:rPr>
          <w:rFonts w:ascii="Arial" w:hAnsi="Arial" w:cs="Arial"/>
          <w:b w:val="0"/>
          <w:szCs w:val="24"/>
          <w:lang w:val="es-UY"/>
        </w:rPr>
        <w:t xml:space="preserve">icitación </w:t>
      </w:r>
      <w:r w:rsidR="00214803">
        <w:rPr>
          <w:rFonts w:ascii="Arial" w:hAnsi="Arial" w:cs="Arial"/>
          <w:b w:val="0"/>
          <w:szCs w:val="24"/>
          <w:lang w:val="es-UY"/>
        </w:rPr>
        <w:t>P</w:t>
      </w:r>
      <w:r w:rsidR="004E5E96" w:rsidRPr="004E5E96">
        <w:rPr>
          <w:rFonts w:ascii="Arial" w:hAnsi="Arial" w:cs="Arial"/>
          <w:b w:val="0"/>
          <w:szCs w:val="24"/>
          <w:lang w:val="es-UY"/>
        </w:rPr>
        <w:t xml:space="preserve">ública;  </w:t>
      </w:r>
    </w:p>
    <w:p w:rsidR="00D945C3" w:rsidRDefault="004E5E96" w:rsidP="00D945C3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>2)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no surgen acreditados los fundamentos que habiliten la referida contratación</w:t>
      </w:r>
      <w:r w:rsidR="0090604B">
        <w:rPr>
          <w:rFonts w:ascii="Arial" w:hAnsi="Arial" w:cs="Arial"/>
          <w:b w:val="0"/>
          <w:szCs w:val="24"/>
          <w:lang w:val="es-UY"/>
        </w:rPr>
        <w:t xml:space="preserve"> en forma directa</w:t>
      </w:r>
      <w:r w:rsidR="00F26ADF">
        <w:rPr>
          <w:rFonts w:ascii="Arial" w:hAnsi="Arial" w:cs="Arial"/>
          <w:b w:val="0"/>
          <w:szCs w:val="24"/>
          <w:lang w:val="es-UY"/>
        </w:rPr>
        <w:t>;</w:t>
      </w:r>
    </w:p>
    <w:p w:rsidR="00F26ADF" w:rsidRDefault="004E5E96" w:rsidP="00F26ADF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>3)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existe fraccionamiento del gasto, sin expresa constancia de su fundamento y de su conveniencia para el servicio, por parte del </w:t>
      </w:r>
      <w:r w:rsidR="00255BD1">
        <w:rPr>
          <w:rFonts w:ascii="Arial" w:hAnsi="Arial" w:cs="Arial"/>
          <w:b w:val="0"/>
          <w:szCs w:val="24"/>
          <w:lang w:val="es-UY"/>
        </w:rPr>
        <w:t>O</w:t>
      </w:r>
      <w:r w:rsidRPr="004E5E96">
        <w:rPr>
          <w:rFonts w:ascii="Arial" w:hAnsi="Arial" w:cs="Arial"/>
          <w:b w:val="0"/>
          <w:szCs w:val="24"/>
          <w:lang w:val="es-UY"/>
        </w:rPr>
        <w:t>rdenador competente</w:t>
      </w:r>
      <w:r w:rsidR="0090604B">
        <w:rPr>
          <w:rFonts w:ascii="Arial" w:hAnsi="Arial" w:cs="Arial"/>
          <w:b w:val="0"/>
          <w:szCs w:val="24"/>
          <w:lang w:val="es-UY"/>
        </w:rPr>
        <w:t xml:space="preserve"> en contravención a lo dispuesto por el A</w:t>
      </w:r>
      <w:r w:rsidR="00F26ADF">
        <w:rPr>
          <w:rFonts w:ascii="Arial" w:hAnsi="Arial" w:cs="Arial"/>
          <w:b w:val="0"/>
          <w:szCs w:val="24"/>
          <w:lang w:val="es-UY"/>
        </w:rPr>
        <w:t>r</w:t>
      </w:r>
      <w:r w:rsidR="00D945C3">
        <w:rPr>
          <w:rFonts w:ascii="Arial" w:hAnsi="Arial" w:cs="Arial"/>
          <w:b w:val="0"/>
          <w:szCs w:val="24"/>
          <w:lang w:val="es-UY"/>
        </w:rPr>
        <w:t>t</w:t>
      </w:r>
      <w:r w:rsidR="00F26ADF">
        <w:rPr>
          <w:rFonts w:ascii="Arial" w:hAnsi="Arial" w:cs="Arial"/>
          <w:b w:val="0"/>
          <w:szCs w:val="24"/>
          <w:lang w:val="es-UY"/>
        </w:rPr>
        <w:t>ículo</w:t>
      </w:r>
      <w:r w:rsidR="0090604B">
        <w:rPr>
          <w:rFonts w:ascii="Arial" w:hAnsi="Arial" w:cs="Arial"/>
          <w:b w:val="0"/>
          <w:szCs w:val="24"/>
          <w:lang w:val="es-UY"/>
        </w:rPr>
        <w:t xml:space="preserve"> 4</w:t>
      </w:r>
      <w:r w:rsidR="00D945C3">
        <w:rPr>
          <w:rFonts w:ascii="Arial" w:hAnsi="Arial" w:cs="Arial"/>
          <w:b w:val="0"/>
          <w:szCs w:val="24"/>
          <w:lang w:val="es-UY"/>
        </w:rPr>
        <w:t>3</w:t>
      </w:r>
      <w:r w:rsidR="0090604B">
        <w:rPr>
          <w:rFonts w:ascii="Arial" w:hAnsi="Arial" w:cs="Arial"/>
          <w:b w:val="0"/>
          <w:szCs w:val="24"/>
          <w:lang w:val="es-UY"/>
        </w:rPr>
        <w:t xml:space="preserve"> del TOCAF</w:t>
      </w:r>
      <w:r w:rsidRPr="004E5E96">
        <w:rPr>
          <w:rFonts w:ascii="Arial" w:hAnsi="Arial" w:cs="Arial"/>
          <w:b w:val="0"/>
          <w:szCs w:val="24"/>
          <w:lang w:val="es-UY"/>
        </w:rPr>
        <w:t xml:space="preserve">; </w:t>
      </w:r>
    </w:p>
    <w:p w:rsidR="00F26ADF" w:rsidRDefault="004E5E96" w:rsidP="00F26ADF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lastRenderedPageBreak/>
        <w:t>4)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no se efectuó la publicación establec</w:t>
      </w:r>
      <w:r w:rsidR="00F26ADF">
        <w:rPr>
          <w:rFonts w:ascii="Arial" w:hAnsi="Arial" w:cs="Arial"/>
          <w:b w:val="0"/>
          <w:szCs w:val="24"/>
          <w:lang w:val="es-UY"/>
        </w:rPr>
        <w:t>i</w:t>
      </w:r>
      <w:r w:rsidRPr="004E5E96">
        <w:rPr>
          <w:rFonts w:ascii="Arial" w:hAnsi="Arial" w:cs="Arial"/>
          <w:b w:val="0"/>
          <w:szCs w:val="24"/>
          <w:lang w:val="es-UY"/>
        </w:rPr>
        <w:t xml:space="preserve">da en el Artículo 50 del TOCAF;                                       </w:t>
      </w:r>
    </w:p>
    <w:p w:rsidR="004E5E96" w:rsidRPr="004E5E96" w:rsidRDefault="004E5E96" w:rsidP="00F26ADF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UY"/>
        </w:rPr>
      </w:pPr>
      <w:r w:rsidRPr="004E5E96">
        <w:rPr>
          <w:rFonts w:ascii="Arial" w:hAnsi="Arial" w:cs="Arial"/>
          <w:szCs w:val="24"/>
          <w:lang w:val="es-UY"/>
        </w:rPr>
        <w:t>5)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que las actuaciones cuentan con principio de ejecución </w:t>
      </w:r>
      <w:r w:rsidR="00B95E45">
        <w:rPr>
          <w:rFonts w:ascii="Arial" w:hAnsi="Arial" w:cs="Arial"/>
          <w:b w:val="0"/>
          <w:szCs w:val="24"/>
          <w:lang w:val="es-UY"/>
        </w:rPr>
        <w:t>contraviniendo</w:t>
      </w:r>
      <w:r w:rsidR="00255BD1">
        <w:rPr>
          <w:rFonts w:ascii="Arial" w:hAnsi="Arial" w:cs="Arial"/>
          <w:b w:val="0"/>
          <w:szCs w:val="24"/>
          <w:lang w:val="es-UY"/>
        </w:rPr>
        <w:t xml:space="preserve"> </w:t>
      </w:r>
      <w:r w:rsidRPr="004E5E96">
        <w:rPr>
          <w:rFonts w:ascii="Arial" w:hAnsi="Arial" w:cs="Arial"/>
          <w:b w:val="0"/>
          <w:szCs w:val="24"/>
          <w:lang w:val="es-UY"/>
        </w:rPr>
        <w:t>l</w:t>
      </w:r>
      <w:r w:rsidR="00255BD1">
        <w:rPr>
          <w:rFonts w:ascii="Arial" w:hAnsi="Arial" w:cs="Arial"/>
          <w:b w:val="0"/>
          <w:szCs w:val="24"/>
          <w:lang w:val="es-UY"/>
        </w:rPr>
        <w:t>o dispuesto por el Artículo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211</w:t>
      </w:r>
      <w:r w:rsidR="00255BD1">
        <w:rPr>
          <w:rFonts w:ascii="Arial" w:hAnsi="Arial" w:cs="Arial"/>
          <w:b w:val="0"/>
          <w:szCs w:val="24"/>
          <w:lang w:val="es-UY"/>
        </w:rPr>
        <w:t>,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</w:t>
      </w:r>
      <w:r w:rsidR="00F26ADF">
        <w:rPr>
          <w:rFonts w:ascii="Arial" w:hAnsi="Arial" w:cs="Arial"/>
          <w:b w:val="0"/>
          <w:szCs w:val="24"/>
          <w:lang w:val="es-UY"/>
        </w:rPr>
        <w:t>L</w:t>
      </w:r>
      <w:r w:rsidR="00255BD1">
        <w:rPr>
          <w:rFonts w:ascii="Arial" w:hAnsi="Arial" w:cs="Arial"/>
          <w:b w:val="0"/>
          <w:szCs w:val="24"/>
          <w:lang w:val="es-UY"/>
        </w:rPr>
        <w:t>iteral</w:t>
      </w:r>
      <w:r w:rsidRPr="004E5E96">
        <w:rPr>
          <w:rFonts w:ascii="Arial" w:hAnsi="Arial" w:cs="Arial"/>
          <w:b w:val="0"/>
          <w:szCs w:val="24"/>
          <w:lang w:val="es-UY"/>
        </w:rPr>
        <w:t xml:space="preserve"> B) de la Constitución de la República</w:t>
      </w:r>
      <w:r w:rsidR="00255BD1">
        <w:rPr>
          <w:rFonts w:ascii="Arial" w:hAnsi="Arial" w:cs="Arial"/>
          <w:b w:val="0"/>
          <w:szCs w:val="24"/>
          <w:lang w:val="es-UY"/>
        </w:rPr>
        <w:t>;</w:t>
      </w:r>
    </w:p>
    <w:p w:rsidR="00751C0F" w:rsidRDefault="00751C0F" w:rsidP="00F26ADF">
      <w:pPr>
        <w:pStyle w:val="Ttulo2"/>
        <w:spacing w:line="360" w:lineRule="auto"/>
        <w:ind w:firstLine="709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</w:t>
      </w:r>
      <w:r w:rsidR="00255BD1">
        <w:rPr>
          <w:b w:val="0"/>
          <w:bCs/>
          <w:lang w:val="es-UY"/>
        </w:rPr>
        <w:t xml:space="preserve">por </w:t>
      </w:r>
      <w:r>
        <w:rPr>
          <w:b w:val="0"/>
          <w:bCs/>
          <w:lang w:val="es-UY"/>
        </w:rPr>
        <w:t xml:space="preserve">el </w:t>
      </w:r>
      <w:r w:rsidR="00255BD1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>rt</w:t>
      </w:r>
      <w:r w:rsidR="0062403E">
        <w:rPr>
          <w:b w:val="0"/>
          <w:bCs/>
          <w:lang w:val="es-UY"/>
        </w:rPr>
        <w:t>ículo</w:t>
      </w:r>
      <w:r>
        <w:rPr>
          <w:b w:val="0"/>
          <w:bCs/>
          <w:lang w:val="es-UY"/>
        </w:rPr>
        <w:t xml:space="preserve"> 211 </w:t>
      </w:r>
      <w:r w:rsidR="00B95E45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652BD0" w:rsidRDefault="00652BD0" w:rsidP="00F26ADF">
      <w:pPr>
        <w:spacing w:line="360" w:lineRule="auto"/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652BD0" w:rsidRPr="00F26ADF" w:rsidRDefault="00F26ADF" w:rsidP="00F26ADF">
      <w:pPr>
        <w:spacing w:line="360" w:lineRule="auto"/>
        <w:ind w:left="284" w:hanging="284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 xml:space="preserve">1) </w:t>
      </w:r>
      <w:r w:rsidR="00652BD0" w:rsidRPr="00F26ADF">
        <w:rPr>
          <w:rFonts w:ascii="Arial" w:hAnsi="Arial" w:cs="Arial"/>
          <w:b w:val="0"/>
          <w:lang w:val="es-UY"/>
        </w:rPr>
        <w:t>Observar el procedimiento</w:t>
      </w:r>
      <w:r w:rsidR="00255BD1" w:rsidRPr="00F26ADF">
        <w:rPr>
          <w:rFonts w:ascii="Arial" w:hAnsi="Arial" w:cs="Arial"/>
          <w:b w:val="0"/>
          <w:lang w:val="es-UY"/>
        </w:rPr>
        <w:t xml:space="preserve"> y el gasto derivado del mismo</w:t>
      </w:r>
      <w:r w:rsidR="0090604B" w:rsidRPr="00F26ADF">
        <w:rPr>
          <w:rFonts w:ascii="Arial" w:hAnsi="Arial" w:cs="Arial"/>
          <w:b w:val="0"/>
          <w:lang w:val="es-UY"/>
        </w:rPr>
        <w:t xml:space="preserve"> por el presente </w:t>
      </w:r>
      <w:r>
        <w:rPr>
          <w:rFonts w:ascii="Arial" w:hAnsi="Arial" w:cs="Arial"/>
          <w:b w:val="0"/>
          <w:lang w:val="es-UY"/>
        </w:rPr>
        <w:t>E</w:t>
      </w:r>
      <w:r w:rsidR="0090604B" w:rsidRPr="00F26ADF">
        <w:rPr>
          <w:rFonts w:ascii="Arial" w:hAnsi="Arial" w:cs="Arial"/>
          <w:b w:val="0"/>
          <w:lang w:val="es-UY"/>
        </w:rPr>
        <w:t>jercicio</w:t>
      </w:r>
      <w:r w:rsidR="00255BD1" w:rsidRPr="00F26ADF">
        <w:rPr>
          <w:rFonts w:ascii="Arial" w:hAnsi="Arial" w:cs="Arial"/>
          <w:b w:val="0"/>
          <w:lang w:val="es-UY"/>
        </w:rPr>
        <w:t>;</w:t>
      </w:r>
    </w:p>
    <w:p w:rsidR="00F26ADF" w:rsidRDefault="00F26ADF" w:rsidP="00F26ADF">
      <w:pPr>
        <w:spacing w:line="360" w:lineRule="auto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 xml:space="preserve">2) </w:t>
      </w:r>
      <w:r w:rsidR="00652BD0" w:rsidRPr="00F26ADF">
        <w:rPr>
          <w:rFonts w:ascii="Arial" w:hAnsi="Arial" w:cs="Arial"/>
          <w:b w:val="0"/>
          <w:lang w:val="es-UY"/>
        </w:rPr>
        <w:t>Comunicar al Contador Delegado</w:t>
      </w:r>
      <w:r w:rsidR="00255BD1" w:rsidRPr="00F26ADF">
        <w:rPr>
          <w:rFonts w:ascii="Arial" w:hAnsi="Arial" w:cs="Arial"/>
          <w:b w:val="0"/>
          <w:lang w:val="es-UY"/>
        </w:rPr>
        <w:t>;</w:t>
      </w:r>
      <w:r w:rsidR="00D945C3">
        <w:rPr>
          <w:rFonts w:ascii="Arial" w:hAnsi="Arial" w:cs="Arial"/>
          <w:b w:val="0"/>
          <w:lang w:val="es-UY"/>
        </w:rPr>
        <w:t xml:space="preserve"> y</w:t>
      </w:r>
    </w:p>
    <w:p w:rsidR="00652BD0" w:rsidRPr="00F26ADF" w:rsidRDefault="00F26ADF" w:rsidP="00F26ADF">
      <w:pPr>
        <w:spacing w:line="360" w:lineRule="auto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 xml:space="preserve">3) </w:t>
      </w:r>
      <w:r w:rsidR="00652BD0" w:rsidRPr="00F26ADF">
        <w:rPr>
          <w:rFonts w:ascii="Arial" w:hAnsi="Arial" w:cs="Arial"/>
          <w:b w:val="0"/>
          <w:lang w:val="es-UY"/>
        </w:rPr>
        <w:t>Devolver las actuaciones</w:t>
      </w:r>
      <w:r w:rsidR="00255BD1" w:rsidRPr="00F26ADF">
        <w:rPr>
          <w:rFonts w:ascii="Arial" w:hAnsi="Arial" w:cs="Arial"/>
          <w:b w:val="0"/>
          <w:lang w:val="es-UY"/>
        </w:rPr>
        <w:t xml:space="preserve"> a ASSE</w:t>
      </w:r>
      <w:r w:rsidR="00652BD0" w:rsidRPr="00F26ADF">
        <w:rPr>
          <w:rFonts w:ascii="Arial" w:hAnsi="Arial" w:cs="Arial"/>
          <w:b w:val="0"/>
          <w:lang w:val="es-UY"/>
        </w:rPr>
        <w:t>.</w:t>
      </w:r>
    </w:p>
    <w:p w:rsidR="00652BD0" w:rsidRDefault="00652BD0" w:rsidP="00F26ADF">
      <w:pPr>
        <w:spacing w:line="360" w:lineRule="auto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ab/>
      </w:r>
    </w:p>
    <w:p w:rsidR="00F26ADF" w:rsidRPr="00F26ADF" w:rsidRDefault="00F26ADF" w:rsidP="00F26ADF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proofErr w:type="spellStart"/>
      <w:proofErr w:type="gramStart"/>
      <w:r>
        <w:rPr>
          <w:rFonts w:ascii="Arial" w:hAnsi="Arial" w:cs="Arial"/>
          <w:b w:val="0"/>
          <w:lang w:val="es-UY"/>
        </w:rPr>
        <w:t>lc</w:t>
      </w:r>
      <w:proofErr w:type="spellEnd"/>
      <w:proofErr w:type="gramEnd"/>
    </w:p>
    <w:sectPr w:rsidR="00F26ADF" w:rsidRPr="00F26ADF" w:rsidSect="00EF65D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10B23"/>
    <w:rsid w:val="000D2DB4"/>
    <w:rsid w:val="001039DA"/>
    <w:rsid w:val="00151103"/>
    <w:rsid w:val="001A2DFD"/>
    <w:rsid w:val="001A5412"/>
    <w:rsid w:val="00214803"/>
    <w:rsid w:val="00255BD1"/>
    <w:rsid w:val="002B1E2D"/>
    <w:rsid w:val="00337DA4"/>
    <w:rsid w:val="00353BEF"/>
    <w:rsid w:val="003A1582"/>
    <w:rsid w:val="003A71FE"/>
    <w:rsid w:val="00451A58"/>
    <w:rsid w:val="004E5E96"/>
    <w:rsid w:val="005370FF"/>
    <w:rsid w:val="0062403E"/>
    <w:rsid w:val="00652BD0"/>
    <w:rsid w:val="00751C0F"/>
    <w:rsid w:val="00790486"/>
    <w:rsid w:val="008B7DF4"/>
    <w:rsid w:val="0090604B"/>
    <w:rsid w:val="009E5E59"/>
    <w:rsid w:val="00B95E45"/>
    <w:rsid w:val="00D17D58"/>
    <w:rsid w:val="00D64F59"/>
    <w:rsid w:val="00D945C3"/>
    <w:rsid w:val="00DC27E3"/>
    <w:rsid w:val="00DD571B"/>
    <w:rsid w:val="00EF65DF"/>
    <w:rsid w:val="00F26ADF"/>
    <w:rsid w:val="00F37E67"/>
    <w:rsid w:val="00F83DAA"/>
    <w:rsid w:val="00FD66CD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51C0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51C0F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751C0F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751C0F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SICA GALLEGO</dc:creator>
  <cp:lastModifiedBy>Adrian Acosta</cp:lastModifiedBy>
  <cp:revision>10</cp:revision>
  <cp:lastPrinted>2017-09-26T14:48:00Z</cp:lastPrinted>
  <dcterms:created xsi:type="dcterms:W3CDTF">2017-09-19T18:59:00Z</dcterms:created>
  <dcterms:modified xsi:type="dcterms:W3CDTF">2017-09-26T14:48:00Z</dcterms:modified>
</cp:coreProperties>
</file>