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E13" w:rsidRPr="00786EEB" w:rsidRDefault="00E66E13" w:rsidP="00DF24D2">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w:t>
      </w:r>
      <w:r w:rsidR="00B01268">
        <w:rPr>
          <w:rFonts w:ascii="Arial" w:hAnsi="Arial" w:cs="Arial"/>
          <w:b/>
          <w:sz w:val="28"/>
          <w:szCs w:val="28"/>
          <w:lang w:val="es-ES_tradnl"/>
        </w:rPr>
        <w:t>2871</w:t>
      </w:r>
      <w:r>
        <w:rPr>
          <w:rFonts w:ascii="Arial" w:hAnsi="Arial" w:cs="Arial"/>
          <w:b/>
          <w:sz w:val="28"/>
          <w:szCs w:val="28"/>
          <w:lang w:val="es-ES_tradnl"/>
        </w:rPr>
        <w:t xml:space="preserve"> /17</w:t>
      </w:r>
    </w:p>
    <w:p w:rsidR="00E66E13" w:rsidRDefault="00E66E13" w:rsidP="00E66E13">
      <w:pPr>
        <w:tabs>
          <w:tab w:val="center" w:pos="4253"/>
        </w:tabs>
        <w:suppressAutoHyphens/>
        <w:jc w:val="right"/>
        <w:rPr>
          <w:rFonts w:ascii="Arial" w:hAnsi="Arial" w:cs="Arial"/>
          <w:b/>
          <w:lang w:val="es-ES_tradnl"/>
        </w:rPr>
      </w:pPr>
    </w:p>
    <w:p w:rsidR="00E66E13" w:rsidRPr="00762B34" w:rsidRDefault="00E66E13" w:rsidP="00E66E13">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E66E13" w:rsidRPr="00762B34" w:rsidRDefault="00E66E13" w:rsidP="00E66E13">
      <w:pPr>
        <w:tabs>
          <w:tab w:val="left" w:pos="-720"/>
        </w:tabs>
        <w:suppressAutoHyphens/>
        <w:jc w:val="center"/>
        <w:rPr>
          <w:rFonts w:ascii="Arial" w:hAnsi="Arial" w:cs="Arial"/>
          <w:b/>
          <w:lang w:val="es-ES_tradnl"/>
        </w:rPr>
      </w:pPr>
    </w:p>
    <w:p w:rsidR="00E66E13" w:rsidRPr="00762B34" w:rsidRDefault="00E66E13" w:rsidP="00E66E13">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E66E13" w:rsidRPr="00762B34" w:rsidRDefault="00E66E13" w:rsidP="00E66E13">
      <w:pPr>
        <w:tabs>
          <w:tab w:val="left" w:pos="-720"/>
        </w:tabs>
        <w:suppressAutoHyphens/>
        <w:jc w:val="center"/>
        <w:rPr>
          <w:rFonts w:ascii="Arial" w:hAnsi="Arial" w:cs="Arial"/>
          <w:b/>
          <w:lang w:val="es-ES_tradnl"/>
        </w:rPr>
      </w:pPr>
    </w:p>
    <w:p w:rsidR="00E66E13" w:rsidRPr="00762B34" w:rsidRDefault="00E66E13" w:rsidP="00E66E13">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6 DE SETIEMBRE </w:t>
      </w:r>
      <w:r>
        <w:rPr>
          <w:rFonts w:ascii="Helvetica" w:hAnsi="Helvetica"/>
          <w:b/>
          <w:lang w:val="es-ES_tradnl"/>
        </w:rPr>
        <w:t>DE 2017</w:t>
      </w:r>
    </w:p>
    <w:p w:rsidR="00E66E13" w:rsidRPr="00762B34" w:rsidRDefault="00E66E13" w:rsidP="00E66E13">
      <w:pPr>
        <w:tabs>
          <w:tab w:val="center" w:pos="4253"/>
        </w:tabs>
        <w:suppressAutoHyphens/>
        <w:jc w:val="center"/>
        <w:rPr>
          <w:rFonts w:ascii="Arial" w:hAnsi="Arial" w:cs="Arial"/>
          <w:b/>
          <w:lang w:val="es-ES_tradnl"/>
        </w:rPr>
      </w:pPr>
    </w:p>
    <w:p w:rsidR="00E66E13" w:rsidRPr="00B01268" w:rsidRDefault="00E66E13" w:rsidP="00E66E13">
      <w:pPr>
        <w:tabs>
          <w:tab w:val="center" w:pos="4253"/>
        </w:tabs>
        <w:suppressAutoHyphens/>
        <w:jc w:val="center"/>
        <w:rPr>
          <w:rFonts w:ascii="Arial" w:hAnsi="Arial" w:cs="Arial"/>
          <w:b/>
        </w:rPr>
      </w:pPr>
      <w:r w:rsidRPr="00B01268">
        <w:rPr>
          <w:rFonts w:ascii="Arial" w:hAnsi="Arial" w:cs="Arial"/>
          <w:b/>
        </w:rPr>
        <w:t>(E. E. Nº</w:t>
      </w:r>
      <w:r w:rsidR="00B01268" w:rsidRPr="00B01268">
        <w:rPr>
          <w:rFonts w:ascii="Arial" w:hAnsi="Arial" w:cs="Arial"/>
          <w:b/>
          <w:bCs/>
        </w:rPr>
        <w:t>2014-17-1-0004756</w:t>
      </w:r>
      <w:r w:rsidRPr="00B01268">
        <w:rPr>
          <w:rFonts w:ascii="Arial" w:hAnsi="Arial" w:cs="Arial"/>
          <w:b/>
        </w:rPr>
        <w:t xml:space="preserve">, </w:t>
      </w:r>
      <w:proofErr w:type="spellStart"/>
      <w:r w:rsidRPr="00B01268">
        <w:rPr>
          <w:rFonts w:ascii="Arial" w:hAnsi="Arial" w:cs="Arial"/>
          <w:b/>
        </w:rPr>
        <w:t>Ent</w:t>
      </w:r>
      <w:proofErr w:type="spellEnd"/>
      <w:r w:rsidRPr="00B01268">
        <w:rPr>
          <w:rFonts w:ascii="Arial" w:hAnsi="Arial" w:cs="Arial"/>
          <w:b/>
        </w:rPr>
        <w:t>. N°</w:t>
      </w:r>
      <w:r w:rsidR="00B01268" w:rsidRPr="00B01268">
        <w:rPr>
          <w:rFonts w:ascii="Arial" w:hAnsi="Arial" w:cs="Arial"/>
          <w:b/>
        </w:rPr>
        <w:t>3908/17</w:t>
      </w:r>
      <w:r w:rsidRPr="00B01268">
        <w:rPr>
          <w:rFonts w:ascii="Arial" w:hAnsi="Arial" w:cs="Arial"/>
          <w:b/>
        </w:rPr>
        <w:t>)</w:t>
      </w:r>
    </w:p>
    <w:p w:rsidR="00B01268" w:rsidRDefault="00B01268" w:rsidP="003B6B1B">
      <w:pPr>
        <w:spacing w:line="360" w:lineRule="auto"/>
        <w:ind w:firstLine="709"/>
        <w:jc w:val="both"/>
        <w:rPr>
          <w:rFonts w:ascii="Arial" w:hAnsi="Arial" w:cs="Arial"/>
          <w:b/>
        </w:rPr>
      </w:pPr>
    </w:p>
    <w:p w:rsidR="00743F14" w:rsidRPr="008C4060" w:rsidRDefault="0021183F" w:rsidP="003B6B1B">
      <w:pPr>
        <w:spacing w:line="360" w:lineRule="auto"/>
        <w:ind w:firstLine="709"/>
        <w:jc w:val="both"/>
        <w:rPr>
          <w:rFonts w:ascii="Arial" w:hAnsi="Arial" w:cs="Arial"/>
        </w:rPr>
      </w:pPr>
      <w:r w:rsidRPr="008C4060">
        <w:rPr>
          <w:rFonts w:ascii="Arial" w:hAnsi="Arial" w:cs="Arial"/>
          <w:b/>
        </w:rPr>
        <w:t>VISTO:</w:t>
      </w:r>
      <w:r w:rsidRPr="008C4060">
        <w:rPr>
          <w:rFonts w:ascii="Arial" w:hAnsi="Arial" w:cs="Arial"/>
        </w:rPr>
        <w:t xml:space="preserve"> las nuevas actuaciones remitidas por e</w:t>
      </w:r>
      <w:r w:rsidR="00743F14" w:rsidRPr="008C4060">
        <w:rPr>
          <w:rFonts w:ascii="Arial" w:hAnsi="Arial" w:cs="Arial"/>
        </w:rPr>
        <w:t>l Ministerio de Transporte y Obras Públicas relacionadas con el Contrato de Concesión de Obras Públicas “Ruta Nº 5, Accesos a Montevideo – Mendoza (progresivas 11k300 y 69k000)”</w:t>
      </w:r>
      <w:r w:rsidR="00DE1F48">
        <w:rPr>
          <w:rFonts w:ascii="Arial" w:hAnsi="Arial" w:cs="Arial"/>
        </w:rPr>
        <w:t xml:space="preserve">, </w:t>
      </w:r>
      <w:r w:rsidR="00743F14" w:rsidRPr="008C4060">
        <w:rPr>
          <w:rFonts w:ascii="Arial" w:hAnsi="Arial" w:cs="Arial"/>
        </w:rPr>
        <w:t>adjudicada a la firma Hernández y González S.A., según el Llamado a Licitación Pública Internacio</w:t>
      </w:r>
      <w:r w:rsidRPr="008C4060">
        <w:rPr>
          <w:rFonts w:ascii="Arial" w:hAnsi="Arial" w:cs="Arial"/>
        </w:rPr>
        <w:t xml:space="preserve">nal Nº 78/998; </w:t>
      </w:r>
    </w:p>
    <w:p w:rsidR="002D30CC" w:rsidRPr="002428DF" w:rsidRDefault="0021183F" w:rsidP="00E705AE">
      <w:pPr>
        <w:pStyle w:val="Prrafodelista"/>
        <w:spacing w:line="360" w:lineRule="auto"/>
        <w:ind w:left="0" w:firstLine="709"/>
        <w:jc w:val="both"/>
        <w:rPr>
          <w:rFonts w:ascii="Arial" w:hAnsi="Arial" w:cs="Arial"/>
        </w:rPr>
      </w:pPr>
      <w:r w:rsidRPr="008C4060">
        <w:rPr>
          <w:rFonts w:ascii="Arial" w:hAnsi="Arial" w:cs="Arial"/>
          <w:b/>
        </w:rPr>
        <w:t>RESULTANDO: 1)</w:t>
      </w:r>
      <w:r w:rsidRPr="008C4060">
        <w:rPr>
          <w:rFonts w:ascii="Arial" w:hAnsi="Arial" w:cs="Arial"/>
        </w:rPr>
        <w:t xml:space="preserve"> </w:t>
      </w:r>
      <w:r w:rsidR="002D30CC">
        <w:rPr>
          <w:rFonts w:ascii="Arial" w:hAnsi="Arial" w:cs="Arial"/>
        </w:rPr>
        <w:t>que este Tribunal en</w:t>
      </w:r>
      <w:r w:rsidR="000340FE">
        <w:rPr>
          <w:rFonts w:ascii="Arial" w:hAnsi="Arial" w:cs="Arial"/>
        </w:rPr>
        <w:t xml:space="preserve"> Sesión de fecha 11 de agost</w:t>
      </w:r>
      <w:r w:rsidR="00E705AE">
        <w:rPr>
          <w:rFonts w:ascii="Arial" w:hAnsi="Arial" w:cs="Arial"/>
        </w:rPr>
        <w:t xml:space="preserve">o </w:t>
      </w:r>
      <w:r w:rsidR="002D30CC" w:rsidRPr="002428DF">
        <w:rPr>
          <w:rFonts w:ascii="Arial" w:hAnsi="Arial" w:cs="Arial"/>
        </w:rPr>
        <w:t>de 1999, no formuló observaciones a la adjudicación del proceso licitatorio</w:t>
      </w:r>
      <w:r w:rsidR="002D30CC">
        <w:rPr>
          <w:rFonts w:ascii="Arial" w:hAnsi="Arial" w:cs="Arial"/>
        </w:rPr>
        <w:t>;</w:t>
      </w:r>
    </w:p>
    <w:p w:rsidR="00E705AE" w:rsidRDefault="00E705AE" w:rsidP="00E705AE">
      <w:pPr>
        <w:spacing w:line="360" w:lineRule="auto"/>
        <w:ind w:firstLine="709"/>
        <w:jc w:val="both"/>
        <w:rPr>
          <w:rFonts w:ascii="Arial" w:hAnsi="Arial" w:cs="Arial"/>
        </w:rPr>
      </w:pPr>
      <w:r>
        <w:rPr>
          <w:rFonts w:ascii="Arial" w:hAnsi="Arial" w:cs="Arial"/>
        </w:rPr>
        <w:t xml:space="preserve">                                </w:t>
      </w:r>
      <w:r>
        <w:rPr>
          <w:rFonts w:ascii="Arial" w:hAnsi="Arial" w:cs="Arial"/>
          <w:b/>
        </w:rPr>
        <w:t xml:space="preserve">2) </w:t>
      </w:r>
      <w:r>
        <w:rPr>
          <w:rFonts w:ascii="Arial" w:hAnsi="Arial" w:cs="Arial"/>
        </w:rPr>
        <w:t>que</w:t>
      </w:r>
      <w:r w:rsidR="00C25ECD">
        <w:rPr>
          <w:rFonts w:ascii="Arial" w:hAnsi="Arial" w:cs="Arial"/>
        </w:rPr>
        <w:t>,</w:t>
      </w:r>
      <w:r>
        <w:rPr>
          <w:rFonts w:ascii="Arial" w:hAnsi="Arial" w:cs="Arial"/>
        </w:rPr>
        <w:t xml:space="preserve"> en</w:t>
      </w:r>
      <w:r w:rsidR="002D30CC" w:rsidRPr="00E705AE">
        <w:rPr>
          <w:rFonts w:ascii="Arial" w:hAnsi="Arial" w:cs="Arial"/>
        </w:rPr>
        <w:t xml:space="preserve"> Sesión de fecha 9 de julio de 2014</w:t>
      </w:r>
      <w:r w:rsidR="00BA11D5">
        <w:rPr>
          <w:rFonts w:ascii="Arial" w:hAnsi="Arial" w:cs="Arial"/>
        </w:rPr>
        <w:t>,</w:t>
      </w:r>
      <w:r w:rsidR="002D30CC" w:rsidRPr="00E705AE">
        <w:rPr>
          <w:rFonts w:ascii="Arial" w:hAnsi="Arial" w:cs="Arial"/>
        </w:rPr>
        <w:t xml:space="preserve"> este Tribunal acordó: “Una vez suscrito el Convenio y dictada la Resolución por el Ordenador competente, cométese a la Contadora Auditora destacada ante el Ministerio de Transporte y Obras Públicas la intervención de la suma de </w:t>
      </w:r>
      <w:r w:rsidR="00B01268">
        <w:rPr>
          <w:rFonts w:ascii="Arial" w:hAnsi="Arial" w:cs="Arial"/>
        </w:rPr>
        <w:t xml:space="preserve">      </w:t>
      </w:r>
      <w:r w:rsidR="002D30CC" w:rsidRPr="00E705AE">
        <w:rPr>
          <w:rFonts w:ascii="Arial" w:hAnsi="Arial" w:cs="Arial"/>
        </w:rPr>
        <w:t xml:space="preserve">U$S  5:253.759 con IVA y Leyes Sociales incluidos, a favor de la firma Hernández y González S.A., correspondiente al subsidio para la realización de obras complementarias a llevarse a cabo en el marco de la Concesión de referencia, previo control de su imputación en el </w:t>
      </w:r>
      <w:r w:rsidR="00BA11D5">
        <w:rPr>
          <w:rFonts w:ascii="Arial" w:hAnsi="Arial" w:cs="Arial"/>
        </w:rPr>
        <w:t>G</w:t>
      </w:r>
      <w:r w:rsidR="002D30CC" w:rsidRPr="00E705AE">
        <w:rPr>
          <w:rFonts w:ascii="Arial" w:hAnsi="Arial" w:cs="Arial"/>
        </w:rPr>
        <w:t xml:space="preserve">rupo adecuado con disponibilidad suficiente; </w:t>
      </w:r>
    </w:p>
    <w:p w:rsidR="00855318" w:rsidRDefault="00BA11D5" w:rsidP="00E705AE">
      <w:pPr>
        <w:spacing w:line="360" w:lineRule="auto"/>
        <w:ind w:firstLine="709"/>
        <w:jc w:val="both"/>
        <w:rPr>
          <w:rFonts w:ascii="Arial" w:hAnsi="Arial" w:cs="Arial"/>
        </w:rPr>
      </w:pPr>
      <w:r>
        <w:rPr>
          <w:rFonts w:ascii="Arial" w:hAnsi="Arial" w:cs="Arial"/>
        </w:rPr>
        <w:t xml:space="preserve">                             </w:t>
      </w:r>
      <w:r w:rsidRPr="00BA11D5">
        <w:rPr>
          <w:rFonts w:ascii="Arial" w:hAnsi="Arial" w:cs="Arial"/>
          <w:b/>
        </w:rPr>
        <w:t>3)</w:t>
      </w:r>
      <w:r>
        <w:rPr>
          <w:rFonts w:ascii="Arial" w:hAnsi="Arial" w:cs="Arial"/>
        </w:rPr>
        <w:t xml:space="preserve"> que</w:t>
      </w:r>
      <w:r w:rsidR="00C25ECD">
        <w:rPr>
          <w:rFonts w:ascii="Arial" w:hAnsi="Arial" w:cs="Arial"/>
        </w:rPr>
        <w:t>,</w:t>
      </w:r>
      <w:r>
        <w:rPr>
          <w:rFonts w:ascii="Arial" w:hAnsi="Arial" w:cs="Arial"/>
        </w:rPr>
        <w:t xml:space="preserve"> por Resoluci</w:t>
      </w:r>
      <w:r w:rsidR="00C25ECD">
        <w:rPr>
          <w:rFonts w:ascii="Arial" w:hAnsi="Arial" w:cs="Arial"/>
        </w:rPr>
        <w:t>ón</w:t>
      </w:r>
      <w:r>
        <w:rPr>
          <w:rFonts w:ascii="Arial" w:hAnsi="Arial" w:cs="Arial"/>
        </w:rPr>
        <w:t xml:space="preserve"> del Poder Ejec</w:t>
      </w:r>
      <w:r w:rsidR="00C25ECD">
        <w:rPr>
          <w:rFonts w:ascii="Arial" w:hAnsi="Arial" w:cs="Arial"/>
        </w:rPr>
        <w:t>utivo de 3 de noviembre de 2014</w:t>
      </w:r>
      <w:r>
        <w:rPr>
          <w:rFonts w:ascii="Arial" w:hAnsi="Arial" w:cs="Arial"/>
        </w:rPr>
        <w:t xml:space="preserve"> se aprobó el convenio oportunamente remitido</w:t>
      </w:r>
      <w:r w:rsidR="001B0050">
        <w:rPr>
          <w:rFonts w:ascii="Arial" w:hAnsi="Arial" w:cs="Arial"/>
        </w:rPr>
        <w:t xml:space="preserve"> y con fecha 27 de abril de 2015, se </w:t>
      </w:r>
      <w:r w:rsidR="00855318">
        <w:rPr>
          <w:rFonts w:ascii="Arial" w:hAnsi="Arial" w:cs="Arial"/>
        </w:rPr>
        <w:t xml:space="preserve">aceptó y </w:t>
      </w:r>
      <w:r w:rsidR="001B0050">
        <w:rPr>
          <w:rFonts w:ascii="Arial" w:hAnsi="Arial" w:cs="Arial"/>
        </w:rPr>
        <w:t>aprobó</w:t>
      </w:r>
      <w:r w:rsidR="00855318">
        <w:rPr>
          <w:rFonts w:ascii="Arial" w:hAnsi="Arial" w:cs="Arial"/>
        </w:rPr>
        <w:t xml:space="preserve"> un nuevo cronograma de obras y fechas de desembolso, lo cual fue modificado por Resolución de fecha 30 de diciembre de 2015, estipulándose entre otras fechas y desembolsos, que la fecha de desembolso por subsidio del MTOP del trimestre 70, será: mayo/junio/julio/2017, manteniéndose para las demás obras previstas, las fechas estipuladas y autorizando a los fines indicados la inversión de </w:t>
      </w:r>
      <w:r w:rsidR="00B01268">
        <w:rPr>
          <w:rFonts w:ascii="Arial" w:hAnsi="Arial" w:cs="Arial"/>
        </w:rPr>
        <w:t xml:space="preserve">           </w:t>
      </w:r>
      <w:r w:rsidR="00855318">
        <w:rPr>
          <w:rFonts w:ascii="Arial" w:hAnsi="Arial" w:cs="Arial"/>
        </w:rPr>
        <w:t xml:space="preserve">U$S </w:t>
      </w:r>
      <w:r w:rsidR="00855318">
        <w:rPr>
          <w:rFonts w:ascii="Arial" w:hAnsi="Arial" w:cs="Arial"/>
        </w:rPr>
        <w:lastRenderedPageBreak/>
        <w:t xml:space="preserve">5:253.759 IVA y leyes sociales incluidos, pagaderos en 3 cuotas de </w:t>
      </w:r>
      <w:r w:rsidR="00B01268">
        <w:rPr>
          <w:rFonts w:ascii="Arial" w:hAnsi="Arial" w:cs="Arial"/>
        </w:rPr>
        <w:t xml:space="preserve">     </w:t>
      </w:r>
      <w:r w:rsidR="00855318">
        <w:rPr>
          <w:rFonts w:ascii="Arial" w:hAnsi="Arial" w:cs="Arial"/>
        </w:rPr>
        <w:t>U$S 1:751.253,oo, con cargo a los Ejercicios 2016 y 2017;</w:t>
      </w:r>
    </w:p>
    <w:p w:rsidR="002C30FC" w:rsidRPr="002C30FC" w:rsidRDefault="002C30FC" w:rsidP="002C30FC">
      <w:pPr>
        <w:spacing w:line="360" w:lineRule="auto"/>
        <w:jc w:val="both"/>
        <w:rPr>
          <w:rFonts w:ascii="Arial" w:hAnsi="Arial" w:cs="Arial"/>
        </w:rPr>
      </w:pPr>
      <w:r w:rsidRPr="002C30FC">
        <w:rPr>
          <w:rFonts w:ascii="Arial" w:hAnsi="Arial" w:cs="Arial"/>
        </w:rPr>
        <w:t xml:space="preserve"> </w:t>
      </w:r>
      <w:r>
        <w:rPr>
          <w:rFonts w:ascii="Arial" w:hAnsi="Arial" w:cs="Arial"/>
        </w:rPr>
        <w:t xml:space="preserve">                                     </w:t>
      </w:r>
      <w:r w:rsidR="00BA11D5">
        <w:rPr>
          <w:rFonts w:ascii="Arial" w:hAnsi="Arial" w:cs="Arial"/>
          <w:b/>
        </w:rPr>
        <w:t>4</w:t>
      </w:r>
      <w:r>
        <w:rPr>
          <w:rFonts w:ascii="Arial" w:hAnsi="Arial" w:cs="Arial"/>
          <w:b/>
        </w:rPr>
        <w:t xml:space="preserve">) </w:t>
      </w:r>
      <w:r>
        <w:rPr>
          <w:rFonts w:ascii="Arial" w:hAnsi="Arial" w:cs="Arial"/>
        </w:rPr>
        <w:t>que en</w:t>
      </w:r>
      <w:r w:rsidRPr="002C30FC">
        <w:rPr>
          <w:rFonts w:ascii="Arial" w:hAnsi="Arial" w:cs="Arial"/>
        </w:rPr>
        <w:t xml:space="preserve"> esta oportunidad se remite:</w:t>
      </w:r>
    </w:p>
    <w:p w:rsidR="002C30FC" w:rsidRPr="002C30FC" w:rsidRDefault="00855318" w:rsidP="002C30FC">
      <w:pPr>
        <w:spacing w:line="360" w:lineRule="auto"/>
        <w:jc w:val="both"/>
        <w:rPr>
          <w:rFonts w:ascii="Arial" w:hAnsi="Arial" w:cs="Arial"/>
        </w:rPr>
      </w:pPr>
      <w:r>
        <w:rPr>
          <w:rFonts w:ascii="Arial" w:hAnsi="Arial" w:cs="Arial"/>
          <w:b/>
        </w:rPr>
        <w:t>4</w:t>
      </w:r>
      <w:r w:rsidR="002C30FC">
        <w:rPr>
          <w:rFonts w:ascii="Arial" w:hAnsi="Arial" w:cs="Arial"/>
          <w:b/>
        </w:rPr>
        <w:t>.1)</w:t>
      </w:r>
      <w:r w:rsidR="002C30FC" w:rsidRPr="002C30FC">
        <w:rPr>
          <w:rFonts w:ascii="Arial" w:hAnsi="Arial" w:cs="Arial"/>
        </w:rPr>
        <w:t xml:space="preserve"> Acuerdo Ad-Referéndum y Anexos I y II,  suscrito el 7 de junio del 2017</w:t>
      </w:r>
      <w:r w:rsidR="00C25ECD">
        <w:rPr>
          <w:rFonts w:ascii="Arial" w:hAnsi="Arial" w:cs="Arial"/>
        </w:rPr>
        <w:t xml:space="preserve"> </w:t>
      </w:r>
      <w:r w:rsidR="002C30FC" w:rsidRPr="002C30FC">
        <w:rPr>
          <w:rFonts w:ascii="Arial" w:hAnsi="Arial" w:cs="Arial"/>
        </w:rPr>
        <w:t xml:space="preserve">por el Ministerio de Transporte y Obras Públicas – MTOP (concedente) y la empresa HERNÁNDEZ &amp; GONZÁLEZ (concesionario), mediante el cual convinieron: Segundo: Objeto: </w:t>
      </w:r>
      <w:r w:rsidR="002C30FC" w:rsidRPr="00855318">
        <w:rPr>
          <w:rFonts w:ascii="Arial" w:hAnsi="Arial" w:cs="Arial"/>
          <w:b/>
        </w:rPr>
        <w:t>a)</w:t>
      </w:r>
      <w:r w:rsidR="002C30FC" w:rsidRPr="002C30FC">
        <w:rPr>
          <w:rFonts w:ascii="Arial" w:hAnsi="Arial" w:cs="Arial"/>
        </w:rPr>
        <w:t xml:space="preserve"> El concedente </w:t>
      </w:r>
      <w:r w:rsidR="00C25ECD">
        <w:rPr>
          <w:rFonts w:ascii="Arial" w:hAnsi="Arial" w:cs="Arial"/>
        </w:rPr>
        <w:t>(</w:t>
      </w:r>
      <w:r w:rsidR="002C30FC" w:rsidRPr="002C30FC">
        <w:rPr>
          <w:rFonts w:ascii="Arial" w:hAnsi="Arial" w:cs="Arial"/>
        </w:rPr>
        <w:t>MTOP</w:t>
      </w:r>
      <w:r w:rsidR="00C25ECD">
        <w:rPr>
          <w:rFonts w:ascii="Arial" w:hAnsi="Arial" w:cs="Arial"/>
        </w:rPr>
        <w:t>)</w:t>
      </w:r>
      <w:r w:rsidR="002C30FC" w:rsidRPr="002C30FC">
        <w:rPr>
          <w:rFonts w:ascii="Arial" w:hAnsi="Arial" w:cs="Arial"/>
        </w:rPr>
        <w:t xml:space="preserve"> acepta  -como compensación por el incumplimiento y plazos pactados en el acuerdo del 22 de julio del 2014  - la ejecución por el concesionario de obras a su cargo en el “Camino de Acceso a Progreso”, previstas en el Anexo I- por un valor de</w:t>
      </w:r>
      <w:r w:rsidR="00B01268">
        <w:rPr>
          <w:rFonts w:ascii="Arial" w:hAnsi="Arial" w:cs="Arial"/>
        </w:rPr>
        <w:t xml:space="preserve">    </w:t>
      </w:r>
      <w:r w:rsidR="002C30FC" w:rsidRPr="002C30FC">
        <w:rPr>
          <w:rFonts w:ascii="Arial" w:hAnsi="Arial" w:cs="Arial"/>
        </w:rPr>
        <w:t xml:space="preserve"> U$S 1:729.829,70 con IVA y Leyes Sociales incluidos, así como cumplir con las siguientes obligaciones: </w:t>
      </w:r>
      <w:r w:rsidR="002C30FC" w:rsidRPr="00855318">
        <w:rPr>
          <w:rFonts w:ascii="Arial" w:hAnsi="Arial" w:cs="Arial"/>
          <w:b/>
        </w:rPr>
        <w:t>b)</w:t>
      </w:r>
      <w:r w:rsidR="002C30FC" w:rsidRPr="002C30FC">
        <w:rPr>
          <w:rFonts w:ascii="Arial" w:hAnsi="Arial" w:cs="Arial"/>
        </w:rPr>
        <w:t xml:space="preserve"> El concesionario, asume las siguientes obligaciones: ejecutar las obras en el “Camino de Acceso a Progreso” de acuerdo con las condiciones técnicas y rubros que surgen del Anexo I, según el cronograma adjunto; finalizar indefectiblemente las obras de los Tramos 4 y 6 pactados al 31 de enero del 2018, no aceptándose prórroga de especie alguna; cumplir con el plan de obras de señalización que se agrega en el Anexo II; proporcionar a su costo el asfalto y materiales para la ejecución de las obras previstas en el Anexo I. Asimismo acepta, que el Ministerio haga entrega de las toneladas pertinentes de productos asfálticos AC20 en sustitución del cemento modificado tipo AM3 (cláusula segunda lit</w:t>
      </w:r>
      <w:r w:rsidR="00BF5F4C">
        <w:rPr>
          <w:rFonts w:ascii="Arial" w:hAnsi="Arial" w:cs="Arial"/>
        </w:rPr>
        <w:t>eral</w:t>
      </w:r>
      <w:r w:rsidR="002C30FC" w:rsidRPr="002C30FC">
        <w:rPr>
          <w:rFonts w:ascii="Arial" w:hAnsi="Arial" w:cs="Arial"/>
        </w:rPr>
        <w:t xml:space="preserve"> A, n</w:t>
      </w:r>
      <w:r w:rsidR="00BF5F4C">
        <w:rPr>
          <w:rFonts w:ascii="Arial" w:hAnsi="Arial" w:cs="Arial"/>
        </w:rPr>
        <w:t>ume</w:t>
      </w:r>
      <w:r w:rsidR="002C30FC" w:rsidRPr="002C30FC">
        <w:rPr>
          <w:rFonts w:ascii="Arial" w:hAnsi="Arial" w:cs="Arial"/>
        </w:rPr>
        <w:t>rales 1 y 3 Acuerdo del 22.07.2014)</w:t>
      </w:r>
      <w:r w:rsidR="002C30FC">
        <w:rPr>
          <w:rFonts w:ascii="Arial" w:hAnsi="Arial" w:cs="Arial"/>
        </w:rPr>
        <w:t>;</w:t>
      </w:r>
      <w:r w:rsidR="002C30FC" w:rsidRPr="002C30FC">
        <w:rPr>
          <w:rFonts w:ascii="Arial" w:hAnsi="Arial" w:cs="Arial"/>
        </w:rPr>
        <w:t xml:space="preserve"> </w:t>
      </w:r>
    </w:p>
    <w:p w:rsidR="002C30FC" w:rsidRDefault="00BF5F4C" w:rsidP="002C30FC">
      <w:pPr>
        <w:spacing w:line="360" w:lineRule="auto"/>
        <w:jc w:val="both"/>
        <w:rPr>
          <w:rFonts w:ascii="Arial" w:hAnsi="Arial" w:cs="Arial"/>
        </w:rPr>
      </w:pPr>
      <w:r>
        <w:rPr>
          <w:rFonts w:ascii="Arial" w:hAnsi="Arial" w:cs="Arial"/>
          <w:b/>
        </w:rPr>
        <w:t>4</w:t>
      </w:r>
      <w:r w:rsidR="002C30FC">
        <w:rPr>
          <w:rFonts w:ascii="Arial" w:hAnsi="Arial" w:cs="Arial"/>
          <w:b/>
        </w:rPr>
        <w:t xml:space="preserve">.2) </w:t>
      </w:r>
      <w:r w:rsidR="002C30FC" w:rsidRPr="002C30FC">
        <w:rPr>
          <w:rFonts w:ascii="Arial" w:hAnsi="Arial" w:cs="Arial"/>
        </w:rPr>
        <w:t xml:space="preserve">Proyecto de </w:t>
      </w:r>
      <w:r>
        <w:rPr>
          <w:rFonts w:ascii="Arial" w:hAnsi="Arial" w:cs="Arial"/>
        </w:rPr>
        <w:t>R</w:t>
      </w:r>
      <w:r w:rsidR="002C30FC" w:rsidRPr="002C30FC">
        <w:rPr>
          <w:rFonts w:ascii="Arial" w:hAnsi="Arial" w:cs="Arial"/>
        </w:rPr>
        <w:t>esolución a dictarse por el Poder Ejecutivo, por el cual se aprueba –en todas sus partes- el Acuerdo y sus Anexos I y II, estableciéndose que la ejecución de las obras complementarias se efectúa en el marco de las previsiones del Pliego de Condiciones (</w:t>
      </w:r>
      <w:r>
        <w:rPr>
          <w:rFonts w:ascii="Arial" w:hAnsi="Arial" w:cs="Arial"/>
        </w:rPr>
        <w:t>A</w:t>
      </w:r>
      <w:r w:rsidR="002C30FC" w:rsidRPr="002C30FC">
        <w:rPr>
          <w:rFonts w:ascii="Arial" w:hAnsi="Arial" w:cs="Arial"/>
        </w:rPr>
        <w:t xml:space="preserve">rtículos 31.2 y 56.1) y </w:t>
      </w:r>
      <w:r>
        <w:rPr>
          <w:rFonts w:ascii="Arial" w:hAnsi="Arial" w:cs="Arial"/>
        </w:rPr>
        <w:t>A</w:t>
      </w:r>
      <w:r w:rsidR="002C30FC" w:rsidRPr="002C30FC">
        <w:rPr>
          <w:rFonts w:ascii="Arial" w:hAnsi="Arial" w:cs="Arial"/>
        </w:rPr>
        <w:t>rtículo  2º del Decreto – Ley Nº 15.637 del 28.12.1984</w:t>
      </w:r>
      <w:r w:rsidR="00D00D6E">
        <w:rPr>
          <w:rFonts w:ascii="Arial" w:hAnsi="Arial" w:cs="Arial"/>
        </w:rPr>
        <w:t>;</w:t>
      </w:r>
    </w:p>
    <w:p w:rsidR="00302523" w:rsidRDefault="00302523" w:rsidP="00302523">
      <w:pPr>
        <w:spacing w:line="360" w:lineRule="auto"/>
        <w:ind w:firstLine="851"/>
        <w:jc w:val="both"/>
        <w:rPr>
          <w:rFonts w:ascii="Arial" w:hAnsi="Arial" w:cs="Arial"/>
        </w:rPr>
      </w:pPr>
      <w:r>
        <w:rPr>
          <w:rFonts w:ascii="Arial" w:hAnsi="Arial" w:cs="Arial"/>
        </w:rPr>
        <w:t xml:space="preserve">                            </w:t>
      </w:r>
      <w:r w:rsidR="00BF5F4C">
        <w:rPr>
          <w:rFonts w:ascii="Arial" w:hAnsi="Arial" w:cs="Arial"/>
          <w:b/>
        </w:rPr>
        <w:t>5</w:t>
      </w:r>
      <w:r>
        <w:rPr>
          <w:rFonts w:ascii="Arial" w:hAnsi="Arial" w:cs="Arial"/>
          <w:b/>
        </w:rPr>
        <w:t xml:space="preserve">) </w:t>
      </w:r>
      <w:r w:rsidR="00363155">
        <w:rPr>
          <w:rFonts w:ascii="Arial" w:hAnsi="Arial" w:cs="Arial"/>
        </w:rPr>
        <w:t>que l</w:t>
      </w:r>
      <w:r>
        <w:rPr>
          <w:rFonts w:ascii="Arial" w:hAnsi="Arial" w:cs="Arial"/>
        </w:rPr>
        <w:t xml:space="preserve">a ejecución de dichas </w:t>
      </w:r>
      <w:r w:rsidR="00BF5F4C">
        <w:rPr>
          <w:rFonts w:ascii="Arial" w:hAnsi="Arial" w:cs="Arial"/>
        </w:rPr>
        <w:t xml:space="preserve">obras </w:t>
      </w:r>
      <w:r>
        <w:rPr>
          <w:rFonts w:ascii="Arial" w:hAnsi="Arial" w:cs="Arial"/>
        </w:rPr>
        <w:t xml:space="preserve">complementarias se encuentran fundadas en el informe Nº 98/2014 de la Asesoría Jurídica de fecha 8 de abril del 2014, que se basó en las siguientes cláusulas:  </w:t>
      </w:r>
    </w:p>
    <w:p w:rsidR="00302523" w:rsidRDefault="00BF5F4C" w:rsidP="00B01268">
      <w:pPr>
        <w:spacing w:line="360" w:lineRule="auto"/>
        <w:jc w:val="both"/>
        <w:rPr>
          <w:rFonts w:ascii="Arial" w:hAnsi="Arial" w:cs="Arial"/>
        </w:rPr>
      </w:pPr>
      <w:r>
        <w:rPr>
          <w:rFonts w:ascii="Arial" w:hAnsi="Arial" w:cs="Arial"/>
          <w:b/>
        </w:rPr>
        <w:t>5</w:t>
      </w:r>
      <w:r w:rsidR="00302523">
        <w:rPr>
          <w:rFonts w:ascii="Arial" w:hAnsi="Arial" w:cs="Arial"/>
          <w:b/>
        </w:rPr>
        <w:t>.1)</w:t>
      </w:r>
      <w:r w:rsidR="00302523">
        <w:rPr>
          <w:rFonts w:ascii="Arial" w:hAnsi="Arial" w:cs="Arial"/>
        </w:rPr>
        <w:t xml:space="preserve"> </w:t>
      </w:r>
      <w:r w:rsidR="00302523" w:rsidRPr="00D5795A">
        <w:rPr>
          <w:rFonts w:ascii="Arial" w:hAnsi="Arial" w:cs="Arial"/>
        </w:rPr>
        <w:t xml:space="preserve">31.2 de la Sección 1 del Pliego de Condiciones de la Condiciones de la Concesión; 2 del Comunicado 4; 1 párrafo final de la Sección 2 del Pliego de Condiciones de la Concesión, modificado por la Cláusula 1 del Comunicado 4 que establecen: </w:t>
      </w:r>
      <w:r w:rsidR="00302523" w:rsidRPr="00BF5F4C">
        <w:rPr>
          <w:rFonts w:ascii="Arial" w:hAnsi="Arial" w:cs="Arial"/>
          <w:b/>
        </w:rPr>
        <w:t>1)</w:t>
      </w:r>
      <w:r w:rsidR="00302523" w:rsidRPr="00D5795A">
        <w:rPr>
          <w:rFonts w:ascii="Arial" w:hAnsi="Arial" w:cs="Arial"/>
          <w:i/>
        </w:rPr>
        <w:t xml:space="preserve"> </w:t>
      </w:r>
      <w:r w:rsidR="00302523" w:rsidRPr="00D5795A">
        <w:rPr>
          <w:rFonts w:ascii="Arial" w:hAnsi="Arial" w:cs="Arial"/>
        </w:rPr>
        <w:t xml:space="preserve">“En caso que se superen </w:t>
      </w:r>
      <w:r w:rsidR="00302523" w:rsidRPr="00D5795A">
        <w:rPr>
          <w:rFonts w:ascii="Arial" w:hAnsi="Arial" w:cs="Arial"/>
        </w:rPr>
        <w:lastRenderedPageBreak/>
        <w:t xml:space="preserve">los límites de capacidad establecidos, la Administración se reserva el derecho de ejecutar las obras complementarias que estime necesarias, según lo dispuesto en el Artículo 31.2 del Capítulo IX de la Sección </w:t>
      </w:r>
      <w:smartTag w:uri="urn:schemas-microsoft-com:office:smarttags" w:element="metricconverter">
        <w:smartTagPr>
          <w:attr w:name="ProductID" w:val="1”"/>
        </w:smartTagPr>
        <w:r w:rsidR="00302523" w:rsidRPr="00D5795A">
          <w:rPr>
            <w:rFonts w:ascii="Arial" w:hAnsi="Arial" w:cs="Arial"/>
          </w:rPr>
          <w:t>1”</w:t>
        </w:r>
      </w:smartTag>
      <w:r w:rsidR="00302523" w:rsidRPr="00D5795A">
        <w:rPr>
          <w:rFonts w:ascii="Arial" w:hAnsi="Arial" w:cs="Arial"/>
        </w:rPr>
        <w:t xml:space="preserve">; </w:t>
      </w:r>
      <w:r w:rsidR="00302523" w:rsidRPr="00BF5F4C">
        <w:rPr>
          <w:rFonts w:ascii="Arial" w:hAnsi="Arial" w:cs="Arial"/>
          <w:b/>
        </w:rPr>
        <w:t>2)</w:t>
      </w:r>
      <w:r w:rsidR="00302523" w:rsidRPr="00D5795A">
        <w:rPr>
          <w:rFonts w:ascii="Arial" w:hAnsi="Arial" w:cs="Arial"/>
        </w:rPr>
        <w:t xml:space="preserve"> “El  Concedente se reserva el derecho de </w:t>
      </w:r>
      <w:proofErr w:type="gramStart"/>
      <w:r w:rsidR="00302523" w:rsidRPr="00D5795A">
        <w:rPr>
          <w:rFonts w:ascii="Arial" w:hAnsi="Arial" w:cs="Arial"/>
        </w:rPr>
        <w:t>exigir</w:t>
      </w:r>
      <w:proofErr w:type="gramEnd"/>
      <w:r w:rsidR="00302523" w:rsidRPr="00D5795A">
        <w:rPr>
          <w:rFonts w:ascii="Arial" w:hAnsi="Arial" w:cs="Arial"/>
        </w:rPr>
        <w:t xml:space="preserve"> al Concesionario la realización de obras complementarias dentro de la zona de la Concesión, no previstas en el presente Pliego. Las mismas darán lugar a pagos al concesionario, según contrato específico a suscribirse oportunamente. Los precios unitarios máximos a regir en ese contrato serán los precios unitarios de obras similares contratadas por </w:t>
      </w:r>
      <w:smartTag w:uri="urn:schemas-microsoft-com:office:smarttags" w:element="PersonName">
        <w:smartTagPr>
          <w:attr w:name="ProductID" w:val="la DNV"/>
        </w:smartTagPr>
        <w:r w:rsidR="00302523" w:rsidRPr="00D5795A">
          <w:rPr>
            <w:rFonts w:ascii="Arial" w:hAnsi="Arial" w:cs="Arial"/>
          </w:rPr>
          <w:t>la DNV</w:t>
        </w:r>
      </w:smartTag>
      <w:r w:rsidR="00302523" w:rsidRPr="00D5795A">
        <w:rPr>
          <w:rFonts w:ascii="Arial" w:hAnsi="Arial" w:cs="Arial"/>
        </w:rPr>
        <w:t>, pudiendo el Concedente y el Concesionario acordar precios menores. En caso de no fructificar un acuerdo, la compensación al concesionario por el mantenimiento posterior de las obras adicionales, se gestionará como ampliación del contrato de concesión”.</w:t>
      </w:r>
    </w:p>
    <w:p w:rsidR="00302523" w:rsidRPr="00D5795A" w:rsidRDefault="00BF5F4C" w:rsidP="00B01268">
      <w:pPr>
        <w:spacing w:line="360" w:lineRule="auto"/>
        <w:jc w:val="both"/>
        <w:rPr>
          <w:rFonts w:ascii="Arial" w:hAnsi="Arial" w:cs="Arial"/>
        </w:rPr>
      </w:pPr>
      <w:r>
        <w:rPr>
          <w:rFonts w:ascii="Arial" w:hAnsi="Arial" w:cs="Arial"/>
          <w:b/>
        </w:rPr>
        <w:t>5</w:t>
      </w:r>
      <w:r w:rsidR="00302523">
        <w:rPr>
          <w:rFonts w:ascii="Arial" w:hAnsi="Arial" w:cs="Arial"/>
          <w:b/>
        </w:rPr>
        <w:t>.2)</w:t>
      </w:r>
      <w:r w:rsidR="00302523">
        <w:rPr>
          <w:rFonts w:ascii="Arial" w:hAnsi="Arial" w:cs="Arial"/>
        </w:rPr>
        <w:t xml:space="preserve"> </w:t>
      </w:r>
      <w:r w:rsidR="00302523" w:rsidRPr="00D5795A">
        <w:rPr>
          <w:rFonts w:ascii="Arial" w:hAnsi="Arial" w:cs="Arial"/>
        </w:rPr>
        <w:t>56.1 de la Sección del Pliego de Condiciones y decimonovena numeral 19.1 del Contrato de Concesión de Obra Pública</w:t>
      </w:r>
      <w:r>
        <w:rPr>
          <w:rFonts w:ascii="Arial" w:hAnsi="Arial" w:cs="Arial"/>
        </w:rPr>
        <w:t>,</w:t>
      </w:r>
      <w:r w:rsidR="00302523" w:rsidRPr="00D5795A">
        <w:rPr>
          <w:rFonts w:ascii="Arial" w:hAnsi="Arial" w:cs="Arial"/>
        </w:rPr>
        <w:t xml:space="preserve"> que estipulan la resolución amigable de todas las controversias, aplicable a una multa que s</w:t>
      </w:r>
      <w:r w:rsidR="00302523">
        <w:rPr>
          <w:rFonts w:ascii="Arial" w:hAnsi="Arial" w:cs="Arial"/>
        </w:rPr>
        <w:t xml:space="preserve">e tramitó para </w:t>
      </w:r>
      <w:proofErr w:type="gramStart"/>
      <w:r w:rsidR="00302523">
        <w:rPr>
          <w:rFonts w:ascii="Arial" w:hAnsi="Arial" w:cs="Arial"/>
        </w:rPr>
        <w:t>el</w:t>
      </w:r>
      <w:proofErr w:type="gramEnd"/>
      <w:r w:rsidR="00302523">
        <w:rPr>
          <w:rFonts w:ascii="Arial" w:hAnsi="Arial" w:cs="Arial"/>
        </w:rPr>
        <w:t xml:space="preserve"> Concesionario; </w:t>
      </w:r>
    </w:p>
    <w:p w:rsidR="00743F14" w:rsidRPr="008C4060" w:rsidRDefault="002C30FC" w:rsidP="00D00D6E">
      <w:pPr>
        <w:spacing w:line="360" w:lineRule="auto"/>
        <w:jc w:val="both"/>
        <w:rPr>
          <w:rFonts w:ascii="Arial" w:hAnsi="Arial" w:cs="Arial"/>
        </w:rPr>
      </w:pPr>
      <w:r>
        <w:rPr>
          <w:rFonts w:ascii="Arial" w:hAnsi="Arial" w:cs="Arial"/>
        </w:rPr>
        <w:t xml:space="preserve"> </w:t>
      </w:r>
      <w:r>
        <w:rPr>
          <w:rFonts w:ascii="Arial" w:hAnsi="Arial" w:cs="Arial"/>
        </w:rPr>
        <w:tab/>
      </w:r>
      <w:r w:rsidR="00333906" w:rsidRPr="008C4060">
        <w:rPr>
          <w:rFonts w:ascii="Arial" w:hAnsi="Arial" w:cs="Arial"/>
          <w:b/>
        </w:rPr>
        <w:t>CONSIDERANDO:</w:t>
      </w:r>
      <w:r w:rsidR="00333906" w:rsidRPr="008C4060">
        <w:rPr>
          <w:rFonts w:ascii="Arial" w:hAnsi="Arial" w:cs="Arial"/>
        </w:rPr>
        <w:t xml:space="preserve"> </w:t>
      </w:r>
      <w:r w:rsidR="00B576B7" w:rsidRPr="008C4060">
        <w:rPr>
          <w:rFonts w:ascii="Arial" w:hAnsi="Arial" w:cs="Arial"/>
          <w:b/>
        </w:rPr>
        <w:t>1)</w:t>
      </w:r>
      <w:r w:rsidR="00B576B7" w:rsidRPr="008C4060">
        <w:rPr>
          <w:rFonts w:ascii="Arial" w:hAnsi="Arial" w:cs="Arial"/>
        </w:rPr>
        <w:t xml:space="preserve"> </w:t>
      </w:r>
      <w:r w:rsidR="00333906" w:rsidRPr="008C4060">
        <w:rPr>
          <w:rFonts w:ascii="Arial" w:hAnsi="Arial" w:cs="Arial"/>
        </w:rPr>
        <w:t xml:space="preserve">que  </w:t>
      </w:r>
      <w:r w:rsidR="00D00D6E" w:rsidRPr="002C30FC">
        <w:rPr>
          <w:rFonts w:ascii="Arial" w:hAnsi="Arial" w:cs="Arial"/>
        </w:rPr>
        <w:t>la ejecución de las obras complementarias se efectúa en el marco de las previsiones del Pliego de Condiciones (</w:t>
      </w:r>
      <w:r w:rsidR="00BF5F4C">
        <w:rPr>
          <w:rFonts w:ascii="Arial" w:hAnsi="Arial" w:cs="Arial"/>
        </w:rPr>
        <w:t>A</w:t>
      </w:r>
      <w:r w:rsidR="00D00D6E" w:rsidRPr="002C30FC">
        <w:rPr>
          <w:rFonts w:ascii="Arial" w:hAnsi="Arial" w:cs="Arial"/>
        </w:rPr>
        <w:t xml:space="preserve">rtículos 31.2 y 56.1) y </w:t>
      </w:r>
      <w:r w:rsidR="00BF5F4C">
        <w:rPr>
          <w:rFonts w:ascii="Arial" w:hAnsi="Arial" w:cs="Arial"/>
        </w:rPr>
        <w:t>A</w:t>
      </w:r>
      <w:r w:rsidR="00D00D6E" w:rsidRPr="002C30FC">
        <w:rPr>
          <w:rFonts w:ascii="Arial" w:hAnsi="Arial" w:cs="Arial"/>
        </w:rPr>
        <w:t>rtículo  2º del Decreto – Ley Nº 15.637 del 28.12.1984</w:t>
      </w:r>
      <w:r w:rsidR="00C221DF">
        <w:rPr>
          <w:rFonts w:ascii="Arial" w:hAnsi="Arial" w:cs="Arial"/>
        </w:rPr>
        <w:t>,</w:t>
      </w:r>
      <w:r w:rsidR="00D00D6E" w:rsidRPr="002C30FC">
        <w:rPr>
          <w:rFonts w:ascii="Arial" w:hAnsi="Arial" w:cs="Arial"/>
        </w:rPr>
        <w:t xml:space="preserve"> que preceptúa que “mediando razones de interés público debidamente fundadas, la autoridad concedente podrá subvencionar la condición de las obras públicas. En estos casos, las condiciones de otorgamiento de la subvención podrán ser ajustadas cuando la rentabilidad de la concesión resulte superior a la prevista”</w:t>
      </w:r>
      <w:r w:rsidR="00D00D6E">
        <w:rPr>
          <w:rFonts w:ascii="Arial" w:hAnsi="Arial" w:cs="Arial"/>
        </w:rPr>
        <w:t>;</w:t>
      </w:r>
    </w:p>
    <w:p w:rsidR="002F7EDE" w:rsidRPr="00D00D6E" w:rsidRDefault="00D00D6E" w:rsidP="003B6B1B">
      <w:pPr>
        <w:spacing w:line="360" w:lineRule="auto"/>
        <w:ind w:firstLine="709"/>
        <w:jc w:val="both"/>
        <w:rPr>
          <w:rFonts w:ascii="Arial" w:hAnsi="Arial" w:cs="Arial"/>
        </w:rPr>
      </w:pPr>
      <w:r>
        <w:rPr>
          <w:rFonts w:ascii="Arial" w:hAnsi="Arial" w:cs="Arial"/>
          <w:b/>
        </w:rPr>
        <w:t xml:space="preserve">                         </w:t>
      </w:r>
      <w:r w:rsidR="00E10C39">
        <w:rPr>
          <w:rFonts w:ascii="Arial" w:hAnsi="Arial" w:cs="Arial"/>
          <w:b/>
        </w:rPr>
        <w:t xml:space="preserve">   </w:t>
      </w:r>
      <w:r>
        <w:rPr>
          <w:rFonts w:ascii="Arial" w:hAnsi="Arial" w:cs="Arial"/>
          <w:b/>
        </w:rPr>
        <w:t xml:space="preserve">     2) </w:t>
      </w:r>
      <w:r>
        <w:rPr>
          <w:rFonts w:ascii="Arial" w:hAnsi="Arial" w:cs="Arial"/>
        </w:rPr>
        <w:t>que surgen acreditadas</w:t>
      </w:r>
      <w:r w:rsidR="00BF2F69">
        <w:rPr>
          <w:rFonts w:ascii="Arial" w:hAnsi="Arial" w:cs="Arial"/>
        </w:rPr>
        <w:t>,</w:t>
      </w:r>
      <w:r>
        <w:rPr>
          <w:rFonts w:ascii="Arial" w:hAnsi="Arial" w:cs="Arial"/>
        </w:rPr>
        <w:t xml:space="preserve"> las razones de interés público</w:t>
      </w:r>
      <w:r w:rsidR="00363155">
        <w:rPr>
          <w:rFonts w:ascii="Arial" w:hAnsi="Arial" w:cs="Arial"/>
        </w:rPr>
        <w:t xml:space="preserve"> señaladas por la Administración en </w:t>
      </w:r>
      <w:r w:rsidR="00BF5F4C">
        <w:rPr>
          <w:rFonts w:ascii="Arial" w:hAnsi="Arial" w:cs="Arial"/>
        </w:rPr>
        <w:t>i</w:t>
      </w:r>
      <w:r w:rsidR="00363155">
        <w:rPr>
          <w:rFonts w:ascii="Arial" w:hAnsi="Arial" w:cs="Arial"/>
        </w:rPr>
        <w:t>nforme Nº 98/2014 del 8 de abril del 2014;</w:t>
      </w:r>
    </w:p>
    <w:p w:rsidR="00B576B7" w:rsidRPr="008C4060" w:rsidRDefault="00B576B7" w:rsidP="003B6B1B">
      <w:pPr>
        <w:pStyle w:val="Sangradetextonormal"/>
        <w:spacing w:after="0" w:line="360" w:lineRule="auto"/>
        <w:ind w:left="0" w:firstLine="709"/>
        <w:jc w:val="both"/>
        <w:rPr>
          <w:rFonts w:ascii="Arial" w:hAnsi="Arial" w:cs="Arial"/>
          <w:lang w:val="es-UY"/>
        </w:rPr>
      </w:pPr>
      <w:r w:rsidRPr="008C4060">
        <w:rPr>
          <w:rFonts w:ascii="Arial" w:hAnsi="Arial" w:cs="Arial"/>
          <w:b/>
          <w:bCs/>
          <w:spacing w:val="-3"/>
          <w:lang w:val="es-ES_tradnl"/>
        </w:rPr>
        <w:t xml:space="preserve">         ATENTO</w:t>
      </w:r>
      <w:r w:rsidRPr="008C4060">
        <w:rPr>
          <w:rFonts w:ascii="Arial" w:hAnsi="Arial" w:cs="Arial"/>
          <w:b/>
          <w:spacing w:val="-3"/>
          <w:lang w:val="es-ES_tradnl"/>
        </w:rPr>
        <w:t>:</w:t>
      </w:r>
      <w:r w:rsidRPr="008C4060">
        <w:rPr>
          <w:rFonts w:ascii="Arial" w:hAnsi="Arial" w:cs="Arial"/>
          <w:spacing w:val="-3"/>
          <w:lang w:val="es-ES_tradnl"/>
        </w:rPr>
        <w:t xml:space="preserve"> a lo precedentemente expuesto </w:t>
      </w:r>
      <w:r w:rsidRPr="008C4060">
        <w:rPr>
          <w:rFonts w:ascii="Arial" w:hAnsi="Arial" w:cs="Arial"/>
          <w:lang w:val="es-UY"/>
        </w:rPr>
        <w:t xml:space="preserve">y a lo establecido </w:t>
      </w:r>
      <w:r w:rsidR="00BF5F4C">
        <w:rPr>
          <w:rFonts w:ascii="Arial" w:hAnsi="Arial" w:cs="Arial"/>
          <w:lang w:val="es-UY"/>
        </w:rPr>
        <w:t>por</w:t>
      </w:r>
      <w:r w:rsidRPr="008C4060">
        <w:rPr>
          <w:rFonts w:ascii="Arial" w:hAnsi="Arial" w:cs="Arial"/>
          <w:lang w:val="es-UY"/>
        </w:rPr>
        <w:t xml:space="preserve"> el Artículo 211 literal B) de la Constitución de la República;</w:t>
      </w:r>
    </w:p>
    <w:p w:rsidR="002F7EDE" w:rsidRPr="008C4060" w:rsidRDefault="002F7EDE" w:rsidP="003B6B1B">
      <w:pPr>
        <w:pStyle w:val="Ttulo"/>
        <w:ind w:firstLine="709"/>
        <w:jc w:val="both"/>
        <w:rPr>
          <w:rFonts w:cs="Arial"/>
          <w:b w:val="0"/>
          <w:bCs/>
          <w:u w:val="none"/>
          <w:lang w:val="es-ES_tradnl"/>
        </w:rPr>
      </w:pPr>
    </w:p>
    <w:p w:rsidR="00B576B7" w:rsidRPr="008C4060" w:rsidRDefault="00B576B7" w:rsidP="00E10C39">
      <w:pPr>
        <w:pStyle w:val="Ttulo"/>
        <w:ind w:firstLine="709"/>
        <w:rPr>
          <w:rFonts w:cs="Arial"/>
          <w:u w:val="none"/>
          <w:lang w:val="es-ES_tradnl"/>
        </w:rPr>
      </w:pPr>
      <w:r w:rsidRPr="008C4060">
        <w:rPr>
          <w:rFonts w:cs="Arial"/>
          <w:u w:val="none"/>
          <w:lang w:val="es-ES_tradnl"/>
        </w:rPr>
        <w:t>EL TRIBUNAL ACUERDA</w:t>
      </w:r>
    </w:p>
    <w:p w:rsidR="00C25ECD" w:rsidRDefault="00C25ECD" w:rsidP="00B01268">
      <w:pPr>
        <w:pStyle w:val="Prrafodelista"/>
        <w:numPr>
          <w:ilvl w:val="0"/>
          <w:numId w:val="13"/>
        </w:numPr>
        <w:tabs>
          <w:tab w:val="left" w:pos="284"/>
        </w:tabs>
        <w:spacing w:line="360" w:lineRule="auto"/>
        <w:ind w:left="284" w:hanging="284"/>
        <w:jc w:val="both"/>
        <w:rPr>
          <w:rFonts w:ascii="Arial" w:hAnsi="Arial" w:cs="Arial"/>
        </w:rPr>
      </w:pPr>
      <w:r>
        <w:rPr>
          <w:rFonts w:ascii="Arial" w:hAnsi="Arial" w:cs="Arial"/>
        </w:rPr>
        <w:t>No formular observación al Acuerdo de fecha 7 de junio de 2017.</w:t>
      </w:r>
    </w:p>
    <w:p w:rsidR="00E10C39" w:rsidRPr="00232BE8" w:rsidRDefault="00E10C39" w:rsidP="00B01268">
      <w:pPr>
        <w:pStyle w:val="Prrafodelista"/>
        <w:numPr>
          <w:ilvl w:val="0"/>
          <w:numId w:val="13"/>
        </w:numPr>
        <w:tabs>
          <w:tab w:val="left" w:pos="284"/>
        </w:tabs>
        <w:spacing w:line="360" w:lineRule="auto"/>
        <w:ind w:left="284" w:hanging="284"/>
        <w:jc w:val="both"/>
        <w:rPr>
          <w:rFonts w:ascii="Arial" w:hAnsi="Arial" w:cs="Arial"/>
        </w:rPr>
      </w:pPr>
      <w:r w:rsidRPr="00232BE8">
        <w:rPr>
          <w:rFonts w:ascii="Arial" w:hAnsi="Arial" w:cs="Arial"/>
        </w:rPr>
        <w:t>Dictada la Resolución por el Poder Ejecutivo</w:t>
      </w:r>
      <w:r w:rsidR="00C25ECD">
        <w:rPr>
          <w:rFonts w:ascii="Arial" w:hAnsi="Arial" w:cs="Arial"/>
        </w:rPr>
        <w:t xml:space="preserve"> aprobando el mismo</w:t>
      </w:r>
      <w:r w:rsidRPr="00232BE8">
        <w:rPr>
          <w:rFonts w:ascii="Arial" w:hAnsi="Arial" w:cs="Arial"/>
        </w:rPr>
        <w:t xml:space="preserve">, </w:t>
      </w:r>
      <w:r w:rsidR="00C25ECD">
        <w:rPr>
          <w:rFonts w:ascii="Arial" w:hAnsi="Arial" w:cs="Arial"/>
        </w:rPr>
        <w:t>cometer</w:t>
      </w:r>
      <w:r w:rsidRPr="00232BE8">
        <w:rPr>
          <w:rFonts w:ascii="Arial" w:hAnsi="Arial" w:cs="Arial"/>
        </w:rPr>
        <w:t xml:space="preserve"> al Contador Auditor ante el Ministerio de Transporte y Obras Públicas, el control de </w:t>
      </w:r>
      <w:r w:rsidR="00C25ECD">
        <w:rPr>
          <w:rFonts w:ascii="Arial" w:hAnsi="Arial" w:cs="Arial"/>
        </w:rPr>
        <w:t xml:space="preserve">que </w:t>
      </w:r>
      <w:r w:rsidRPr="00232BE8">
        <w:rPr>
          <w:rFonts w:ascii="Arial" w:hAnsi="Arial" w:cs="Arial"/>
        </w:rPr>
        <w:t xml:space="preserve">la misma </w:t>
      </w:r>
      <w:r w:rsidR="00C25ECD">
        <w:rPr>
          <w:rFonts w:ascii="Arial" w:hAnsi="Arial" w:cs="Arial"/>
        </w:rPr>
        <w:t>concuerde con</w:t>
      </w:r>
      <w:r w:rsidRPr="00232BE8">
        <w:rPr>
          <w:rFonts w:ascii="Arial" w:hAnsi="Arial" w:cs="Arial"/>
        </w:rPr>
        <w:t xml:space="preserve"> los antecedentes remitidos a este Tribunal (</w:t>
      </w:r>
      <w:r w:rsidR="00BF5F4C">
        <w:rPr>
          <w:rFonts w:ascii="Arial" w:hAnsi="Arial" w:cs="Arial"/>
        </w:rPr>
        <w:t>A</w:t>
      </w:r>
      <w:r w:rsidRPr="00232BE8">
        <w:rPr>
          <w:rFonts w:ascii="Arial" w:hAnsi="Arial" w:cs="Arial"/>
        </w:rPr>
        <w:t xml:space="preserve">rtículo 8 de la Ordenanza Nº 27 de fecha 22.05.58 en la redacción sustitutiva dispuesta por </w:t>
      </w:r>
      <w:r w:rsidR="00BF5F4C">
        <w:rPr>
          <w:rFonts w:ascii="Arial" w:hAnsi="Arial" w:cs="Arial"/>
        </w:rPr>
        <w:t>Resolución</w:t>
      </w:r>
      <w:r w:rsidRPr="00232BE8">
        <w:rPr>
          <w:rFonts w:ascii="Arial" w:hAnsi="Arial" w:cs="Arial"/>
        </w:rPr>
        <w:t xml:space="preserve"> del Tribunal de Cuentas del 16.06.2010). </w:t>
      </w:r>
    </w:p>
    <w:p w:rsidR="00BF5F4C" w:rsidRDefault="00BF5F4C" w:rsidP="00B01268">
      <w:pPr>
        <w:pStyle w:val="Prrafodelista"/>
        <w:numPr>
          <w:ilvl w:val="0"/>
          <w:numId w:val="13"/>
        </w:numPr>
        <w:tabs>
          <w:tab w:val="left" w:pos="284"/>
        </w:tabs>
        <w:spacing w:line="360" w:lineRule="auto"/>
        <w:ind w:left="284" w:hanging="284"/>
        <w:jc w:val="both"/>
        <w:rPr>
          <w:rFonts w:ascii="Arial" w:hAnsi="Arial" w:cs="Arial"/>
        </w:rPr>
      </w:pPr>
      <w:r>
        <w:rPr>
          <w:rFonts w:ascii="Arial" w:hAnsi="Arial" w:cs="Arial"/>
        </w:rPr>
        <w:t>Comunicar al Contador Auditor;</w:t>
      </w:r>
    </w:p>
    <w:p w:rsidR="00FA3B17" w:rsidRDefault="002F7EDE" w:rsidP="00B01268">
      <w:pPr>
        <w:pStyle w:val="Prrafodelista"/>
        <w:numPr>
          <w:ilvl w:val="0"/>
          <w:numId w:val="13"/>
        </w:numPr>
        <w:tabs>
          <w:tab w:val="left" w:pos="284"/>
        </w:tabs>
        <w:spacing w:line="360" w:lineRule="auto"/>
        <w:ind w:left="284" w:hanging="284"/>
        <w:jc w:val="both"/>
        <w:rPr>
          <w:rFonts w:ascii="Arial" w:hAnsi="Arial" w:cs="Arial"/>
        </w:rPr>
      </w:pPr>
      <w:r w:rsidRPr="00B01268">
        <w:rPr>
          <w:rFonts w:ascii="Arial" w:hAnsi="Arial" w:cs="Arial"/>
        </w:rPr>
        <w:t>Devolver las actuaciones</w:t>
      </w:r>
      <w:r w:rsidR="00BF5F4C" w:rsidRPr="00B01268">
        <w:rPr>
          <w:rFonts w:ascii="Arial" w:hAnsi="Arial" w:cs="Arial"/>
        </w:rPr>
        <w:t xml:space="preserve"> al </w:t>
      </w:r>
      <w:r w:rsidR="00B01268" w:rsidRPr="00B01268">
        <w:rPr>
          <w:rFonts w:ascii="Arial" w:hAnsi="Arial" w:cs="Arial"/>
        </w:rPr>
        <w:t>Ministerio de Transporte y Obras Públicas</w:t>
      </w:r>
      <w:r w:rsidR="00B01268">
        <w:rPr>
          <w:rFonts w:ascii="Arial" w:hAnsi="Arial" w:cs="Arial"/>
        </w:rPr>
        <w:t>.</w:t>
      </w:r>
    </w:p>
    <w:p w:rsidR="00B01268" w:rsidRPr="00DF24D2" w:rsidRDefault="00DF24D2" w:rsidP="00DF24D2">
      <w:pPr>
        <w:pStyle w:val="Prrafodelista"/>
        <w:tabs>
          <w:tab w:val="left" w:pos="284"/>
        </w:tabs>
        <w:spacing w:line="360" w:lineRule="auto"/>
        <w:ind w:left="284" w:hanging="284"/>
        <w:jc w:val="both"/>
        <w:rPr>
          <w:rFonts w:ascii="Arial" w:hAnsi="Arial" w:cs="Arial"/>
          <w:sz w:val="20"/>
          <w:szCs w:val="20"/>
        </w:rPr>
      </w:pPr>
      <w:r w:rsidRPr="00DF24D2">
        <w:rPr>
          <w:rFonts w:ascii="Arial" w:hAnsi="Arial" w:cs="Arial"/>
          <w:sz w:val="20"/>
          <w:szCs w:val="20"/>
        </w:rPr>
        <w:t>CLC</w:t>
      </w:r>
    </w:p>
    <w:p w:rsidR="00FA3B17" w:rsidRDefault="00FA3B17" w:rsidP="00B01268">
      <w:pPr>
        <w:tabs>
          <w:tab w:val="left" w:pos="284"/>
        </w:tabs>
        <w:spacing w:line="360" w:lineRule="auto"/>
        <w:ind w:left="284" w:hanging="284"/>
        <w:jc w:val="center"/>
        <w:rPr>
          <w:rFonts w:ascii="Arial" w:hAnsi="Arial" w:cs="Arial"/>
        </w:rPr>
      </w:pPr>
    </w:p>
    <w:p w:rsidR="006D7A93" w:rsidRDefault="006D7A93" w:rsidP="00B01268">
      <w:pPr>
        <w:tabs>
          <w:tab w:val="left" w:pos="284"/>
        </w:tabs>
        <w:ind w:left="284" w:hanging="284"/>
        <w:jc w:val="center"/>
        <w:rPr>
          <w:rFonts w:ascii="Century Gothic" w:hAnsi="Century Gothic"/>
          <w:b/>
          <w:i/>
        </w:rPr>
      </w:pPr>
    </w:p>
    <w:p w:rsidR="00BF5F4C" w:rsidRDefault="00BF5F4C" w:rsidP="00B01268">
      <w:pPr>
        <w:tabs>
          <w:tab w:val="left" w:pos="284"/>
        </w:tabs>
        <w:ind w:left="284" w:hanging="284"/>
        <w:jc w:val="center"/>
        <w:rPr>
          <w:rFonts w:ascii="Century Gothic" w:hAnsi="Century Gothic"/>
          <w:b/>
          <w:i/>
        </w:rPr>
      </w:pPr>
    </w:p>
    <w:p w:rsidR="00BF5F4C" w:rsidRDefault="00BF5F4C" w:rsidP="00B01268">
      <w:pPr>
        <w:tabs>
          <w:tab w:val="left" w:pos="284"/>
        </w:tabs>
        <w:ind w:left="284" w:hanging="284"/>
        <w:jc w:val="center"/>
        <w:rPr>
          <w:rFonts w:ascii="Century Gothic" w:hAnsi="Century Gothic"/>
          <w:b/>
          <w:i/>
        </w:rPr>
      </w:pPr>
    </w:p>
    <w:p w:rsidR="00BF5F4C" w:rsidRDefault="00BF5F4C" w:rsidP="00B01268">
      <w:pPr>
        <w:tabs>
          <w:tab w:val="left" w:pos="284"/>
        </w:tabs>
        <w:ind w:left="284" w:hanging="284"/>
        <w:jc w:val="center"/>
        <w:rPr>
          <w:rFonts w:ascii="Century Gothic" w:hAnsi="Century Gothic"/>
          <w:b/>
          <w:i/>
        </w:rPr>
      </w:pPr>
    </w:p>
    <w:p w:rsidR="00BF5F4C" w:rsidRDefault="00BF5F4C" w:rsidP="00B01268">
      <w:pPr>
        <w:tabs>
          <w:tab w:val="left" w:pos="284"/>
        </w:tabs>
        <w:ind w:left="284" w:hanging="284"/>
        <w:jc w:val="center"/>
        <w:rPr>
          <w:rFonts w:ascii="Century Gothic" w:hAnsi="Century Gothic"/>
          <w:b/>
          <w:i/>
        </w:rPr>
      </w:pPr>
    </w:p>
    <w:p w:rsidR="00BF5F4C" w:rsidRDefault="00BF5F4C" w:rsidP="00B01268">
      <w:pPr>
        <w:tabs>
          <w:tab w:val="left" w:pos="284"/>
        </w:tabs>
        <w:ind w:left="284" w:hanging="284"/>
        <w:jc w:val="center"/>
        <w:rPr>
          <w:rFonts w:ascii="Century Gothic" w:hAnsi="Century Gothic"/>
          <w:b/>
          <w:i/>
        </w:rPr>
      </w:pPr>
    </w:p>
    <w:p w:rsidR="00BF5F4C" w:rsidRDefault="00BF5F4C" w:rsidP="00B01268">
      <w:pPr>
        <w:tabs>
          <w:tab w:val="left" w:pos="284"/>
        </w:tabs>
        <w:ind w:left="284" w:hanging="284"/>
        <w:jc w:val="center"/>
        <w:rPr>
          <w:rFonts w:ascii="Century Gothic" w:hAnsi="Century Gothic"/>
          <w:b/>
          <w:i/>
        </w:rPr>
      </w:pPr>
    </w:p>
    <w:p w:rsidR="00BF5F4C" w:rsidRDefault="00BF5F4C" w:rsidP="00B01268">
      <w:pPr>
        <w:tabs>
          <w:tab w:val="left" w:pos="284"/>
        </w:tabs>
        <w:ind w:left="284" w:hanging="284"/>
        <w:jc w:val="center"/>
        <w:rPr>
          <w:rFonts w:ascii="Century Gothic" w:hAnsi="Century Gothic"/>
          <w:b/>
          <w:i/>
        </w:rPr>
      </w:pPr>
    </w:p>
    <w:p w:rsidR="00BF5F4C" w:rsidRPr="00B51747" w:rsidRDefault="00BF5F4C" w:rsidP="00C221DF">
      <w:pPr>
        <w:jc w:val="center"/>
        <w:rPr>
          <w:rFonts w:ascii="Century Gothic" w:hAnsi="Century Gothic"/>
          <w:b/>
          <w:i/>
        </w:rPr>
      </w:pPr>
      <w:bookmarkStart w:id="0" w:name="_GoBack"/>
      <w:bookmarkEnd w:id="0"/>
    </w:p>
    <w:sectPr w:rsidR="00BF5F4C" w:rsidRPr="00B51747" w:rsidSect="00B01268">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268" w:rsidRDefault="00B01268" w:rsidP="002009F4">
      <w:r>
        <w:separator/>
      </w:r>
    </w:p>
  </w:endnote>
  <w:endnote w:type="continuationSeparator" w:id="0">
    <w:p w:rsidR="00B01268" w:rsidRDefault="00B01268" w:rsidP="0020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68" w:rsidRDefault="00B01268">
    <w:pPr>
      <w:pStyle w:val="Piedepgina"/>
      <w:jc w:val="center"/>
    </w:pPr>
    <w:r>
      <w:fldChar w:fldCharType="begin"/>
    </w:r>
    <w:r>
      <w:instrText>PAGE   \* MERGEFORMAT</w:instrText>
    </w:r>
    <w:r>
      <w:fldChar w:fldCharType="separate"/>
    </w:r>
    <w:r w:rsidR="00DF24D2">
      <w:rPr>
        <w:noProof/>
      </w:rPr>
      <w:t>1</w:t>
    </w:r>
    <w:r>
      <w:fldChar w:fldCharType="end"/>
    </w:r>
  </w:p>
  <w:p w:rsidR="00B01268" w:rsidRDefault="00B012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268" w:rsidRDefault="00B01268" w:rsidP="002009F4">
      <w:r>
        <w:separator/>
      </w:r>
    </w:p>
  </w:footnote>
  <w:footnote w:type="continuationSeparator" w:id="0">
    <w:p w:rsidR="00B01268" w:rsidRDefault="00B01268" w:rsidP="0020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285"/>
    <w:multiLevelType w:val="hybridMultilevel"/>
    <w:tmpl w:val="65A26748"/>
    <w:lvl w:ilvl="0" w:tplc="9C8C4864">
      <w:start w:val="1"/>
      <w:numFmt w:val="decimal"/>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
    <w:nsid w:val="12046764"/>
    <w:multiLevelType w:val="hybridMultilevel"/>
    <w:tmpl w:val="5F56F8F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7A28E3"/>
    <w:multiLevelType w:val="hybridMultilevel"/>
    <w:tmpl w:val="9056C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B1814B0"/>
    <w:multiLevelType w:val="hybridMultilevel"/>
    <w:tmpl w:val="9272A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03C5C87"/>
    <w:multiLevelType w:val="hybridMultilevel"/>
    <w:tmpl w:val="4190C5EC"/>
    <w:lvl w:ilvl="0" w:tplc="58BA59B0">
      <w:start w:val="1"/>
      <w:numFmt w:val="upperRoman"/>
      <w:lvlText w:val="%1)"/>
      <w:lvlJc w:val="left"/>
      <w:pPr>
        <w:ind w:left="1425" w:hanging="720"/>
      </w:pPr>
      <w:rPr>
        <w:rFonts w:cs="Times New Roman" w:hint="default"/>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5">
    <w:nsid w:val="2D8B699D"/>
    <w:multiLevelType w:val="hybridMultilevel"/>
    <w:tmpl w:val="C1DCCE9A"/>
    <w:lvl w:ilvl="0" w:tplc="F08CD19A">
      <w:start w:val="1"/>
      <w:numFmt w:val="decimal"/>
      <w:lvlText w:val="%1)"/>
      <w:lvlJc w:val="left"/>
      <w:pPr>
        <w:ind w:left="2136" w:hanging="360"/>
      </w:pPr>
      <w:rPr>
        <w:rFonts w:cs="Times New Roman" w:hint="default"/>
      </w:rPr>
    </w:lvl>
    <w:lvl w:ilvl="1" w:tplc="0C0A0019" w:tentative="1">
      <w:start w:val="1"/>
      <w:numFmt w:val="lowerLetter"/>
      <w:lvlText w:val="%2."/>
      <w:lvlJc w:val="left"/>
      <w:pPr>
        <w:ind w:left="2856" w:hanging="360"/>
      </w:pPr>
      <w:rPr>
        <w:rFonts w:cs="Times New Roman"/>
      </w:rPr>
    </w:lvl>
    <w:lvl w:ilvl="2" w:tplc="0C0A001B" w:tentative="1">
      <w:start w:val="1"/>
      <w:numFmt w:val="lowerRoman"/>
      <w:lvlText w:val="%3."/>
      <w:lvlJc w:val="right"/>
      <w:pPr>
        <w:ind w:left="3576" w:hanging="180"/>
      </w:pPr>
      <w:rPr>
        <w:rFonts w:cs="Times New Roman"/>
      </w:rPr>
    </w:lvl>
    <w:lvl w:ilvl="3" w:tplc="0C0A000F" w:tentative="1">
      <w:start w:val="1"/>
      <w:numFmt w:val="decimal"/>
      <w:lvlText w:val="%4."/>
      <w:lvlJc w:val="left"/>
      <w:pPr>
        <w:ind w:left="4296" w:hanging="360"/>
      </w:pPr>
      <w:rPr>
        <w:rFonts w:cs="Times New Roman"/>
      </w:rPr>
    </w:lvl>
    <w:lvl w:ilvl="4" w:tplc="0C0A0019" w:tentative="1">
      <w:start w:val="1"/>
      <w:numFmt w:val="lowerLetter"/>
      <w:lvlText w:val="%5."/>
      <w:lvlJc w:val="left"/>
      <w:pPr>
        <w:ind w:left="5016" w:hanging="360"/>
      </w:pPr>
      <w:rPr>
        <w:rFonts w:cs="Times New Roman"/>
      </w:rPr>
    </w:lvl>
    <w:lvl w:ilvl="5" w:tplc="0C0A001B" w:tentative="1">
      <w:start w:val="1"/>
      <w:numFmt w:val="lowerRoman"/>
      <w:lvlText w:val="%6."/>
      <w:lvlJc w:val="right"/>
      <w:pPr>
        <w:ind w:left="5736" w:hanging="180"/>
      </w:pPr>
      <w:rPr>
        <w:rFonts w:cs="Times New Roman"/>
      </w:rPr>
    </w:lvl>
    <w:lvl w:ilvl="6" w:tplc="0C0A000F" w:tentative="1">
      <w:start w:val="1"/>
      <w:numFmt w:val="decimal"/>
      <w:lvlText w:val="%7."/>
      <w:lvlJc w:val="left"/>
      <w:pPr>
        <w:ind w:left="6456" w:hanging="360"/>
      </w:pPr>
      <w:rPr>
        <w:rFonts w:cs="Times New Roman"/>
      </w:rPr>
    </w:lvl>
    <w:lvl w:ilvl="7" w:tplc="0C0A0019" w:tentative="1">
      <w:start w:val="1"/>
      <w:numFmt w:val="lowerLetter"/>
      <w:lvlText w:val="%8."/>
      <w:lvlJc w:val="left"/>
      <w:pPr>
        <w:ind w:left="7176" w:hanging="360"/>
      </w:pPr>
      <w:rPr>
        <w:rFonts w:cs="Times New Roman"/>
      </w:rPr>
    </w:lvl>
    <w:lvl w:ilvl="8" w:tplc="0C0A001B" w:tentative="1">
      <w:start w:val="1"/>
      <w:numFmt w:val="lowerRoman"/>
      <w:lvlText w:val="%9."/>
      <w:lvlJc w:val="right"/>
      <w:pPr>
        <w:ind w:left="7896" w:hanging="180"/>
      </w:pPr>
      <w:rPr>
        <w:rFonts w:cs="Times New Roman"/>
      </w:rPr>
    </w:lvl>
  </w:abstractNum>
  <w:abstractNum w:abstractNumId="6">
    <w:nsid w:val="459811F7"/>
    <w:multiLevelType w:val="hybridMultilevel"/>
    <w:tmpl w:val="B3FAEA0C"/>
    <w:lvl w:ilvl="0" w:tplc="EC283842">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4FDB4652"/>
    <w:multiLevelType w:val="hybridMultilevel"/>
    <w:tmpl w:val="9F5C294E"/>
    <w:lvl w:ilvl="0" w:tplc="EED28A00">
      <w:start w:val="1"/>
      <w:numFmt w:val="decimal"/>
      <w:lvlText w:val="%1)"/>
      <w:lvlJc w:val="left"/>
      <w:pPr>
        <w:ind w:left="1776" w:hanging="360"/>
      </w:pPr>
      <w:rPr>
        <w:rFonts w:hint="default"/>
        <w:b w:val="0"/>
        <w:i w:val="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nsid w:val="553472BB"/>
    <w:multiLevelType w:val="hybridMultilevel"/>
    <w:tmpl w:val="AB8215FC"/>
    <w:lvl w:ilvl="0" w:tplc="6256120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nsid w:val="5D4D0A52"/>
    <w:multiLevelType w:val="hybridMultilevel"/>
    <w:tmpl w:val="2220B2A2"/>
    <w:lvl w:ilvl="0" w:tplc="79E487CE">
      <w:start w:val="1"/>
      <w:numFmt w:val="decimal"/>
      <w:lvlText w:val="%1."/>
      <w:lvlJc w:val="left"/>
      <w:pPr>
        <w:ind w:left="1069" w:hanging="360"/>
      </w:pPr>
      <w:rPr>
        <w:rFonts w:ascii="Arial" w:eastAsia="Times New Roman" w:hAnsi="Arial" w:cs="Arial"/>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nsid w:val="5D6B1E57"/>
    <w:multiLevelType w:val="hybridMultilevel"/>
    <w:tmpl w:val="6F267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E8D1169"/>
    <w:multiLevelType w:val="hybridMultilevel"/>
    <w:tmpl w:val="734E1296"/>
    <w:lvl w:ilvl="0" w:tplc="B80C4DF0">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6867785D"/>
    <w:multiLevelType w:val="hybridMultilevel"/>
    <w:tmpl w:val="A63E33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BE804DE"/>
    <w:multiLevelType w:val="hybridMultilevel"/>
    <w:tmpl w:val="792864FC"/>
    <w:lvl w:ilvl="0" w:tplc="5AB0A500">
      <w:start w:val="1"/>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4">
    <w:nsid w:val="70484FC1"/>
    <w:multiLevelType w:val="hybridMultilevel"/>
    <w:tmpl w:val="AB8215FC"/>
    <w:lvl w:ilvl="0" w:tplc="6256120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nsid w:val="727958CA"/>
    <w:multiLevelType w:val="hybridMultilevel"/>
    <w:tmpl w:val="09C2BF34"/>
    <w:lvl w:ilvl="0" w:tplc="7E3E98BC">
      <w:start w:val="1"/>
      <w:numFmt w:val="decimal"/>
      <w:lvlText w:val="%1)"/>
      <w:lvlJc w:val="left"/>
      <w:pPr>
        <w:ind w:left="1776" w:hanging="360"/>
      </w:pPr>
      <w:rPr>
        <w:rFonts w:hint="default"/>
        <w:b w:val="0"/>
        <w:i w:val="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6">
    <w:nsid w:val="729175A4"/>
    <w:multiLevelType w:val="hybridMultilevel"/>
    <w:tmpl w:val="4404A2C8"/>
    <w:lvl w:ilvl="0" w:tplc="937A1594">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7">
    <w:nsid w:val="7704298E"/>
    <w:multiLevelType w:val="hybridMultilevel"/>
    <w:tmpl w:val="4C9682C2"/>
    <w:lvl w:ilvl="0" w:tplc="515A38B8">
      <w:start w:val="1"/>
      <w:numFmt w:val="lowerLetter"/>
      <w:lvlText w:val="%1)"/>
      <w:lvlJc w:val="left"/>
      <w:pPr>
        <w:ind w:left="1776" w:hanging="360"/>
      </w:pPr>
      <w:rPr>
        <w:rFonts w:cs="Times New Roman" w:hint="default"/>
      </w:rPr>
    </w:lvl>
    <w:lvl w:ilvl="1" w:tplc="0C0A0019" w:tentative="1">
      <w:start w:val="1"/>
      <w:numFmt w:val="lowerLetter"/>
      <w:lvlText w:val="%2."/>
      <w:lvlJc w:val="left"/>
      <w:pPr>
        <w:ind w:left="2496" w:hanging="360"/>
      </w:pPr>
      <w:rPr>
        <w:rFonts w:cs="Times New Roman"/>
      </w:rPr>
    </w:lvl>
    <w:lvl w:ilvl="2" w:tplc="0C0A001B" w:tentative="1">
      <w:start w:val="1"/>
      <w:numFmt w:val="lowerRoman"/>
      <w:lvlText w:val="%3."/>
      <w:lvlJc w:val="right"/>
      <w:pPr>
        <w:ind w:left="3216" w:hanging="180"/>
      </w:pPr>
      <w:rPr>
        <w:rFonts w:cs="Times New Roman"/>
      </w:rPr>
    </w:lvl>
    <w:lvl w:ilvl="3" w:tplc="0C0A000F" w:tentative="1">
      <w:start w:val="1"/>
      <w:numFmt w:val="decimal"/>
      <w:lvlText w:val="%4."/>
      <w:lvlJc w:val="left"/>
      <w:pPr>
        <w:ind w:left="3936" w:hanging="360"/>
      </w:pPr>
      <w:rPr>
        <w:rFonts w:cs="Times New Roman"/>
      </w:rPr>
    </w:lvl>
    <w:lvl w:ilvl="4" w:tplc="0C0A0019" w:tentative="1">
      <w:start w:val="1"/>
      <w:numFmt w:val="lowerLetter"/>
      <w:lvlText w:val="%5."/>
      <w:lvlJc w:val="left"/>
      <w:pPr>
        <w:ind w:left="4656" w:hanging="360"/>
      </w:pPr>
      <w:rPr>
        <w:rFonts w:cs="Times New Roman"/>
      </w:rPr>
    </w:lvl>
    <w:lvl w:ilvl="5" w:tplc="0C0A001B" w:tentative="1">
      <w:start w:val="1"/>
      <w:numFmt w:val="lowerRoman"/>
      <w:lvlText w:val="%6."/>
      <w:lvlJc w:val="right"/>
      <w:pPr>
        <w:ind w:left="5376" w:hanging="180"/>
      </w:pPr>
      <w:rPr>
        <w:rFonts w:cs="Times New Roman"/>
      </w:rPr>
    </w:lvl>
    <w:lvl w:ilvl="6" w:tplc="0C0A000F" w:tentative="1">
      <w:start w:val="1"/>
      <w:numFmt w:val="decimal"/>
      <w:lvlText w:val="%7."/>
      <w:lvlJc w:val="left"/>
      <w:pPr>
        <w:ind w:left="6096" w:hanging="360"/>
      </w:pPr>
      <w:rPr>
        <w:rFonts w:cs="Times New Roman"/>
      </w:rPr>
    </w:lvl>
    <w:lvl w:ilvl="7" w:tplc="0C0A0019" w:tentative="1">
      <w:start w:val="1"/>
      <w:numFmt w:val="lowerLetter"/>
      <w:lvlText w:val="%8."/>
      <w:lvlJc w:val="left"/>
      <w:pPr>
        <w:ind w:left="6816" w:hanging="360"/>
      </w:pPr>
      <w:rPr>
        <w:rFonts w:cs="Times New Roman"/>
      </w:rPr>
    </w:lvl>
    <w:lvl w:ilvl="8" w:tplc="0C0A001B" w:tentative="1">
      <w:start w:val="1"/>
      <w:numFmt w:val="lowerRoman"/>
      <w:lvlText w:val="%9."/>
      <w:lvlJc w:val="right"/>
      <w:pPr>
        <w:ind w:left="7536" w:hanging="180"/>
      </w:pPr>
      <w:rPr>
        <w:rFonts w:cs="Times New Roman"/>
      </w:rPr>
    </w:lvl>
  </w:abstractNum>
  <w:num w:numId="1">
    <w:abstractNumId w:val="4"/>
  </w:num>
  <w:num w:numId="2">
    <w:abstractNumId w:val="11"/>
  </w:num>
  <w:num w:numId="3">
    <w:abstractNumId w:val="10"/>
  </w:num>
  <w:num w:numId="4">
    <w:abstractNumId w:val="2"/>
  </w:num>
  <w:num w:numId="5">
    <w:abstractNumId w:val="6"/>
  </w:num>
  <w:num w:numId="6">
    <w:abstractNumId w:val="17"/>
  </w:num>
  <w:num w:numId="7">
    <w:abstractNumId w:val="5"/>
  </w:num>
  <w:num w:numId="8">
    <w:abstractNumId w:val="16"/>
  </w:num>
  <w:num w:numId="9">
    <w:abstractNumId w:val="13"/>
  </w:num>
  <w:num w:numId="10">
    <w:abstractNumId w:val="3"/>
  </w:num>
  <w:num w:numId="11">
    <w:abstractNumId w:val="7"/>
  </w:num>
  <w:num w:numId="12">
    <w:abstractNumId w:val="15"/>
  </w:num>
  <w:num w:numId="13">
    <w:abstractNumId w:val="0"/>
  </w:num>
  <w:num w:numId="14">
    <w:abstractNumId w:val="12"/>
  </w:num>
  <w:num w:numId="15">
    <w:abstractNumId w:val="1"/>
  </w:num>
  <w:num w:numId="16">
    <w:abstractNumId w:val="8"/>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3D"/>
    <w:rsid w:val="000340FE"/>
    <w:rsid w:val="000415A9"/>
    <w:rsid w:val="00042530"/>
    <w:rsid w:val="00053248"/>
    <w:rsid w:val="0005485A"/>
    <w:rsid w:val="00072271"/>
    <w:rsid w:val="000A7560"/>
    <w:rsid w:val="000B5632"/>
    <w:rsid w:val="00125917"/>
    <w:rsid w:val="00130E76"/>
    <w:rsid w:val="00142088"/>
    <w:rsid w:val="0017002D"/>
    <w:rsid w:val="00174905"/>
    <w:rsid w:val="001874A7"/>
    <w:rsid w:val="001B0050"/>
    <w:rsid w:val="001B2E32"/>
    <w:rsid w:val="001D70A8"/>
    <w:rsid w:val="002009F4"/>
    <w:rsid w:val="0021183F"/>
    <w:rsid w:val="00232BE8"/>
    <w:rsid w:val="002428DF"/>
    <w:rsid w:val="002555AE"/>
    <w:rsid w:val="0025742A"/>
    <w:rsid w:val="00263581"/>
    <w:rsid w:val="00266D6A"/>
    <w:rsid w:val="002676C7"/>
    <w:rsid w:val="00287C87"/>
    <w:rsid w:val="00293EBE"/>
    <w:rsid w:val="00294F8A"/>
    <w:rsid w:val="002A5428"/>
    <w:rsid w:val="002B6734"/>
    <w:rsid w:val="002C30FC"/>
    <w:rsid w:val="002D30CC"/>
    <w:rsid w:val="002E5195"/>
    <w:rsid w:val="002F7EDE"/>
    <w:rsid w:val="00302523"/>
    <w:rsid w:val="00302A29"/>
    <w:rsid w:val="003034E3"/>
    <w:rsid w:val="00333906"/>
    <w:rsid w:val="00340C01"/>
    <w:rsid w:val="00350B3C"/>
    <w:rsid w:val="00363155"/>
    <w:rsid w:val="00371E07"/>
    <w:rsid w:val="00382576"/>
    <w:rsid w:val="003A4AA6"/>
    <w:rsid w:val="003B69FC"/>
    <w:rsid w:val="003B6B1B"/>
    <w:rsid w:val="003B7711"/>
    <w:rsid w:val="003C24B0"/>
    <w:rsid w:val="003C2E26"/>
    <w:rsid w:val="003D27D2"/>
    <w:rsid w:val="003D2C4E"/>
    <w:rsid w:val="003F17F8"/>
    <w:rsid w:val="003F2A38"/>
    <w:rsid w:val="003F5EF9"/>
    <w:rsid w:val="00420033"/>
    <w:rsid w:val="00445A19"/>
    <w:rsid w:val="00453E0B"/>
    <w:rsid w:val="0046303C"/>
    <w:rsid w:val="00470F9F"/>
    <w:rsid w:val="00485435"/>
    <w:rsid w:val="00495C9C"/>
    <w:rsid w:val="004E29F3"/>
    <w:rsid w:val="004F488F"/>
    <w:rsid w:val="004F50C9"/>
    <w:rsid w:val="005161AB"/>
    <w:rsid w:val="00531B3B"/>
    <w:rsid w:val="00540DCE"/>
    <w:rsid w:val="0055525A"/>
    <w:rsid w:val="0055687A"/>
    <w:rsid w:val="005634AB"/>
    <w:rsid w:val="00573D23"/>
    <w:rsid w:val="005953E5"/>
    <w:rsid w:val="005B5838"/>
    <w:rsid w:val="005D6D5B"/>
    <w:rsid w:val="005E3E60"/>
    <w:rsid w:val="00611320"/>
    <w:rsid w:val="00622504"/>
    <w:rsid w:val="00646B3A"/>
    <w:rsid w:val="006472F0"/>
    <w:rsid w:val="00655BB8"/>
    <w:rsid w:val="00676668"/>
    <w:rsid w:val="0068198F"/>
    <w:rsid w:val="00683BD9"/>
    <w:rsid w:val="00684CB2"/>
    <w:rsid w:val="00691C47"/>
    <w:rsid w:val="006A04EE"/>
    <w:rsid w:val="006C79E8"/>
    <w:rsid w:val="006D066C"/>
    <w:rsid w:val="006D7A93"/>
    <w:rsid w:val="006D7FA6"/>
    <w:rsid w:val="007045F1"/>
    <w:rsid w:val="0070591A"/>
    <w:rsid w:val="007115FF"/>
    <w:rsid w:val="007177D6"/>
    <w:rsid w:val="007226D6"/>
    <w:rsid w:val="007227CE"/>
    <w:rsid w:val="00743F14"/>
    <w:rsid w:val="00744686"/>
    <w:rsid w:val="00751AA7"/>
    <w:rsid w:val="007575FE"/>
    <w:rsid w:val="00761DC5"/>
    <w:rsid w:val="00766A43"/>
    <w:rsid w:val="007753CE"/>
    <w:rsid w:val="007B5A85"/>
    <w:rsid w:val="007F454E"/>
    <w:rsid w:val="0081375F"/>
    <w:rsid w:val="008170CF"/>
    <w:rsid w:val="00831F00"/>
    <w:rsid w:val="008343BB"/>
    <w:rsid w:val="00841AD4"/>
    <w:rsid w:val="00845578"/>
    <w:rsid w:val="00855318"/>
    <w:rsid w:val="00870254"/>
    <w:rsid w:val="00876F4E"/>
    <w:rsid w:val="008C3963"/>
    <w:rsid w:val="008C4060"/>
    <w:rsid w:val="008E0130"/>
    <w:rsid w:val="008E2199"/>
    <w:rsid w:val="008E2746"/>
    <w:rsid w:val="00922D51"/>
    <w:rsid w:val="00933954"/>
    <w:rsid w:val="00934961"/>
    <w:rsid w:val="00940570"/>
    <w:rsid w:val="0094787E"/>
    <w:rsid w:val="00962FC1"/>
    <w:rsid w:val="00972B3A"/>
    <w:rsid w:val="00973DE7"/>
    <w:rsid w:val="0098304A"/>
    <w:rsid w:val="009A115C"/>
    <w:rsid w:val="009A262B"/>
    <w:rsid w:val="009B5618"/>
    <w:rsid w:val="009E2BC3"/>
    <w:rsid w:val="009E4870"/>
    <w:rsid w:val="009E4C9A"/>
    <w:rsid w:val="00A24584"/>
    <w:rsid w:val="00A31B54"/>
    <w:rsid w:val="00A56AA0"/>
    <w:rsid w:val="00A87DEF"/>
    <w:rsid w:val="00A936FA"/>
    <w:rsid w:val="00AA1805"/>
    <w:rsid w:val="00AB5BA7"/>
    <w:rsid w:val="00AE7226"/>
    <w:rsid w:val="00AF1131"/>
    <w:rsid w:val="00B01268"/>
    <w:rsid w:val="00B04C91"/>
    <w:rsid w:val="00B265B9"/>
    <w:rsid w:val="00B576B7"/>
    <w:rsid w:val="00B66E02"/>
    <w:rsid w:val="00B671F5"/>
    <w:rsid w:val="00B85BBF"/>
    <w:rsid w:val="00BA11D5"/>
    <w:rsid w:val="00BC3262"/>
    <w:rsid w:val="00BF2F69"/>
    <w:rsid w:val="00BF5AF0"/>
    <w:rsid w:val="00BF5F4C"/>
    <w:rsid w:val="00C04D3C"/>
    <w:rsid w:val="00C221DF"/>
    <w:rsid w:val="00C25ECD"/>
    <w:rsid w:val="00C47CF3"/>
    <w:rsid w:val="00C912A7"/>
    <w:rsid w:val="00CA4E21"/>
    <w:rsid w:val="00CA5C04"/>
    <w:rsid w:val="00CB0044"/>
    <w:rsid w:val="00CB25D5"/>
    <w:rsid w:val="00CD6053"/>
    <w:rsid w:val="00CE14A9"/>
    <w:rsid w:val="00CF558A"/>
    <w:rsid w:val="00D00D6E"/>
    <w:rsid w:val="00D01002"/>
    <w:rsid w:val="00D3102F"/>
    <w:rsid w:val="00D31E9A"/>
    <w:rsid w:val="00D55E0C"/>
    <w:rsid w:val="00D5795A"/>
    <w:rsid w:val="00D75401"/>
    <w:rsid w:val="00D761A2"/>
    <w:rsid w:val="00D83D15"/>
    <w:rsid w:val="00D843F5"/>
    <w:rsid w:val="00D917BE"/>
    <w:rsid w:val="00DA0906"/>
    <w:rsid w:val="00DE1F48"/>
    <w:rsid w:val="00DE2830"/>
    <w:rsid w:val="00DF24D2"/>
    <w:rsid w:val="00DF6353"/>
    <w:rsid w:val="00E10C39"/>
    <w:rsid w:val="00E66E13"/>
    <w:rsid w:val="00E705AE"/>
    <w:rsid w:val="00E7363D"/>
    <w:rsid w:val="00E86868"/>
    <w:rsid w:val="00E97777"/>
    <w:rsid w:val="00EB3F6B"/>
    <w:rsid w:val="00EC098D"/>
    <w:rsid w:val="00EC1A68"/>
    <w:rsid w:val="00F00678"/>
    <w:rsid w:val="00F318A1"/>
    <w:rsid w:val="00F337B6"/>
    <w:rsid w:val="00F337E2"/>
    <w:rsid w:val="00F6265F"/>
    <w:rsid w:val="00F73935"/>
    <w:rsid w:val="00F7740F"/>
    <w:rsid w:val="00F90E74"/>
    <w:rsid w:val="00F91622"/>
    <w:rsid w:val="00FA3B17"/>
    <w:rsid w:val="00FB461D"/>
    <w:rsid w:val="00FC7E28"/>
    <w:rsid w:val="00FD164D"/>
    <w:rsid w:val="00FE20A2"/>
    <w:rsid w:val="00FF6E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195"/>
    <w:rPr>
      <w:rFonts w:ascii="Times New Roman" w:eastAsia="Times New Roman" w:hAnsi="Times New Roman"/>
      <w:sz w:val="24"/>
      <w:szCs w:val="24"/>
    </w:rPr>
  </w:style>
  <w:style w:type="paragraph" w:styleId="Ttulo1">
    <w:name w:val="heading 1"/>
    <w:basedOn w:val="Normal"/>
    <w:next w:val="Normal"/>
    <w:link w:val="Ttulo1Car"/>
    <w:uiPriority w:val="99"/>
    <w:qFormat/>
    <w:rsid w:val="002E5195"/>
    <w:pPr>
      <w:keepNext/>
      <w:outlineLvl w:val="0"/>
    </w:pPr>
    <w:rPr>
      <w:rFonts w:ascii="Bookman Old Style" w:hAnsi="Bookman Old Style"/>
      <w:b/>
      <w:color w:val="000000"/>
      <w:szCs w:val="20"/>
      <w:lang w:val="es-ES_tradnl"/>
    </w:rPr>
  </w:style>
  <w:style w:type="paragraph" w:styleId="Ttulo3">
    <w:name w:val="heading 3"/>
    <w:basedOn w:val="Normal"/>
    <w:next w:val="Normal"/>
    <w:link w:val="Ttulo3Car"/>
    <w:uiPriority w:val="99"/>
    <w:qFormat/>
    <w:rsid w:val="002E5195"/>
    <w:pPr>
      <w:keepNext/>
      <w:jc w:val="right"/>
      <w:outlineLvl w:val="2"/>
    </w:pPr>
    <w:rPr>
      <w:rFonts w:ascii="Arial"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2E5195"/>
    <w:rPr>
      <w:rFonts w:ascii="Bookman Old Style" w:hAnsi="Bookman Old Style" w:cs="Times New Roman"/>
      <w:b/>
      <w:color w:val="000000"/>
      <w:sz w:val="20"/>
      <w:szCs w:val="20"/>
      <w:lang w:val="es-ES_tradnl" w:eastAsia="es-ES"/>
    </w:rPr>
  </w:style>
  <w:style w:type="character" w:customStyle="1" w:styleId="Ttulo3Car">
    <w:name w:val="Título 3 Car"/>
    <w:link w:val="Ttulo3"/>
    <w:uiPriority w:val="99"/>
    <w:locked/>
    <w:rsid w:val="002E5195"/>
    <w:rPr>
      <w:rFonts w:ascii="Arial" w:hAnsi="Arial" w:cs="Times New Roman"/>
      <w:b/>
      <w:sz w:val="24"/>
      <w:szCs w:val="24"/>
      <w:lang w:val="es-ES_tradnl" w:eastAsia="es-ES"/>
    </w:rPr>
  </w:style>
  <w:style w:type="paragraph" w:styleId="Textoindependiente">
    <w:name w:val="Body Text"/>
    <w:basedOn w:val="Normal"/>
    <w:link w:val="TextoindependienteCar"/>
    <w:uiPriority w:val="99"/>
    <w:rsid w:val="002E5195"/>
    <w:pPr>
      <w:spacing w:line="360" w:lineRule="auto"/>
    </w:pPr>
    <w:rPr>
      <w:rFonts w:ascii="Arial" w:hAnsi="Arial"/>
      <w:b/>
      <w:bCs/>
      <w:lang w:val="es-ES_tradnl"/>
    </w:rPr>
  </w:style>
  <w:style w:type="character" w:customStyle="1" w:styleId="TextoindependienteCar">
    <w:name w:val="Texto independiente Car"/>
    <w:link w:val="Textoindependiente"/>
    <w:uiPriority w:val="99"/>
    <w:locked/>
    <w:rsid w:val="002E5195"/>
    <w:rPr>
      <w:rFonts w:ascii="Arial" w:hAnsi="Arial" w:cs="Times New Roman"/>
      <w:b/>
      <w:bCs/>
      <w:sz w:val="24"/>
      <w:szCs w:val="24"/>
      <w:lang w:val="es-ES_tradnl" w:eastAsia="es-ES"/>
    </w:rPr>
  </w:style>
  <w:style w:type="paragraph" w:styleId="Prrafodelista">
    <w:name w:val="List Paragraph"/>
    <w:basedOn w:val="Normal"/>
    <w:uiPriority w:val="99"/>
    <w:qFormat/>
    <w:rsid w:val="005634AB"/>
    <w:pPr>
      <w:ind w:left="720"/>
      <w:contextualSpacing/>
    </w:pPr>
  </w:style>
  <w:style w:type="paragraph" w:styleId="Ttulo">
    <w:name w:val="Title"/>
    <w:basedOn w:val="Normal"/>
    <w:link w:val="TtuloCar"/>
    <w:qFormat/>
    <w:rsid w:val="00FE20A2"/>
    <w:pPr>
      <w:spacing w:line="360" w:lineRule="auto"/>
      <w:jc w:val="center"/>
    </w:pPr>
    <w:rPr>
      <w:rFonts w:ascii="Arial" w:hAnsi="Arial"/>
      <w:b/>
      <w:u w:val="single"/>
      <w:lang w:val="es-UY"/>
    </w:rPr>
  </w:style>
  <w:style w:type="character" w:customStyle="1" w:styleId="TtuloCar">
    <w:name w:val="Título Car"/>
    <w:link w:val="Ttulo"/>
    <w:locked/>
    <w:rsid w:val="00FE20A2"/>
    <w:rPr>
      <w:rFonts w:ascii="Arial" w:hAnsi="Arial" w:cs="Times New Roman"/>
      <w:b/>
      <w:sz w:val="24"/>
      <w:szCs w:val="24"/>
      <w:u w:val="single"/>
      <w:lang w:val="es-UY" w:eastAsia="es-ES"/>
    </w:rPr>
  </w:style>
  <w:style w:type="paragraph" w:styleId="Encabezado">
    <w:name w:val="header"/>
    <w:basedOn w:val="Normal"/>
    <w:link w:val="EncabezadoCar"/>
    <w:uiPriority w:val="99"/>
    <w:rsid w:val="002009F4"/>
    <w:pPr>
      <w:tabs>
        <w:tab w:val="center" w:pos="4252"/>
        <w:tab w:val="right" w:pos="8504"/>
      </w:tabs>
    </w:pPr>
  </w:style>
  <w:style w:type="character" w:customStyle="1" w:styleId="EncabezadoCar">
    <w:name w:val="Encabezado Car"/>
    <w:link w:val="Encabezado"/>
    <w:uiPriority w:val="99"/>
    <w:locked/>
    <w:rsid w:val="002009F4"/>
    <w:rPr>
      <w:rFonts w:ascii="Times New Roman" w:hAnsi="Times New Roman" w:cs="Times New Roman"/>
      <w:sz w:val="24"/>
      <w:szCs w:val="24"/>
      <w:lang w:eastAsia="es-ES"/>
    </w:rPr>
  </w:style>
  <w:style w:type="paragraph" w:styleId="Piedepgina">
    <w:name w:val="footer"/>
    <w:basedOn w:val="Normal"/>
    <w:link w:val="PiedepginaCar"/>
    <w:uiPriority w:val="99"/>
    <w:rsid w:val="002009F4"/>
    <w:pPr>
      <w:tabs>
        <w:tab w:val="center" w:pos="4252"/>
        <w:tab w:val="right" w:pos="8504"/>
      </w:tabs>
    </w:pPr>
  </w:style>
  <w:style w:type="character" w:customStyle="1" w:styleId="PiedepginaCar">
    <w:name w:val="Pie de página Car"/>
    <w:link w:val="Piedepgina"/>
    <w:uiPriority w:val="99"/>
    <w:locked/>
    <w:rsid w:val="002009F4"/>
    <w:rPr>
      <w:rFonts w:ascii="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B576B7"/>
    <w:pPr>
      <w:spacing w:after="120"/>
      <w:ind w:left="283"/>
    </w:pPr>
  </w:style>
  <w:style w:type="character" w:customStyle="1" w:styleId="SangradetextonormalCar">
    <w:name w:val="Sangría de texto normal Car"/>
    <w:basedOn w:val="Fuentedeprrafopredeter"/>
    <w:link w:val="Sangradetextonormal"/>
    <w:uiPriority w:val="99"/>
    <w:semiHidden/>
    <w:rsid w:val="00B576B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195"/>
    <w:rPr>
      <w:rFonts w:ascii="Times New Roman" w:eastAsia="Times New Roman" w:hAnsi="Times New Roman"/>
      <w:sz w:val="24"/>
      <w:szCs w:val="24"/>
    </w:rPr>
  </w:style>
  <w:style w:type="paragraph" w:styleId="Ttulo1">
    <w:name w:val="heading 1"/>
    <w:basedOn w:val="Normal"/>
    <w:next w:val="Normal"/>
    <w:link w:val="Ttulo1Car"/>
    <w:uiPriority w:val="99"/>
    <w:qFormat/>
    <w:rsid w:val="002E5195"/>
    <w:pPr>
      <w:keepNext/>
      <w:outlineLvl w:val="0"/>
    </w:pPr>
    <w:rPr>
      <w:rFonts w:ascii="Bookman Old Style" w:hAnsi="Bookman Old Style"/>
      <w:b/>
      <w:color w:val="000000"/>
      <w:szCs w:val="20"/>
      <w:lang w:val="es-ES_tradnl"/>
    </w:rPr>
  </w:style>
  <w:style w:type="paragraph" w:styleId="Ttulo3">
    <w:name w:val="heading 3"/>
    <w:basedOn w:val="Normal"/>
    <w:next w:val="Normal"/>
    <w:link w:val="Ttulo3Car"/>
    <w:uiPriority w:val="99"/>
    <w:qFormat/>
    <w:rsid w:val="002E5195"/>
    <w:pPr>
      <w:keepNext/>
      <w:jc w:val="right"/>
      <w:outlineLvl w:val="2"/>
    </w:pPr>
    <w:rPr>
      <w:rFonts w:ascii="Arial"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2E5195"/>
    <w:rPr>
      <w:rFonts w:ascii="Bookman Old Style" w:hAnsi="Bookman Old Style" w:cs="Times New Roman"/>
      <w:b/>
      <w:color w:val="000000"/>
      <w:sz w:val="20"/>
      <w:szCs w:val="20"/>
      <w:lang w:val="es-ES_tradnl" w:eastAsia="es-ES"/>
    </w:rPr>
  </w:style>
  <w:style w:type="character" w:customStyle="1" w:styleId="Ttulo3Car">
    <w:name w:val="Título 3 Car"/>
    <w:link w:val="Ttulo3"/>
    <w:uiPriority w:val="99"/>
    <w:locked/>
    <w:rsid w:val="002E5195"/>
    <w:rPr>
      <w:rFonts w:ascii="Arial" w:hAnsi="Arial" w:cs="Times New Roman"/>
      <w:b/>
      <w:sz w:val="24"/>
      <w:szCs w:val="24"/>
      <w:lang w:val="es-ES_tradnl" w:eastAsia="es-ES"/>
    </w:rPr>
  </w:style>
  <w:style w:type="paragraph" w:styleId="Textoindependiente">
    <w:name w:val="Body Text"/>
    <w:basedOn w:val="Normal"/>
    <w:link w:val="TextoindependienteCar"/>
    <w:uiPriority w:val="99"/>
    <w:rsid w:val="002E5195"/>
    <w:pPr>
      <w:spacing w:line="360" w:lineRule="auto"/>
    </w:pPr>
    <w:rPr>
      <w:rFonts w:ascii="Arial" w:hAnsi="Arial"/>
      <w:b/>
      <w:bCs/>
      <w:lang w:val="es-ES_tradnl"/>
    </w:rPr>
  </w:style>
  <w:style w:type="character" w:customStyle="1" w:styleId="TextoindependienteCar">
    <w:name w:val="Texto independiente Car"/>
    <w:link w:val="Textoindependiente"/>
    <w:uiPriority w:val="99"/>
    <w:locked/>
    <w:rsid w:val="002E5195"/>
    <w:rPr>
      <w:rFonts w:ascii="Arial" w:hAnsi="Arial" w:cs="Times New Roman"/>
      <w:b/>
      <w:bCs/>
      <w:sz w:val="24"/>
      <w:szCs w:val="24"/>
      <w:lang w:val="es-ES_tradnl" w:eastAsia="es-ES"/>
    </w:rPr>
  </w:style>
  <w:style w:type="paragraph" w:styleId="Prrafodelista">
    <w:name w:val="List Paragraph"/>
    <w:basedOn w:val="Normal"/>
    <w:uiPriority w:val="99"/>
    <w:qFormat/>
    <w:rsid w:val="005634AB"/>
    <w:pPr>
      <w:ind w:left="720"/>
      <w:contextualSpacing/>
    </w:pPr>
  </w:style>
  <w:style w:type="paragraph" w:styleId="Ttulo">
    <w:name w:val="Title"/>
    <w:basedOn w:val="Normal"/>
    <w:link w:val="TtuloCar"/>
    <w:qFormat/>
    <w:rsid w:val="00FE20A2"/>
    <w:pPr>
      <w:spacing w:line="360" w:lineRule="auto"/>
      <w:jc w:val="center"/>
    </w:pPr>
    <w:rPr>
      <w:rFonts w:ascii="Arial" w:hAnsi="Arial"/>
      <w:b/>
      <w:u w:val="single"/>
      <w:lang w:val="es-UY"/>
    </w:rPr>
  </w:style>
  <w:style w:type="character" w:customStyle="1" w:styleId="TtuloCar">
    <w:name w:val="Título Car"/>
    <w:link w:val="Ttulo"/>
    <w:locked/>
    <w:rsid w:val="00FE20A2"/>
    <w:rPr>
      <w:rFonts w:ascii="Arial" w:hAnsi="Arial" w:cs="Times New Roman"/>
      <w:b/>
      <w:sz w:val="24"/>
      <w:szCs w:val="24"/>
      <w:u w:val="single"/>
      <w:lang w:val="es-UY" w:eastAsia="es-ES"/>
    </w:rPr>
  </w:style>
  <w:style w:type="paragraph" w:styleId="Encabezado">
    <w:name w:val="header"/>
    <w:basedOn w:val="Normal"/>
    <w:link w:val="EncabezadoCar"/>
    <w:uiPriority w:val="99"/>
    <w:rsid w:val="002009F4"/>
    <w:pPr>
      <w:tabs>
        <w:tab w:val="center" w:pos="4252"/>
        <w:tab w:val="right" w:pos="8504"/>
      </w:tabs>
    </w:pPr>
  </w:style>
  <w:style w:type="character" w:customStyle="1" w:styleId="EncabezadoCar">
    <w:name w:val="Encabezado Car"/>
    <w:link w:val="Encabezado"/>
    <w:uiPriority w:val="99"/>
    <w:locked/>
    <w:rsid w:val="002009F4"/>
    <w:rPr>
      <w:rFonts w:ascii="Times New Roman" w:hAnsi="Times New Roman" w:cs="Times New Roman"/>
      <w:sz w:val="24"/>
      <w:szCs w:val="24"/>
      <w:lang w:eastAsia="es-ES"/>
    </w:rPr>
  </w:style>
  <w:style w:type="paragraph" w:styleId="Piedepgina">
    <w:name w:val="footer"/>
    <w:basedOn w:val="Normal"/>
    <w:link w:val="PiedepginaCar"/>
    <w:uiPriority w:val="99"/>
    <w:rsid w:val="002009F4"/>
    <w:pPr>
      <w:tabs>
        <w:tab w:val="center" w:pos="4252"/>
        <w:tab w:val="right" w:pos="8504"/>
      </w:tabs>
    </w:pPr>
  </w:style>
  <w:style w:type="character" w:customStyle="1" w:styleId="PiedepginaCar">
    <w:name w:val="Pie de página Car"/>
    <w:link w:val="Piedepgina"/>
    <w:uiPriority w:val="99"/>
    <w:locked/>
    <w:rsid w:val="002009F4"/>
    <w:rPr>
      <w:rFonts w:ascii="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B576B7"/>
    <w:pPr>
      <w:spacing w:after="120"/>
      <w:ind w:left="283"/>
    </w:pPr>
  </w:style>
  <w:style w:type="character" w:customStyle="1" w:styleId="SangradetextonormalCar">
    <w:name w:val="Sangría de texto normal Car"/>
    <w:basedOn w:val="Fuentedeprrafopredeter"/>
    <w:link w:val="Sangradetextonormal"/>
    <w:uiPriority w:val="99"/>
    <w:semiHidden/>
    <w:rsid w:val="00B576B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80078-8ED3-4C80-A8CC-9CEBD166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1072</Words>
  <Characters>5741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4</cp:revision>
  <dcterms:created xsi:type="dcterms:W3CDTF">2017-09-08T16:53:00Z</dcterms:created>
  <dcterms:modified xsi:type="dcterms:W3CDTF">2017-09-08T18:27:00Z</dcterms:modified>
</cp:coreProperties>
</file>