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09" w:rsidRPr="000F4C96" w:rsidRDefault="00A86609" w:rsidP="00A86609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3999</w:t>
      </w:r>
      <w:r>
        <w:rPr>
          <w:rFonts w:ascii="Helvetica" w:hAnsi="Helvetica"/>
          <w:b/>
          <w:sz w:val="28"/>
          <w:szCs w:val="28"/>
          <w:lang w:val="es-ES_tradnl"/>
        </w:rPr>
        <w:t>/17</w:t>
      </w:r>
    </w:p>
    <w:p w:rsidR="00A86609" w:rsidRDefault="00A86609" w:rsidP="00A8660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86609" w:rsidRDefault="00A86609" w:rsidP="00A8660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86609" w:rsidRDefault="00A86609" w:rsidP="00A8660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86609" w:rsidRDefault="00A86609" w:rsidP="00A8660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86609" w:rsidRDefault="00A86609" w:rsidP="00A8660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86609" w:rsidRDefault="00A86609" w:rsidP="00A8660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</w:t>
      </w:r>
      <w:r>
        <w:rPr>
          <w:rFonts w:ascii="Helvetica" w:hAnsi="Helvetica"/>
          <w:b/>
          <w:lang w:val="es-ES_tradnl"/>
        </w:rPr>
        <w:t xml:space="preserve"> </w:t>
      </w:r>
      <w:r>
        <w:rPr>
          <w:rFonts w:ascii="Helvetica" w:hAnsi="Helvetica"/>
          <w:b/>
          <w:lang w:val="es-ES_tradnl"/>
        </w:rPr>
        <w:t>DE NOVIEMBRE</w:t>
      </w:r>
      <w:r>
        <w:rPr>
          <w:rFonts w:ascii="Helvetica" w:hAnsi="Helvetica"/>
          <w:b/>
          <w:lang w:val="es-ES_tradnl"/>
        </w:rPr>
        <w:t xml:space="preserve"> DE 2017</w:t>
      </w:r>
    </w:p>
    <w:p w:rsidR="00A86609" w:rsidRDefault="00A86609" w:rsidP="00A8660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86609" w:rsidRPr="000F4C96" w:rsidRDefault="00A86609" w:rsidP="00A86609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6-17-1-0004007</w:t>
      </w:r>
      <w:r>
        <w:rPr>
          <w:rFonts w:ascii="Helvetica" w:hAnsi="Helvetica"/>
          <w:b/>
        </w:rPr>
        <w:t>, Ent. Nº</w:t>
      </w:r>
      <w:r>
        <w:rPr>
          <w:rFonts w:ascii="Helvetica" w:hAnsi="Helvetica"/>
          <w:b/>
        </w:rPr>
        <w:t>5861</w:t>
      </w:r>
      <w:r>
        <w:rPr>
          <w:rFonts w:ascii="Helvetica" w:hAnsi="Helvetica"/>
          <w:b/>
        </w:rPr>
        <w:t>/2017</w:t>
      </w:r>
      <w:r w:rsidRPr="000F4C96">
        <w:rPr>
          <w:rFonts w:ascii="Helvetica" w:hAnsi="Helvetica"/>
          <w:b/>
        </w:rPr>
        <w:t>)</w:t>
      </w:r>
    </w:p>
    <w:p w:rsidR="00540D88" w:rsidRDefault="00540D88" w:rsidP="00540D88">
      <w:pPr>
        <w:spacing w:line="360" w:lineRule="auto"/>
        <w:jc w:val="center"/>
        <w:rPr>
          <w:b/>
          <w:bCs/>
          <w:i/>
          <w:iCs/>
        </w:rPr>
      </w:pPr>
    </w:p>
    <w:p w:rsidR="00540D88" w:rsidRDefault="00A86609" w:rsidP="00A86609">
      <w:pPr>
        <w:pStyle w:val="Textoindependiente"/>
        <w:tabs>
          <w:tab w:val="left" w:pos="851"/>
        </w:tabs>
      </w:pPr>
      <w:r>
        <w:rPr>
          <w:b/>
          <w:bCs/>
        </w:rPr>
        <w:tab/>
      </w:r>
      <w:r w:rsidR="00540D88">
        <w:rPr>
          <w:b/>
          <w:bCs/>
        </w:rPr>
        <w:t>VISTO:</w:t>
      </w:r>
      <w:r w:rsidR="00540D88">
        <w:t xml:space="preserve"> las actuaciones remitidas por el Ministerio de Defensa Nacional relacionadas con el gasto derivado del convenio celebrado entre el Ministerio de Defensa Nacional – Comando Nacional del Ejército- y la Administración de las Obras Sanitarias del Estado  (OSE), referente a las unidades potabilizadoras de agua (UPAs) q</w:t>
      </w:r>
      <w:r w:rsidR="00892B5A">
        <w:t xml:space="preserve">ue se utilizan en los lugares en los que se </w:t>
      </w:r>
      <w:r w:rsidR="00540D88">
        <w:t xml:space="preserve"> despli</w:t>
      </w:r>
      <w:r w:rsidR="00892B5A">
        <w:t>egan</w:t>
      </w:r>
      <w:r w:rsidR="00540D88">
        <w:t xml:space="preserve"> efectivos en Misiones de Paz.</w:t>
      </w:r>
    </w:p>
    <w:p w:rsidR="00540D88" w:rsidRDefault="00A86609" w:rsidP="00A86609">
      <w:pPr>
        <w:tabs>
          <w:tab w:val="left" w:pos="851"/>
          <w:tab w:val="left" w:pos="2835"/>
        </w:tabs>
        <w:spacing w:line="360" w:lineRule="auto"/>
        <w:jc w:val="both"/>
      </w:pPr>
      <w:r>
        <w:rPr>
          <w:b/>
          <w:bCs/>
        </w:rPr>
        <w:tab/>
      </w:r>
      <w:r w:rsidR="00540D88">
        <w:rPr>
          <w:b/>
          <w:bCs/>
        </w:rPr>
        <w:t xml:space="preserve">RESULTANDO: </w:t>
      </w:r>
      <w:r>
        <w:rPr>
          <w:b/>
          <w:bCs/>
        </w:rPr>
        <w:tab/>
      </w:r>
      <w:r w:rsidR="00540D88">
        <w:rPr>
          <w:b/>
          <w:bCs/>
        </w:rPr>
        <w:t xml:space="preserve">1) </w:t>
      </w:r>
      <w:r w:rsidR="00540D88">
        <w:t>que en Sesión de fecha 16 de diciembre de 2009, este Tribunal acordó observar la transferencia a efectuar por parte del Ministerio de Defensa Nacional, a Obras Sanitarias del Estado (OSE), de la suma equivalente a U$S 344.956,50, por la  concesión de uso y goce de las unidades potabilizadoras de agua (UPA) que se utilizaron en los lugares de despliegue de Misión de Paz, de acuerdo con el convenio celebrado entre dichos Organismos</w:t>
      </w:r>
      <w:r w:rsidR="00892B5A">
        <w:t>, por cuanto los convenios que las fundamentaban no habían sido remitidos a la consideración de este Tribunal, cont</w:t>
      </w:r>
      <w:r w:rsidR="007713BB">
        <w:t>raviniendo lo dispuesto por el Artículo 211 L</w:t>
      </w:r>
      <w:r w:rsidR="00892B5A">
        <w:t>iteral B) de la Constitución</w:t>
      </w:r>
      <w:r w:rsidR="00540D88">
        <w:t xml:space="preserve">; </w:t>
      </w:r>
    </w:p>
    <w:p w:rsidR="00A86609" w:rsidRDefault="00540D88" w:rsidP="00A86609">
      <w:pPr>
        <w:tabs>
          <w:tab w:val="left" w:pos="2835"/>
        </w:tabs>
        <w:spacing w:line="360" w:lineRule="auto"/>
        <w:jc w:val="both"/>
      </w:pPr>
      <w:r>
        <w:rPr>
          <w:b/>
          <w:bCs/>
        </w:rPr>
        <w:t xml:space="preserve">                              </w:t>
      </w:r>
      <w:r w:rsidR="00A86609">
        <w:rPr>
          <w:b/>
          <w:bCs/>
        </w:rPr>
        <w:tab/>
      </w:r>
      <w:r>
        <w:rPr>
          <w:b/>
          <w:bCs/>
        </w:rPr>
        <w:t>2)</w:t>
      </w:r>
      <w:r>
        <w:t xml:space="preserve"> que en Sesión de fecha 28 de julio de 2010, este Tribunal acordó: </w:t>
      </w:r>
    </w:p>
    <w:p w:rsidR="00A86609" w:rsidRDefault="00540D88" w:rsidP="00A86609">
      <w:pPr>
        <w:tabs>
          <w:tab w:val="left" w:pos="2835"/>
        </w:tabs>
        <w:spacing w:line="360" w:lineRule="auto"/>
        <w:jc w:val="both"/>
      </w:pPr>
      <w:r>
        <w:t xml:space="preserve">1) observar el gasto de U$S 257.868,12, a favor de Obras Sanitarias del Estado y; </w:t>
      </w:r>
    </w:p>
    <w:p w:rsidR="00540D88" w:rsidRDefault="00540D88" w:rsidP="00A86609">
      <w:pPr>
        <w:tabs>
          <w:tab w:val="left" w:pos="2835"/>
        </w:tabs>
        <w:spacing w:line="360" w:lineRule="auto"/>
        <w:jc w:val="both"/>
      </w:pPr>
      <w:r>
        <w:t xml:space="preserve">2) mantener la observación del gasto formulada con fecha 16 de diciembre de 2009; </w:t>
      </w:r>
    </w:p>
    <w:p w:rsidR="00540D88" w:rsidRDefault="00540D88" w:rsidP="00A86609">
      <w:pPr>
        <w:tabs>
          <w:tab w:val="left" w:pos="2835"/>
        </w:tabs>
        <w:spacing w:line="360" w:lineRule="auto"/>
        <w:jc w:val="both"/>
      </w:pPr>
      <w:r>
        <w:rPr>
          <w:b/>
          <w:bCs/>
        </w:rPr>
        <w:lastRenderedPageBreak/>
        <w:t xml:space="preserve">                             </w:t>
      </w:r>
      <w:r w:rsidR="00A86609">
        <w:rPr>
          <w:b/>
          <w:bCs/>
        </w:rPr>
        <w:tab/>
      </w:r>
      <w:r>
        <w:rPr>
          <w:b/>
          <w:bCs/>
        </w:rPr>
        <w:t>3)</w:t>
      </w:r>
      <w:r>
        <w:t xml:space="preserve"> que desde esa fecha</w:t>
      </w:r>
      <w:r w:rsidR="00962048">
        <w:t>,</w:t>
      </w:r>
      <w:r>
        <w:t xml:space="preserve"> e</w:t>
      </w:r>
      <w:r w:rsidR="00962048">
        <w:t xml:space="preserve">ste </w:t>
      </w:r>
      <w:r>
        <w:t>Tribunal ha venido  observando por las mismas razones los gastos sucesivos, siendo la última observación de fecha 10 de mayo de 2017, correspondiente</w:t>
      </w:r>
      <w:r w:rsidRPr="00540D88">
        <w:t xml:space="preserve"> </w:t>
      </w:r>
      <w:r>
        <w:t>al gasto</w:t>
      </w:r>
      <w:r w:rsidR="00892B5A">
        <w:t xml:space="preserve"> emergente del mismo convenio,</w:t>
      </w:r>
      <w:r>
        <w:t xml:space="preserve"> por la suma de U$S 10</w:t>
      </w:r>
      <w:r w:rsidR="00892B5A">
        <w:t>2.049,27</w:t>
      </w:r>
      <w:r>
        <w:t xml:space="preserve">; </w:t>
      </w:r>
    </w:p>
    <w:p w:rsidR="007713BB" w:rsidRDefault="00540D88" w:rsidP="00A86609">
      <w:pPr>
        <w:tabs>
          <w:tab w:val="left" w:pos="1200"/>
          <w:tab w:val="left" w:pos="2835"/>
        </w:tabs>
        <w:spacing w:line="360" w:lineRule="auto"/>
        <w:jc w:val="both"/>
      </w:pPr>
      <w:r>
        <w:rPr>
          <w:b/>
          <w:bCs/>
        </w:rPr>
        <w:t xml:space="preserve">                             </w:t>
      </w:r>
      <w:r w:rsidR="00A86609">
        <w:rPr>
          <w:b/>
          <w:bCs/>
        </w:rPr>
        <w:tab/>
      </w:r>
      <w:r>
        <w:rPr>
          <w:b/>
          <w:bCs/>
        </w:rPr>
        <w:t>4)</w:t>
      </w:r>
      <w:r>
        <w:t xml:space="preserve"> que</w:t>
      </w:r>
      <w:r w:rsidRPr="0058035F">
        <w:t xml:space="preserve"> </w:t>
      </w:r>
      <w:r w:rsidR="00892B5A">
        <w:t>en la oportunidad el organismo</w:t>
      </w:r>
      <w:r>
        <w:t xml:space="preserve"> </w:t>
      </w:r>
      <w:r w:rsidR="00962331">
        <w:t>remite:</w:t>
      </w:r>
      <w:r>
        <w:t xml:space="preserve"> </w:t>
      </w:r>
    </w:p>
    <w:p w:rsidR="007713BB" w:rsidRDefault="00962331" w:rsidP="00A86609">
      <w:pPr>
        <w:tabs>
          <w:tab w:val="left" w:pos="1200"/>
          <w:tab w:val="left" w:pos="2835"/>
        </w:tabs>
        <w:spacing w:line="360" w:lineRule="auto"/>
        <w:jc w:val="both"/>
      </w:pPr>
      <w:r>
        <w:t xml:space="preserve">a) </w:t>
      </w:r>
      <w:r w:rsidR="00540D88">
        <w:t>Resolución del Poder Eje</w:t>
      </w:r>
      <w:r>
        <w:t xml:space="preserve">cutivo por la cual se reitera el gasto observado por la suma de U$S 102.049,27 en virtud de su necesidad, </w:t>
      </w:r>
    </w:p>
    <w:p w:rsidR="00540D88" w:rsidRDefault="00962331" w:rsidP="00A86609">
      <w:pPr>
        <w:tabs>
          <w:tab w:val="left" w:pos="1200"/>
          <w:tab w:val="left" w:pos="2835"/>
        </w:tabs>
        <w:spacing w:line="360" w:lineRule="auto"/>
        <w:jc w:val="both"/>
      </w:pPr>
      <w:r>
        <w:t xml:space="preserve">b) </w:t>
      </w:r>
      <w:r w:rsidR="00540D88">
        <w:t xml:space="preserve"> </w:t>
      </w:r>
      <w:r>
        <w:t>f</w:t>
      </w:r>
      <w:r w:rsidR="00540D88">
        <w:t>actura</w:t>
      </w:r>
      <w:r>
        <w:t>s</w:t>
      </w:r>
      <w:r w:rsidR="00540D88">
        <w:t xml:space="preserve"> </w:t>
      </w:r>
      <w:r>
        <w:t>e</w:t>
      </w:r>
      <w:r w:rsidR="00540D88">
        <w:t>lectrónica</w:t>
      </w:r>
      <w:r>
        <w:t xml:space="preserve">s </w:t>
      </w:r>
      <w:r w:rsidR="00540D88">
        <w:t>de la Administración de las Obras Sanitarias del Estado (OSE)</w:t>
      </w:r>
      <w:r>
        <w:t xml:space="preserve">  Nros. </w:t>
      </w:r>
      <w:r w:rsidR="00540D88">
        <w:t xml:space="preserve"> B </w:t>
      </w:r>
      <w:r>
        <w:t>700633 y B 450414</w:t>
      </w:r>
      <w:r w:rsidR="00540D88">
        <w:t xml:space="preserve"> de</w:t>
      </w:r>
      <w:r>
        <w:t xml:space="preserve">l </w:t>
      </w:r>
      <w:r w:rsidR="00540D88">
        <w:t xml:space="preserve"> </w:t>
      </w:r>
      <w:r>
        <w:t>24 de octubre de 2017 y el</w:t>
      </w:r>
      <w:r w:rsidR="00540D88">
        <w:t xml:space="preserve"> 2</w:t>
      </w:r>
      <w:r>
        <w:t>3</w:t>
      </w:r>
      <w:r w:rsidR="00540D88">
        <w:t xml:space="preserve"> de </w:t>
      </w:r>
      <w:r>
        <w:t>mayo</w:t>
      </w:r>
      <w:r w:rsidR="00540D88">
        <w:t xml:space="preserve"> de 2017</w:t>
      </w:r>
      <w:r>
        <w:t xml:space="preserve"> respectivamente </w:t>
      </w:r>
      <w:r w:rsidR="00540D88">
        <w:t xml:space="preserve"> por un monto </w:t>
      </w:r>
      <w:r>
        <w:t xml:space="preserve">total </w:t>
      </w:r>
      <w:r w:rsidR="00540D88">
        <w:t xml:space="preserve">de U$S </w:t>
      </w:r>
      <w:r>
        <w:t>237.155</w:t>
      </w:r>
      <w:r w:rsidR="00540D88">
        <w:t>;</w:t>
      </w:r>
    </w:p>
    <w:p w:rsidR="007713BB" w:rsidRDefault="00540D88" w:rsidP="00A86609">
      <w:pPr>
        <w:tabs>
          <w:tab w:val="left" w:pos="1560"/>
          <w:tab w:val="left" w:pos="2835"/>
        </w:tabs>
        <w:spacing w:line="360" w:lineRule="auto"/>
        <w:jc w:val="both"/>
      </w:pPr>
      <w:r>
        <w:tab/>
        <w:t xml:space="preserve">    </w:t>
      </w:r>
      <w:r w:rsidR="00A86609">
        <w:tab/>
      </w:r>
      <w:r w:rsidRPr="0058035F">
        <w:rPr>
          <w:b/>
        </w:rPr>
        <w:t>5)</w:t>
      </w:r>
      <w:r w:rsidR="00892B5A">
        <w:t xml:space="preserve"> que se adjunta informe </w:t>
      </w:r>
      <w:r>
        <w:t>de la Dirección General de Recursos Financieros</w:t>
      </w:r>
      <w:r w:rsidR="00962048">
        <w:t xml:space="preserve"> del MDN</w:t>
      </w:r>
      <w:r w:rsidR="00892B5A">
        <w:t xml:space="preserve"> de fecha 25 de octubre de 2017, relacionados con el nuevo importe a abonar</w:t>
      </w:r>
      <w:r>
        <w:t xml:space="preserve"> a OSE </w:t>
      </w:r>
      <w:r w:rsidR="00892B5A">
        <w:t xml:space="preserve"> en el marco del convenio oportunamente observado, que asciende  a la suma </w:t>
      </w:r>
      <w:r>
        <w:t xml:space="preserve">de U$S </w:t>
      </w:r>
      <w:r w:rsidR="00962331">
        <w:t>237.155</w:t>
      </w:r>
      <w:r w:rsidR="00892B5A">
        <w:t>, que se desglosa de acuerdo con e</w:t>
      </w:r>
      <w:r>
        <w:t>l siguiente detalle:</w:t>
      </w:r>
    </w:p>
    <w:p w:rsidR="007713BB" w:rsidRDefault="00540D88" w:rsidP="00A86609">
      <w:pPr>
        <w:tabs>
          <w:tab w:val="left" w:pos="1560"/>
          <w:tab w:val="left" w:pos="2835"/>
        </w:tabs>
        <w:spacing w:line="360" w:lineRule="auto"/>
        <w:jc w:val="both"/>
      </w:pPr>
      <w:r>
        <w:t xml:space="preserve"> i) Costo Tropa Congo</w:t>
      </w:r>
      <w:r w:rsidR="000E35B4">
        <w:t>/Haití</w:t>
      </w:r>
      <w:r>
        <w:t xml:space="preserve"> </w:t>
      </w:r>
      <w:r w:rsidR="000E35B4">
        <w:t>noviembre</w:t>
      </w:r>
      <w:r>
        <w:t>/</w:t>
      </w:r>
      <w:r w:rsidR="000E35B4">
        <w:t>enero</w:t>
      </w:r>
      <w:r>
        <w:t xml:space="preserve"> 201</w:t>
      </w:r>
      <w:r w:rsidR="000E35B4">
        <w:t>7</w:t>
      </w:r>
      <w:r>
        <w:t>: U$S 1</w:t>
      </w:r>
      <w:r w:rsidR="000E35B4">
        <w:t>7</w:t>
      </w:r>
      <w:r>
        <w:t>.</w:t>
      </w:r>
      <w:r w:rsidR="000E35B4">
        <w:t>484</w:t>
      </w:r>
      <w:r>
        <w:t>;</w:t>
      </w:r>
    </w:p>
    <w:p w:rsidR="007713BB" w:rsidRDefault="00540D88" w:rsidP="00A86609">
      <w:pPr>
        <w:tabs>
          <w:tab w:val="left" w:pos="1560"/>
          <w:tab w:val="left" w:pos="2835"/>
        </w:tabs>
        <w:spacing w:line="360" w:lineRule="auto"/>
        <w:jc w:val="both"/>
      </w:pPr>
      <w:r>
        <w:t xml:space="preserve"> ii) </w:t>
      </w:r>
      <w:r w:rsidR="000E35B4">
        <w:t>COE</w:t>
      </w:r>
      <w:r>
        <w:t xml:space="preserve"> </w:t>
      </w:r>
      <w:r w:rsidR="000E35B4">
        <w:t>Congo</w:t>
      </w:r>
      <w:r>
        <w:t xml:space="preserve"> </w:t>
      </w:r>
      <w:r w:rsidR="000E35B4">
        <w:t xml:space="preserve">octubre 16 </w:t>
      </w:r>
      <w:r>
        <w:t>/</w:t>
      </w:r>
      <w:r w:rsidR="000E35B4">
        <w:t>diciembre</w:t>
      </w:r>
      <w:r>
        <w:t xml:space="preserve"> 2016: U$S </w:t>
      </w:r>
      <w:r w:rsidR="000E35B4">
        <w:t>59.132</w:t>
      </w:r>
      <w:r>
        <w:t xml:space="preserve">; </w:t>
      </w:r>
    </w:p>
    <w:p w:rsidR="007713BB" w:rsidRDefault="00540D88" w:rsidP="00A86609">
      <w:pPr>
        <w:tabs>
          <w:tab w:val="left" w:pos="1560"/>
          <w:tab w:val="left" w:pos="2835"/>
        </w:tabs>
        <w:spacing w:line="360" w:lineRule="auto"/>
        <w:jc w:val="both"/>
      </w:pPr>
      <w:r>
        <w:t xml:space="preserve">iii) COE Haití </w:t>
      </w:r>
      <w:r w:rsidR="000E35B4">
        <w:t>octubre</w:t>
      </w:r>
      <w:r>
        <w:t>/</w:t>
      </w:r>
      <w:r w:rsidR="000E35B4">
        <w:t>diciembre</w:t>
      </w:r>
      <w:r>
        <w:t xml:space="preserve"> 2016: U$S 9.</w:t>
      </w:r>
      <w:r w:rsidR="000E35B4">
        <w:t>586</w:t>
      </w:r>
      <w:r>
        <w:t xml:space="preserve">; </w:t>
      </w:r>
    </w:p>
    <w:p w:rsidR="007713BB" w:rsidRDefault="00540D88" w:rsidP="00A86609">
      <w:pPr>
        <w:tabs>
          <w:tab w:val="left" w:pos="1560"/>
          <w:tab w:val="left" w:pos="2835"/>
        </w:tabs>
        <w:spacing w:line="360" w:lineRule="auto"/>
        <w:jc w:val="both"/>
      </w:pPr>
      <w:r>
        <w:t xml:space="preserve">iv) </w:t>
      </w:r>
      <w:r w:rsidR="000E35B4">
        <w:t xml:space="preserve">Costo Tropa Haití febrero/abril 2017: U$S 6.000, </w:t>
      </w:r>
    </w:p>
    <w:p w:rsidR="000E35B4" w:rsidRDefault="000E35B4" w:rsidP="00A86609">
      <w:pPr>
        <w:tabs>
          <w:tab w:val="left" w:pos="1560"/>
          <w:tab w:val="left" w:pos="2835"/>
        </w:tabs>
        <w:spacing w:line="360" w:lineRule="auto"/>
        <w:jc w:val="both"/>
      </w:pPr>
      <w:r>
        <w:t>v)</w:t>
      </w:r>
      <w:r w:rsidRPr="000E35B4">
        <w:t xml:space="preserve"> </w:t>
      </w:r>
      <w:r>
        <w:t>Costo Tropa Congo febrero/julio 2017, vi)</w:t>
      </w:r>
      <w:r w:rsidRPr="000E35B4">
        <w:t xml:space="preserve"> </w:t>
      </w:r>
      <w:r>
        <w:t>COE Congo enero 17 /junio 2017: U$S 118.262</w:t>
      </w:r>
      <w:r w:rsidR="002E5F5A">
        <w:t>;</w:t>
      </w:r>
    </w:p>
    <w:p w:rsidR="00540D88" w:rsidRDefault="00540D88" w:rsidP="00A86609">
      <w:pPr>
        <w:tabs>
          <w:tab w:val="left" w:pos="1200"/>
          <w:tab w:val="left" w:pos="2835"/>
        </w:tabs>
        <w:spacing w:line="360" w:lineRule="auto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</w:t>
      </w:r>
      <w:r w:rsidR="00962048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A86609">
        <w:rPr>
          <w:b/>
          <w:bCs/>
        </w:rPr>
        <w:tab/>
      </w:r>
      <w:r>
        <w:rPr>
          <w:b/>
          <w:bCs/>
        </w:rPr>
        <w:t>6)</w:t>
      </w:r>
      <w:r>
        <w:t xml:space="preserve"> que</w:t>
      </w:r>
      <w:r w:rsidR="00962048">
        <w:t xml:space="preserve"> se agrega</w:t>
      </w:r>
      <w:r>
        <w:t xml:space="preserve"> documento de </w:t>
      </w:r>
      <w:r w:rsidR="002E5F5A">
        <w:t>afectación</w:t>
      </w:r>
      <w:r>
        <w:t xml:space="preserve"> del gasto Nº 00</w:t>
      </w:r>
      <w:r w:rsidR="002E5F5A">
        <w:t>200</w:t>
      </w:r>
      <w:r>
        <w:t xml:space="preserve"> de fecha 2</w:t>
      </w:r>
      <w:r w:rsidR="002E5F5A">
        <w:t>5</w:t>
      </w:r>
      <w:r>
        <w:t xml:space="preserve"> de </w:t>
      </w:r>
      <w:r w:rsidR="002E5F5A">
        <w:t>octubre</w:t>
      </w:r>
      <w:r>
        <w:t xml:space="preserve"> de 2017 </w:t>
      </w:r>
      <w:r w:rsidR="00962048">
        <w:t xml:space="preserve">por un </w:t>
      </w:r>
      <w:r w:rsidR="00962048">
        <w:rPr>
          <w:rFonts w:cs="Arial"/>
          <w:spacing w:val="-3"/>
          <w:lang w:val="es-ES_tradnl"/>
        </w:rPr>
        <w:t xml:space="preserve">total de $ 7.510.225, correspondiente </w:t>
      </w:r>
      <w:r>
        <w:t xml:space="preserve"> al Inciso 03 Ministerio de Defensa Nacional, Unidad Ejecutora 001, Financiamiento 1.8 Fondos de Terceros Declarados por Ley (Reembolso Misiones de Paz Ejército Nac</w:t>
      </w:r>
      <w:r w:rsidR="00892B5A">
        <w:t>ional art. 88 Ley 18.362), Programa</w:t>
      </w:r>
      <w:r>
        <w:t xml:space="preserve"> 480, Proy</w:t>
      </w:r>
      <w:r w:rsidR="00892B5A">
        <w:t>ecto. 001, Objeto del Gasto</w:t>
      </w:r>
      <w:r>
        <w:t xml:space="preserve"> 599</w:t>
      </w:r>
      <w:r w:rsidR="00962048">
        <w:t>;</w:t>
      </w:r>
      <w:r>
        <w:rPr>
          <w:b/>
          <w:bCs/>
        </w:rPr>
        <w:t xml:space="preserve">      </w:t>
      </w:r>
    </w:p>
    <w:p w:rsidR="00540D88" w:rsidRDefault="00540D88" w:rsidP="007713BB">
      <w:pPr>
        <w:tabs>
          <w:tab w:val="left" w:pos="1200"/>
          <w:tab w:val="left" w:pos="1701"/>
          <w:tab w:val="left" w:pos="2835"/>
        </w:tabs>
        <w:spacing w:line="360" w:lineRule="auto"/>
        <w:jc w:val="both"/>
      </w:pPr>
      <w:r>
        <w:rPr>
          <w:b/>
          <w:bCs/>
        </w:rPr>
        <w:tab/>
        <w:t xml:space="preserve">        </w:t>
      </w:r>
      <w:r w:rsidR="0096204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A86609">
        <w:rPr>
          <w:b/>
          <w:bCs/>
        </w:rPr>
        <w:tab/>
      </w:r>
      <w:r>
        <w:rPr>
          <w:b/>
          <w:bCs/>
        </w:rPr>
        <w:t xml:space="preserve">7) </w:t>
      </w:r>
      <w:r>
        <w:rPr>
          <w:bCs/>
        </w:rPr>
        <w:t xml:space="preserve">que se remite proyecto de resolución del Poder Ejecutivo, por el cuál se reitera el gasto por U$S </w:t>
      </w:r>
      <w:r w:rsidR="002E5F5A">
        <w:rPr>
          <w:bCs/>
        </w:rPr>
        <w:t>237</w:t>
      </w:r>
      <w:r>
        <w:t>.</w:t>
      </w:r>
      <w:r w:rsidR="002E5F5A">
        <w:t>155</w:t>
      </w:r>
      <w:r>
        <w:rPr>
          <w:bCs/>
        </w:rPr>
        <w:t>;</w:t>
      </w:r>
      <w:r>
        <w:rPr>
          <w:b/>
          <w:bCs/>
        </w:rPr>
        <w:t xml:space="preserve">                      </w:t>
      </w:r>
    </w:p>
    <w:p w:rsidR="002E5F5A" w:rsidRPr="00CB2B99" w:rsidRDefault="00A86609" w:rsidP="007713BB">
      <w:pPr>
        <w:tabs>
          <w:tab w:val="left" w:pos="851"/>
          <w:tab w:val="left" w:pos="2160"/>
          <w:tab w:val="left" w:pos="3119"/>
        </w:tabs>
        <w:spacing w:line="360" w:lineRule="auto"/>
        <w:jc w:val="both"/>
        <w:rPr>
          <w:rFonts w:cs="Arial"/>
          <w:szCs w:val="17"/>
          <w:shd w:val="clear" w:color="auto" w:fill="FFFFFF"/>
        </w:rPr>
      </w:pPr>
      <w:r>
        <w:rPr>
          <w:b/>
          <w:bCs/>
        </w:rPr>
        <w:lastRenderedPageBreak/>
        <w:tab/>
      </w:r>
      <w:r w:rsidR="00540D88">
        <w:rPr>
          <w:b/>
          <w:bCs/>
        </w:rPr>
        <w:t xml:space="preserve">CONSIDERANDO: </w:t>
      </w:r>
      <w:r w:rsidR="007713BB">
        <w:rPr>
          <w:b/>
          <w:bCs/>
        </w:rPr>
        <w:tab/>
      </w:r>
      <w:r w:rsidR="00540D88">
        <w:rPr>
          <w:b/>
          <w:bCs/>
        </w:rPr>
        <w:t xml:space="preserve">1) </w:t>
      </w:r>
      <w:r w:rsidR="002E5F5A" w:rsidRPr="00CB2B99">
        <w:rPr>
          <w:rFonts w:cs="Arial"/>
          <w:b/>
          <w:bCs/>
          <w:color w:val="000000"/>
        </w:rPr>
        <w:t xml:space="preserve"> </w:t>
      </w:r>
      <w:r w:rsidR="002E5F5A" w:rsidRPr="00CB2B99">
        <w:rPr>
          <w:rFonts w:cs="Arial"/>
          <w:bCs/>
          <w:color w:val="000000"/>
        </w:rPr>
        <w:t>que el Artículo 475 de la Ley 17.296 de 21</w:t>
      </w:r>
      <w:r w:rsidR="00E97274">
        <w:rPr>
          <w:rFonts w:cs="Arial"/>
          <w:bCs/>
          <w:color w:val="000000"/>
        </w:rPr>
        <w:t xml:space="preserve"> de febrero de 2001</w:t>
      </w:r>
      <w:r w:rsidR="002E5F5A" w:rsidRPr="00CB2B99">
        <w:rPr>
          <w:rFonts w:cs="Arial"/>
          <w:bCs/>
          <w:color w:val="000000"/>
        </w:rPr>
        <w:t>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2E5F5A" w:rsidRDefault="007713BB" w:rsidP="007713BB">
      <w:pPr>
        <w:tabs>
          <w:tab w:val="left" w:pos="3119"/>
        </w:tabs>
        <w:spacing w:line="360" w:lineRule="auto"/>
        <w:jc w:val="both"/>
        <w:rPr>
          <w:rFonts w:cs="Arial"/>
        </w:rPr>
      </w:pPr>
      <w:r>
        <w:rPr>
          <w:b/>
        </w:rPr>
        <w:tab/>
      </w:r>
      <w:r w:rsidR="002E5F5A" w:rsidRPr="00CB2B99">
        <w:rPr>
          <w:b/>
        </w:rPr>
        <w:t>2)</w:t>
      </w:r>
      <w:r w:rsidR="002E5F5A" w:rsidRPr="00CB2B99">
        <w:rPr>
          <w:bCs/>
        </w:rPr>
        <w:t xml:space="preserve"> </w:t>
      </w:r>
      <w:r w:rsidR="002E5F5A" w:rsidRPr="00CB2B99">
        <w:rPr>
          <w:rFonts w:cs="Arial"/>
        </w:rPr>
        <w:t>que</w:t>
      </w:r>
      <w:r w:rsidR="004C015F">
        <w:rPr>
          <w:rFonts w:cs="Arial"/>
        </w:rPr>
        <w:t xml:space="preserve"> </w:t>
      </w:r>
      <w:r w:rsidR="002E5F5A" w:rsidRPr="00CB2B99">
        <w:rPr>
          <w:rFonts w:cs="Arial"/>
        </w:rPr>
        <w:t>se mant</w:t>
      </w:r>
      <w:r w:rsidR="004C015F">
        <w:rPr>
          <w:rFonts w:cs="Arial"/>
        </w:rPr>
        <w:t>ienen incambiados los fundamentos</w:t>
      </w:r>
      <w:r w:rsidR="002E5F5A" w:rsidRPr="00CB2B99">
        <w:rPr>
          <w:rFonts w:cs="Arial"/>
        </w:rPr>
        <w:t xml:space="preserve"> por los cuales </w:t>
      </w:r>
      <w:r w:rsidR="002E5F5A">
        <w:rPr>
          <w:rFonts w:cs="Arial"/>
        </w:rPr>
        <w:t>este Tribunal</w:t>
      </w:r>
      <w:r w:rsidR="00E97274">
        <w:rPr>
          <w:rFonts w:cs="Arial"/>
        </w:rPr>
        <w:t xml:space="preserve"> </w:t>
      </w:r>
      <w:r w:rsidR="002E5F5A">
        <w:rPr>
          <w:rFonts w:cs="Arial"/>
        </w:rPr>
        <w:t xml:space="preserve">con fecha </w:t>
      </w:r>
      <w:r w:rsidR="002E5F5A">
        <w:t>10 de mayo de 2017</w:t>
      </w:r>
      <w:r w:rsidR="004C015F">
        <w:t xml:space="preserve"> </w:t>
      </w:r>
      <w:r w:rsidR="004C015F">
        <w:rPr>
          <w:rFonts w:cs="Arial"/>
        </w:rPr>
        <w:t>observó</w:t>
      </w:r>
      <w:r w:rsidR="002E5F5A">
        <w:rPr>
          <w:rFonts w:cs="Arial"/>
        </w:rPr>
        <w:t xml:space="preserve"> el gasto de U$S </w:t>
      </w:r>
      <w:r w:rsidR="002E5F5A">
        <w:t>102.049,27</w:t>
      </w:r>
      <w:r w:rsidR="002E5F5A" w:rsidRPr="00CB2B99">
        <w:rPr>
          <w:rFonts w:cs="Arial"/>
        </w:rPr>
        <w:t xml:space="preserve">, </w:t>
      </w:r>
      <w:r w:rsidR="004C015F">
        <w:rPr>
          <w:rFonts w:cs="Arial"/>
        </w:rPr>
        <w:t xml:space="preserve">por cuanto las razones alegadas por el Ordenador no refieren a la legalidad sino a la necesidad; </w:t>
      </w:r>
    </w:p>
    <w:p w:rsidR="00540D88" w:rsidRDefault="002E5F5A" w:rsidP="007713BB">
      <w:pPr>
        <w:tabs>
          <w:tab w:val="left" w:pos="3119"/>
        </w:tabs>
        <w:suppressAutoHyphens/>
        <w:spacing w:line="360" w:lineRule="auto"/>
        <w:jc w:val="both"/>
      </w:pPr>
      <w:r>
        <w:t xml:space="preserve">                             </w:t>
      </w:r>
      <w:r w:rsidR="00695044">
        <w:t xml:space="preserve">  </w:t>
      </w:r>
      <w:r w:rsidR="007713BB">
        <w:tab/>
      </w:r>
      <w:r w:rsidRPr="00695044">
        <w:rPr>
          <w:b/>
        </w:rPr>
        <w:t>3)</w:t>
      </w:r>
      <w:r>
        <w:t xml:space="preserve"> </w:t>
      </w:r>
      <w:r w:rsidR="004C015F">
        <w:t>que</w:t>
      </w:r>
      <w:r>
        <w:t xml:space="preserve"> el nuevo gasto remitido de</w:t>
      </w:r>
      <w:r w:rsidRPr="002E5F5A">
        <w:rPr>
          <w:bCs/>
        </w:rPr>
        <w:t xml:space="preserve"> </w:t>
      </w:r>
      <w:r>
        <w:rPr>
          <w:bCs/>
        </w:rPr>
        <w:t>U$S 237</w:t>
      </w:r>
      <w:r>
        <w:t xml:space="preserve">.155 </w:t>
      </w:r>
      <w:r w:rsidR="00540D88">
        <w:t xml:space="preserve"> deriva del </w:t>
      </w:r>
      <w:r w:rsidR="004C015F">
        <w:t xml:space="preserve">mismo </w:t>
      </w:r>
      <w:r w:rsidR="00540D88">
        <w:t>Convenio que fuera observado por este Tribunal con fecha 16 de diciembre de 2009, por c</w:t>
      </w:r>
      <w:r w:rsidR="007713BB">
        <w:t xml:space="preserve">ontravenir lo dispuesto por el Artículo 211 </w:t>
      </w:r>
      <w:bookmarkStart w:id="0" w:name="_GoBack"/>
      <w:bookmarkEnd w:id="0"/>
      <w:r w:rsidR="007713BB">
        <w:t>L</w:t>
      </w:r>
      <w:r w:rsidR="000F1CE5">
        <w:t>iteral</w:t>
      </w:r>
      <w:r w:rsidR="00540D88">
        <w:t xml:space="preserve"> B) de la Constitución de la República;</w:t>
      </w:r>
    </w:p>
    <w:p w:rsidR="00540D88" w:rsidRDefault="00540D88" w:rsidP="007713BB">
      <w:pPr>
        <w:tabs>
          <w:tab w:val="left" w:pos="2127"/>
          <w:tab w:val="left" w:pos="3119"/>
        </w:tabs>
        <w:suppressAutoHyphens/>
        <w:spacing w:line="360" w:lineRule="auto"/>
        <w:jc w:val="both"/>
      </w:pPr>
      <w:r>
        <w:tab/>
      </w:r>
      <w:r w:rsidR="00695044">
        <w:t xml:space="preserve">  </w:t>
      </w:r>
      <w:r w:rsidR="007713BB">
        <w:tab/>
      </w:r>
      <w:r w:rsidR="00695044">
        <w:rPr>
          <w:b/>
        </w:rPr>
        <w:t>4</w:t>
      </w:r>
      <w:r w:rsidRPr="00C93AEA">
        <w:rPr>
          <w:b/>
        </w:rPr>
        <w:t>)</w:t>
      </w:r>
      <w:r w:rsidR="00456DA7">
        <w:t xml:space="preserve"> que </w:t>
      </w:r>
      <w:r w:rsidR="004C015F">
        <w:t>el</w:t>
      </w:r>
      <w:r>
        <w:t xml:space="preserve"> proyecto de </w:t>
      </w:r>
      <w:r>
        <w:rPr>
          <w:bCs/>
        </w:rPr>
        <w:t>resolución</w:t>
      </w:r>
      <w:r w:rsidR="004C015F">
        <w:rPr>
          <w:bCs/>
        </w:rPr>
        <w:t xml:space="preserve"> remitido</w:t>
      </w:r>
      <w:r>
        <w:rPr>
          <w:bCs/>
        </w:rPr>
        <w:t xml:space="preserve"> por el cual se reitera el gasto por </w:t>
      </w:r>
      <w:r w:rsidR="00695044">
        <w:rPr>
          <w:bCs/>
        </w:rPr>
        <w:t>U$S 237</w:t>
      </w:r>
      <w:r w:rsidR="00695044">
        <w:t>.155</w:t>
      </w:r>
      <w:r w:rsidR="00456DA7">
        <w:rPr>
          <w:bCs/>
        </w:rPr>
        <w:t>, es del caso consignar</w:t>
      </w:r>
      <w:r w:rsidR="004C015F">
        <w:rPr>
          <w:bCs/>
        </w:rPr>
        <w:t xml:space="preserve"> que no corresponde en esta instancia, en tanto el mismo aún no ha sido dispuesto por  </w:t>
      </w:r>
      <w:r>
        <w:rPr>
          <w:bCs/>
        </w:rPr>
        <w:t>el orde</w:t>
      </w:r>
      <w:r w:rsidR="00456DA7">
        <w:rPr>
          <w:bCs/>
        </w:rPr>
        <w:t>nador competente</w:t>
      </w:r>
      <w:r>
        <w:rPr>
          <w:bCs/>
        </w:rPr>
        <w:t xml:space="preserve">; </w:t>
      </w:r>
    </w:p>
    <w:p w:rsidR="00540D88" w:rsidRPr="00A86609" w:rsidRDefault="00A86609" w:rsidP="00A86609">
      <w:pPr>
        <w:pStyle w:val="Textoindependiente"/>
        <w:tabs>
          <w:tab w:val="left" w:pos="851"/>
        </w:tabs>
      </w:pPr>
      <w:r>
        <w:rPr>
          <w:b/>
          <w:bCs/>
        </w:rPr>
        <w:tab/>
      </w:r>
      <w:r w:rsidR="00540D88">
        <w:rPr>
          <w:b/>
          <w:bCs/>
        </w:rPr>
        <w:t xml:space="preserve">ATENTO: </w:t>
      </w:r>
      <w:r w:rsidR="00540D88">
        <w:t>a lo precedentemente expuesto;</w:t>
      </w:r>
    </w:p>
    <w:p w:rsidR="00540D88" w:rsidRPr="0058035F" w:rsidRDefault="00540D88" w:rsidP="00A86609">
      <w:pPr>
        <w:pStyle w:val="Ttulo1"/>
      </w:pPr>
      <w:r>
        <w:t>EL TRIBUNAL ACUERDA</w:t>
      </w:r>
    </w:p>
    <w:p w:rsidR="00695044" w:rsidRPr="00695044" w:rsidRDefault="00695044" w:rsidP="00A86609">
      <w:pPr>
        <w:pStyle w:val="Prrafodelista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  <w:lang w:val="es-UY"/>
        </w:rPr>
      </w:pPr>
      <w:r w:rsidRPr="00695044">
        <w:rPr>
          <w:rFonts w:cs="Arial"/>
          <w:lang w:val="es-UY"/>
        </w:rPr>
        <w:t xml:space="preserve">Mantener la observación formulada con fecha </w:t>
      </w:r>
      <w:r>
        <w:rPr>
          <w:rFonts w:cs="Arial"/>
          <w:lang w:val="es-UY"/>
        </w:rPr>
        <w:t>10</w:t>
      </w:r>
      <w:r w:rsidRPr="00695044">
        <w:rPr>
          <w:rFonts w:cs="Arial"/>
          <w:lang w:val="es-UY"/>
        </w:rPr>
        <w:t xml:space="preserve"> de mayo de 2017</w:t>
      </w:r>
      <w:r w:rsidR="00AB4566">
        <w:rPr>
          <w:rFonts w:cs="Arial"/>
          <w:lang w:val="es-UY"/>
        </w:rPr>
        <w:t xml:space="preserve"> (Considerando 2)</w:t>
      </w:r>
      <w:r w:rsidRPr="00695044">
        <w:rPr>
          <w:rFonts w:cs="Arial"/>
          <w:lang w:val="es-UY"/>
        </w:rPr>
        <w:t xml:space="preserve">;  </w:t>
      </w:r>
    </w:p>
    <w:p w:rsidR="00695044" w:rsidRPr="00CB2B99" w:rsidRDefault="00695044" w:rsidP="00A86609">
      <w:pPr>
        <w:spacing w:line="360" w:lineRule="auto"/>
        <w:jc w:val="both"/>
        <w:rPr>
          <w:rFonts w:cs="Arial"/>
          <w:lang w:val="es-UY"/>
        </w:rPr>
      </w:pPr>
      <w:r w:rsidRPr="00A86609"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 </w:t>
      </w:r>
      <w:r w:rsidRPr="00CB2B99">
        <w:rPr>
          <w:rFonts w:cs="Arial"/>
          <w:lang w:val="es-UY"/>
        </w:rPr>
        <w:t xml:space="preserve">Dar cuenta a la Asamblea General;  </w:t>
      </w:r>
    </w:p>
    <w:p w:rsidR="00540D88" w:rsidRDefault="00695044" w:rsidP="00695044">
      <w:pPr>
        <w:spacing w:line="360" w:lineRule="auto"/>
        <w:jc w:val="both"/>
      </w:pPr>
      <w:r w:rsidRPr="00A86609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</w:t>
      </w:r>
      <w:r w:rsidR="00540D88">
        <w:t xml:space="preserve">Observar el gasto por la suma de U$S </w:t>
      </w:r>
      <w:r>
        <w:t>237.155</w:t>
      </w:r>
      <w:r w:rsidR="00AB4566">
        <w:t xml:space="preserve"> (Considerando 3)</w:t>
      </w:r>
      <w:r w:rsidR="00540D88">
        <w:t>;</w:t>
      </w:r>
    </w:p>
    <w:p w:rsidR="00540D88" w:rsidRDefault="00695044" w:rsidP="00A86609">
      <w:pPr>
        <w:tabs>
          <w:tab w:val="left" w:pos="-720"/>
        </w:tabs>
        <w:suppressAutoHyphens/>
        <w:spacing w:line="360" w:lineRule="auto"/>
        <w:jc w:val="both"/>
      </w:pPr>
      <w:r w:rsidRPr="00A86609">
        <w:rPr>
          <w:b/>
        </w:rPr>
        <w:t>4)</w:t>
      </w:r>
      <w:r>
        <w:t xml:space="preserve"> </w:t>
      </w:r>
      <w:r w:rsidR="00AB4566">
        <w:t>Téngase presente lo señalado</w:t>
      </w:r>
      <w:r w:rsidR="00540D88">
        <w:t xml:space="preserve"> en el Considerando </w:t>
      </w:r>
      <w:r>
        <w:t>4</w:t>
      </w:r>
      <w:r w:rsidR="00540D88">
        <w:t>) de la presente</w:t>
      </w:r>
      <w:r w:rsidR="00AB4566">
        <w:t xml:space="preserve"> resolución</w:t>
      </w:r>
      <w:r w:rsidR="00540D88">
        <w:t>;</w:t>
      </w:r>
    </w:p>
    <w:p w:rsidR="00540D88" w:rsidRDefault="00695044" w:rsidP="00695044">
      <w:pPr>
        <w:tabs>
          <w:tab w:val="left" w:pos="-720"/>
        </w:tabs>
        <w:suppressAutoHyphens/>
        <w:spacing w:line="360" w:lineRule="auto"/>
        <w:jc w:val="both"/>
      </w:pPr>
      <w:r w:rsidRPr="00A86609">
        <w:rPr>
          <w:b/>
        </w:rPr>
        <w:t>5)</w:t>
      </w:r>
      <w:r>
        <w:t xml:space="preserve"> </w:t>
      </w:r>
      <w:r w:rsidR="00540D88">
        <w:t>Devolver las actuaciones.</w:t>
      </w:r>
    </w:p>
    <w:p w:rsidR="00A86609" w:rsidRDefault="00A86609" w:rsidP="00695044">
      <w:pPr>
        <w:tabs>
          <w:tab w:val="left" w:pos="-720"/>
        </w:tabs>
        <w:suppressAutoHyphens/>
        <w:spacing w:line="360" w:lineRule="auto"/>
        <w:jc w:val="both"/>
      </w:pPr>
      <w:proofErr w:type="gramStart"/>
      <w:r>
        <w:t>lm</w:t>
      </w:r>
      <w:proofErr w:type="gramEnd"/>
    </w:p>
    <w:p w:rsidR="00540D88" w:rsidRDefault="00540D88" w:rsidP="00540D88">
      <w:pPr>
        <w:jc w:val="right"/>
        <w:rPr>
          <w:rFonts w:cs="Arial"/>
          <w:iCs/>
        </w:rPr>
      </w:pPr>
    </w:p>
    <w:p w:rsidR="00540D88" w:rsidRDefault="00540D88" w:rsidP="00540D88">
      <w:pPr>
        <w:jc w:val="right"/>
        <w:rPr>
          <w:rFonts w:cs="Arial"/>
          <w:iCs/>
        </w:rPr>
      </w:pPr>
    </w:p>
    <w:sectPr w:rsidR="00540D88" w:rsidSect="00A86609">
      <w:pgSz w:w="11907" w:h="16840" w:code="9"/>
      <w:pgMar w:top="3289" w:right="1701" w:bottom="1418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53494"/>
    <w:multiLevelType w:val="hybridMultilevel"/>
    <w:tmpl w:val="1ADCC2E2"/>
    <w:lvl w:ilvl="0" w:tplc="E7D6B5A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BB2C1B"/>
    <w:multiLevelType w:val="hybridMultilevel"/>
    <w:tmpl w:val="4AC27D88"/>
    <w:lvl w:ilvl="0" w:tplc="30F802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88"/>
    <w:rsid w:val="000E35B4"/>
    <w:rsid w:val="000F1CE5"/>
    <w:rsid w:val="00100A1A"/>
    <w:rsid w:val="002E5F5A"/>
    <w:rsid w:val="00456DA7"/>
    <w:rsid w:val="004C015F"/>
    <w:rsid w:val="00540D88"/>
    <w:rsid w:val="00695044"/>
    <w:rsid w:val="007713BB"/>
    <w:rsid w:val="00892B5A"/>
    <w:rsid w:val="00962048"/>
    <w:rsid w:val="00962331"/>
    <w:rsid w:val="00A86609"/>
    <w:rsid w:val="00AB4566"/>
    <w:rsid w:val="00B375AD"/>
    <w:rsid w:val="00E9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8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0D88"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0D8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40D88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40D8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95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8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0D88"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0D8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40D88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40D8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95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MARIA LORENA MACIEL</cp:lastModifiedBy>
  <cp:revision>2</cp:revision>
  <dcterms:created xsi:type="dcterms:W3CDTF">2017-12-07T14:57:00Z</dcterms:created>
  <dcterms:modified xsi:type="dcterms:W3CDTF">2017-12-07T14:57:00Z</dcterms:modified>
</cp:coreProperties>
</file>