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D7" w:rsidRPr="00786EEB" w:rsidRDefault="007F7AC8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3979/17</w:t>
      </w:r>
      <w:bookmarkStart w:id="0" w:name="_GoBack"/>
      <w:bookmarkEnd w:id="0"/>
    </w:p>
    <w:p w:rsidR="00C96DD7" w:rsidRDefault="00C96DD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C96DD7" w:rsidRPr="00762B34" w:rsidRDefault="00C96DD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C96DD7" w:rsidRPr="00762B34" w:rsidRDefault="00C96DD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96DD7" w:rsidRPr="00762B34" w:rsidRDefault="00C96DD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C96DD7" w:rsidRPr="00762B34" w:rsidRDefault="00C96DD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96DD7" w:rsidRPr="00762B34" w:rsidRDefault="00C96DD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29 DE NOVIEMBRE </w:t>
      </w:r>
      <w:r>
        <w:rPr>
          <w:rFonts w:ascii="Helvetica" w:hAnsi="Helvetica"/>
          <w:b/>
          <w:lang w:val="es-ES_tradnl"/>
        </w:rPr>
        <w:t>DE 2017</w:t>
      </w:r>
    </w:p>
    <w:p w:rsidR="00C96DD7" w:rsidRPr="00762B34" w:rsidRDefault="00C96DD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C96DD7" w:rsidRPr="00762B34" w:rsidRDefault="00C96DD7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2015-17-1-0009050</w:t>
      </w:r>
      <w:r w:rsidRPr="00762B34">
        <w:rPr>
          <w:rFonts w:cs="Arial"/>
          <w:b/>
          <w:lang w:val="en-US"/>
        </w:rPr>
        <w:t xml:space="preserve">, Ent. N° </w:t>
      </w:r>
      <w:r>
        <w:rPr>
          <w:rFonts w:cs="Arial"/>
          <w:b/>
          <w:lang w:val="en-US"/>
        </w:rPr>
        <w:t>5690/17</w:t>
      </w:r>
      <w:r w:rsidRPr="00762B34">
        <w:rPr>
          <w:rFonts w:cs="Arial"/>
          <w:b/>
          <w:lang w:val="en-US"/>
        </w:rPr>
        <w:t>)</w:t>
      </w:r>
    </w:p>
    <w:p w:rsidR="00C96DD7" w:rsidRDefault="00C96D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C96DD7" w:rsidRDefault="00B23D35" w:rsidP="00C96DD7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</w:t>
      </w:r>
      <w:r>
        <w:rPr>
          <w:rFonts w:cs="Arial"/>
          <w:lang w:val="es-MX"/>
        </w:rPr>
        <w:t>Ministerio de Industria</w:t>
      </w:r>
      <w:r w:rsidR="00C96DD7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Energía y Minería (M.I.E.M.)</w:t>
      </w:r>
      <w:r>
        <w:t xml:space="preserve">, relacionadas con el convenio </w:t>
      </w:r>
      <w:r w:rsidR="00352410">
        <w:t xml:space="preserve">a </w:t>
      </w:r>
      <w:r>
        <w:t>suscri</w:t>
      </w:r>
      <w:r w:rsidR="000C29F1">
        <w:t>bir con</w:t>
      </w:r>
      <w:r>
        <w:t xml:space="preserve"> la Universidad de la República (U.D.E.L.A.R.) – Comisión Sectorial de Investigación Científica;</w:t>
      </w:r>
    </w:p>
    <w:p w:rsidR="00C96DD7" w:rsidRDefault="00B23D35" w:rsidP="00C96DD7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RESULTANDO: 1) </w:t>
      </w:r>
      <w:r w:rsidRPr="00564B4C">
        <w:rPr>
          <w:bCs/>
        </w:rPr>
        <w:t xml:space="preserve">que con fecha 27 de setiembre de 2013, las partes celebraron </w:t>
      </w:r>
      <w:r w:rsidR="00105BAF">
        <w:rPr>
          <w:bCs/>
        </w:rPr>
        <w:t xml:space="preserve">un </w:t>
      </w:r>
      <w:r w:rsidRPr="00564B4C">
        <w:rPr>
          <w:bCs/>
        </w:rPr>
        <w:t>c</w:t>
      </w:r>
      <w:r>
        <w:rPr>
          <w:bCs/>
        </w:rPr>
        <w:t xml:space="preserve">onvenio cuyo </w:t>
      </w:r>
      <w:r w:rsidRPr="00564B4C">
        <w:rPr>
          <w:bCs/>
        </w:rPr>
        <w:t xml:space="preserve">objeto </w:t>
      </w:r>
      <w:r>
        <w:rPr>
          <w:bCs/>
        </w:rPr>
        <w:t>consistió</w:t>
      </w:r>
      <w:r w:rsidRPr="00564B4C">
        <w:rPr>
          <w:bCs/>
        </w:rPr>
        <w:t xml:space="preserve"> en </w:t>
      </w:r>
      <w:r>
        <w:rPr>
          <w:bCs/>
        </w:rPr>
        <w:t xml:space="preserve">poner en </w:t>
      </w:r>
      <w:r w:rsidRPr="00564B4C">
        <w:rPr>
          <w:bCs/>
        </w:rPr>
        <w:t>marcha el Centro de Extensionismo Industrial (C</w:t>
      </w:r>
      <w:r>
        <w:rPr>
          <w:bCs/>
        </w:rPr>
        <w:t>.</w:t>
      </w:r>
      <w:r w:rsidRPr="00564B4C">
        <w:rPr>
          <w:bCs/>
        </w:rPr>
        <w:t>E</w:t>
      </w:r>
      <w:r>
        <w:rPr>
          <w:bCs/>
        </w:rPr>
        <w:t>.</w:t>
      </w:r>
      <w:r w:rsidRPr="00564B4C">
        <w:rPr>
          <w:bCs/>
        </w:rPr>
        <w:t>I</w:t>
      </w:r>
      <w:r>
        <w:rPr>
          <w:bCs/>
        </w:rPr>
        <w:t>.</w:t>
      </w:r>
      <w:r w:rsidRPr="00564B4C">
        <w:rPr>
          <w:bCs/>
        </w:rPr>
        <w:t>), ampliándose posteriormente el plazo de vigencia del mismo h</w:t>
      </w:r>
      <w:r>
        <w:rPr>
          <w:bCs/>
        </w:rPr>
        <w:t xml:space="preserve">asta el 31 de diciembre de 2015, siendo las respectivas  </w:t>
      </w:r>
      <w:r w:rsidRPr="00564B4C">
        <w:rPr>
          <w:bCs/>
        </w:rPr>
        <w:t xml:space="preserve"> intervenciones</w:t>
      </w:r>
      <w:r>
        <w:rPr>
          <w:bCs/>
        </w:rPr>
        <w:t xml:space="preserve"> del gasto</w:t>
      </w:r>
      <w:r w:rsidRPr="00564B4C">
        <w:rPr>
          <w:bCs/>
        </w:rPr>
        <w:t xml:space="preserve"> realizad</w:t>
      </w:r>
      <w:r>
        <w:rPr>
          <w:bCs/>
        </w:rPr>
        <w:t xml:space="preserve">as </w:t>
      </w:r>
      <w:r w:rsidRPr="00564B4C">
        <w:rPr>
          <w:bCs/>
        </w:rPr>
        <w:t xml:space="preserve">por la Auditoria destacada </w:t>
      </w:r>
      <w:r w:rsidR="00463EDE">
        <w:rPr>
          <w:bCs/>
        </w:rPr>
        <w:t xml:space="preserve"> de este Tribunal </w:t>
      </w:r>
      <w:r w:rsidRPr="00564B4C">
        <w:rPr>
          <w:bCs/>
        </w:rPr>
        <w:t>ante el Ministerio actuante</w:t>
      </w:r>
      <w:r w:rsidR="00463EDE">
        <w:rPr>
          <w:bCs/>
        </w:rPr>
        <w:t>,</w:t>
      </w:r>
      <w:r w:rsidRPr="00564B4C">
        <w:rPr>
          <w:bCs/>
        </w:rPr>
        <w:t xml:space="preserve"> en </w:t>
      </w:r>
      <w:r>
        <w:rPr>
          <w:bCs/>
        </w:rPr>
        <w:t xml:space="preserve">función </w:t>
      </w:r>
      <w:r w:rsidR="00C96DD7">
        <w:rPr>
          <w:bCs/>
        </w:rPr>
        <w:t xml:space="preserve"> de su monto;</w:t>
      </w:r>
    </w:p>
    <w:p w:rsidR="00C96DD7" w:rsidRDefault="00B23D35" w:rsidP="00C96DD7">
      <w:pPr>
        <w:spacing w:line="360" w:lineRule="auto"/>
        <w:ind w:firstLine="2835"/>
        <w:jc w:val="both"/>
        <w:rPr>
          <w:bCs/>
        </w:rPr>
      </w:pPr>
      <w:r w:rsidRPr="00564B4C">
        <w:rPr>
          <w:b/>
          <w:bCs/>
        </w:rPr>
        <w:t xml:space="preserve">2) </w:t>
      </w:r>
      <w:r w:rsidRPr="00564B4C">
        <w:rPr>
          <w:bCs/>
        </w:rPr>
        <w:t xml:space="preserve">que </w:t>
      </w:r>
      <w:r>
        <w:rPr>
          <w:bCs/>
        </w:rPr>
        <w:t>posteriormente</w:t>
      </w:r>
      <w:r w:rsidR="00105BAF">
        <w:rPr>
          <w:bCs/>
        </w:rPr>
        <w:t>,</w:t>
      </w:r>
      <w:r>
        <w:rPr>
          <w:bCs/>
        </w:rPr>
        <w:t xml:space="preserve"> se remitió</w:t>
      </w:r>
      <w:r w:rsidR="00463EDE">
        <w:rPr>
          <w:bCs/>
        </w:rPr>
        <w:t xml:space="preserve"> a este Tribunal </w:t>
      </w:r>
      <w:r>
        <w:rPr>
          <w:bCs/>
        </w:rPr>
        <w:t xml:space="preserve"> un nuevo  </w:t>
      </w:r>
      <w:r w:rsidRPr="00564B4C">
        <w:rPr>
          <w:bCs/>
        </w:rPr>
        <w:t>convenio</w:t>
      </w:r>
      <w:r>
        <w:rPr>
          <w:bCs/>
        </w:rPr>
        <w:t xml:space="preserve"> entre las partes,</w:t>
      </w:r>
      <w:r w:rsidR="000C29F1">
        <w:rPr>
          <w:bCs/>
        </w:rPr>
        <w:t xml:space="preserve">  con el</w:t>
      </w:r>
      <w:r w:rsidRPr="00564B4C">
        <w:rPr>
          <w:bCs/>
        </w:rPr>
        <w:t xml:space="preserve"> objeto </w:t>
      </w:r>
      <w:r w:rsidR="000C29F1">
        <w:rPr>
          <w:bCs/>
        </w:rPr>
        <w:t xml:space="preserve">de </w:t>
      </w:r>
      <w:r w:rsidRPr="00564B4C">
        <w:rPr>
          <w:bCs/>
        </w:rPr>
        <w:t>consolidar y potenciar el C.E.I. como herramienta de política industrial para la detección y articulación de demandas tecnológicas y de innovación de la industria uruguaya, especialmente sus pequeñas y medianas empresas, cooperativas de producción y empresas auto-gestionadas, con la oferta de conocimientos disponible en el país y la estructura existen</w:t>
      </w:r>
      <w:r w:rsidR="00C96DD7">
        <w:rPr>
          <w:bCs/>
        </w:rPr>
        <w:t>te de apoyo a la competitividad;</w:t>
      </w:r>
    </w:p>
    <w:p w:rsidR="00C96DD7" w:rsidRDefault="00B23D35" w:rsidP="00C96DD7">
      <w:pPr>
        <w:spacing w:line="360" w:lineRule="auto"/>
        <w:ind w:firstLine="2835"/>
        <w:jc w:val="both"/>
        <w:rPr>
          <w:bCs/>
          <w:lang w:val="es-MX"/>
        </w:rPr>
      </w:pPr>
      <w:r w:rsidRPr="004F27A9">
        <w:rPr>
          <w:b/>
          <w:bCs/>
        </w:rPr>
        <w:t xml:space="preserve">3) </w:t>
      </w:r>
      <w:r>
        <w:rPr>
          <w:bCs/>
        </w:rPr>
        <w:t>que al respecto, este Tribunal</w:t>
      </w:r>
      <w:r w:rsidR="00105BAF">
        <w:rPr>
          <w:bCs/>
        </w:rPr>
        <w:t>,</w:t>
      </w:r>
      <w:r>
        <w:rPr>
          <w:bCs/>
        </w:rPr>
        <w:t xml:space="preserve"> por Resolución adoptada con fecha 13 de enero de 2016, dispuso que u</w:t>
      </w:r>
      <w:r w:rsidRPr="004F27A9">
        <w:rPr>
          <w:bCs/>
          <w:lang w:val="es-MX"/>
        </w:rPr>
        <w:t>na ve</w:t>
      </w:r>
      <w:r w:rsidR="00C96DD7">
        <w:rPr>
          <w:bCs/>
          <w:lang w:val="es-MX"/>
        </w:rPr>
        <w:t>z dictada la Resolución por el O</w:t>
      </w:r>
      <w:r w:rsidRPr="004F27A9">
        <w:rPr>
          <w:bCs/>
          <w:lang w:val="es-MX"/>
        </w:rPr>
        <w:t>rdenador competente, se comet</w:t>
      </w:r>
      <w:r w:rsidR="000C29F1">
        <w:rPr>
          <w:bCs/>
          <w:lang w:val="es-MX"/>
        </w:rPr>
        <w:t>ía</w:t>
      </w:r>
      <w:r w:rsidRPr="004F27A9">
        <w:rPr>
          <w:bCs/>
          <w:lang w:val="es-MX"/>
        </w:rPr>
        <w:t xml:space="preserve"> a la Contadora Auditora destacada</w:t>
      </w:r>
      <w:r w:rsidR="00463EDE">
        <w:rPr>
          <w:bCs/>
          <w:lang w:val="es-MX"/>
        </w:rPr>
        <w:t>,</w:t>
      </w:r>
      <w:r w:rsidRPr="004F27A9">
        <w:rPr>
          <w:bCs/>
          <w:lang w:val="es-MX"/>
        </w:rPr>
        <w:t xml:space="preserve"> la intervención del gasto de hasta $ 8:611.973</w:t>
      </w:r>
      <w:r>
        <w:rPr>
          <w:bCs/>
          <w:lang w:val="es-MX"/>
        </w:rPr>
        <w:t xml:space="preserve"> emergente del citado convenio</w:t>
      </w:r>
      <w:r w:rsidRPr="004F27A9">
        <w:rPr>
          <w:bCs/>
          <w:lang w:val="es-MX"/>
        </w:rPr>
        <w:t>, previo contro</w:t>
      </w:r>
      <w:r w:rsidR="00C96DD7">
        <w:rPr>
          <w:bCs/>
          <w:lang w:val="es-MX"/>
        </w:rPr>
        <w:t>l de su imputación con cargo a G</w:t>
      </w:r>
      <w:r w:rsidRPr="004F27A9">
        <w:rPr>
          <w:bCs/>
          <w:lang w:val="es-MX"/>
        </w:rPr>
        <w:t xml:space="preserve">rupo adecuado con </w:t>
      </w:r>
      <w:r w:rsidRPr="004F27A9">
        <w:rPr>
          <w:bCs/>
          <w:lang w:val="es-MX"/>
        </w:rPr>
        <w:lastRenderedPageBreak/>
        <w:t>disponibilidad suficiente y verificació</w:t>
      </w:r>
      <w:r w:rsidR="000C29F1">
        <w:rPr>
          <w:bCs/>
          <w:lang w:val="es-MX"/>
        </w:rPr>
        <w:t>n de que la resolución concordara</w:t>
      </w:r>
      <w:r w:rsidRPr="004F27A9">
        <w:rPr>
          <w:bCs/>
          <w:lang w:val="es-MX"/>
        </w:rPr>
        <w:t xml:space="preserve"> con los antecedentes remitidos al Tribunal;</w:t>
      </w:r>
    </w:p>
    <w:p w:rsidR="00C96DD7" w:rsidRDefault="00B23D35" w:rsidP="00C96DD7">
      <w:pPr>
        <w:spacing w:line="360" w:lineRule="auto"/>
        <w:ind w:firstLine="2835"/>
        <w:jc w:val="both"/>
        <w:rPr>
          <w:bCs/>
          <w:lang w:val="es-MX"/>
        </w:rPr>
      </w:pPr>
      <w:r w:rsidRPr="004F27A9">
        <w:rPr>
          <w:b/>
          <w:bCs/>
          <w:lang w:val="es-MX"/>
        </w:rPr>
        <w:t>4)</w:t>
      </w:r>
      <w:r>
        <w:rPr>
          <w:b/>
          <w:bCs/>
          <w:lang w:val="es-MX"/>
        </w:rPr>
        <w:t xml:space="preserve"> </w:t>
      </w:r>
      <w:r w:rsidR="000C29F1">
        <w:rPr>
          <w:bCs/>
          <w:lang w:val="es-MX"/>
        </w:rPr>
        <w:t>que sometida a consideración del Tribuna</w:t>
      </w:r>
      <w:r w:rsidR="00C96DD7">
        <w:rPr>
          <w:bCs/>
          <w:lang w:val="es-MX"/>
        </w:rPr>
        <w:t>l</w:t>
      </w:r>
      <w:r>
        <w:rPr>
          <w:bCs/>
          <w:lang w:val="es-MX"/>
        </w:rPr>
        <w:t xml:space="preserve"> una  modificación del </w:t>
      </w:r>
      <w:r w:rsidR="00352410">
        <w:rPr>
          <w:bCs/>
          <w:lang w:val="es-MX"/>
        </w:rPr>
        <w:t>convenio</w:t>
      </w:r>
      <w:r w:rsidR="000C29F1">
        <w:rPr>
          <w:bCs/>
          <w:lang w:val="es-MX"/>
        </w:rPr>
        <w:t xml:space="preserve"> referido por la </w:t>
      </w:r>
      <w:r>
        <w:rPr>
          <w:bCs/>
          <w:lang w:val="es-MX"/>
        </w:rPr>
        <w:t xml:space="preserve">cual se </w:t>
      </w:r>
      <w:r w:rsidR="00352410">
        <w:rPr>
          <w:bCs/>
          <w:lang w:val="es-MX"/>
        </w:rPr>
        <w:t>extendía</w:t>
      </w:r>
      <w:r>
        <w:rPr>
          <w:bCs/>
          <w:lang w:val="es-MX"/>
        </w:rPr>
        <w:t xml:space="preserve"> el plazo del mismo hasta el 11 de setiembre de 2017, este Tribunal, por </w:t>
      </w:r>
      <w:r w:rsidR="00352410">
        <w:rPr>
          <w:bCs/>
          <w:lang w:val="es-MX"/>
        </w:rPr>
        <w:t>Resolución</w:t>
      </w:r>
      <w:r>
        <w:rPr>
          <w:bCs/>
          <w:lang w:val="es-MX"/>
        </w:rPr>
        <w:t xml:space="preserve"> adoptada con fecha 24 de agosto de 2016, </w:t>
      </w:r>
      <w:r w:rsidR="00352410">
        <w:rPr>
          <w:bCs/>
          <w:lang w:val="es-MX"/>
        </w:rPr>
        <w:t>acordó</w:t>
      </w:r>
      <w:r>
        <w:rPr>
          <w:bCs/>
          <w:lang w:val="es-MX"/>
        </w:rPr>
        <w:t xml:space="preserve"> no </w:t>
      </w:r>
      <w:r w:rsidR="00352410">
        <w:rPr>
          <w:bCs/>
          <w:lang w:val="es-MX"/>
        </w:rPr>
        <w:t>formular</w:t>
      </w:r>
      <w:r>
        <w:rPr>
          <w:bCs/>
          <w:lang w:val="es-MX"/>
        </w:rPr>
        <w:t xml:space="preserve"> observaciones;</w:t>
      </w:r>
    </w:p>
    <w:p w:rsidR="00C96DD7" w:rsidRDefault="00B23D35" w:rsidP="00C96DD7">
      <w:pPr>
        <w:spacing w:line="360" w:lineRule="auto"/>
        <w:ind w:firstLine="2835"/>
        <w:jc w:val="both"/>
        <w:rPr>
          <w:bCs/>
          <w:lang w:val="es-MX"/>
        </w:rPr>
      </w:pPr>
      <w:r w:rsidRPr="00D22F7B">
        <w:rPr>
          <w:b/>
          <w:bCs/>
          <w:lang w:val="es-MX"/>
        </w:rPr>
        <w:t>5)</w:t>
      </w:r>
      <w:r>
        <w:rPr>
          <w:bCs/>
          <w:lang w:val="es-MX"/>
        </w:rPr>
        <w:t xml:space="preserve"> que posteriormente, </w:t>
      </w:r>
      <w:r w:rsidR="00105BAF">
        <w:rPr>
          <w:bCs/>
          <w:lang w:val="es-MX"/>
        </w:rPr>
        <w:t>se</w:t>
      </w:r>
      <w:r>
        <w:rPr>
          <w:bCs/>
          <w:lang w:val="es-MX"/>
        </w:rPr>
        <w:t xml:space="preserve"> </w:t>
      </w:r>
      <w:r w:rsidR="00352410">
        <w:rPr>
          <w:bCs/>
          <w:lang w:val="es-MX"/>
        </w:rPr>
        <w:t>remiti</w:t>
      </w:r>
      <w:r w:rsidR="00105BAF">
        <w:rPr>
          <w:bCs/>
          <w:lang w:val="es-MX"/>
        </w:rPr>
        <w:t>ó</w:t>
      </w:r>
      <w:r>
        <w:rPr>
          <w:bCs/>
          <w:lang w:val="es-MX"/>
        </w:rPr>
        <w:t xml:space="preserve"> una </w:t>
      </w:r>
      <w:r w:rsidR="00352410">
        <w:rPr>
          <w:bCs/>
          <w:lang w:val="es-MX"/>
        </w:rPr>
        <w:t>ampliación</w:t>
      </w:r>
      <w:r>
        <w:rPr>
          <w:bCs/>
          <w:lang w:val="es-MX"/>
        </w:rPr>
        <w:t xml:space="preserve"> del 100% del gasto </w:t>
      </w:r>
      <w:r w:rsidR="00352410">
        <w:rPr>
          <w:bCs/>
          <w:lang w:val="es-MX"/>
        </w:rPr>
        <w:t>emergente</w:t>
      </w:r>
      <w:r>
        <w:rPr>
          <w:bCs/>
          <w:lang w:val="es-MX"/>
        </w:rPr>
        <w:t xml:space="preserve"> del convenio y una nueva extensión de su plazo hasta el 31 de </w:t>
      </w:r>
      <w:r w:rsidR="00352410">
        <w:rPr>
          <w:bCs/>
          <w:lang w:val="es-MX"/>
        </w:rPr>
        <w:t>diciembre</w:t>
      </w:r>
      <w:r>
        <w:rPr>
          <w:bCs/>
          <w:lang w:val="es-MX"/>
        </w:rPr>
        <w:t xml:space="preserve"> de 2017</w:t>
      </w:r>
      <w:r w:rsidR="00105BAF">
        <w:rPr>
          <w:bCs/>
          <w:lang w:val="es-MX"/>
        </w:rPr>
        <w:t xml:space="preserve"> y</w:t>
      </w:r>
      <w:r>
        <w:rPr>
          <w:bCs/>
          <w:lang w:val="es-MX"/>
        </w:rPr>
        <w:t xml:space="preserve"> este Tribunal</w:t>
      </w:r>
      <w:r w:rsidR="00105BAF">
        <w:rPr>
          <w:bCs/>
          <w:lang w:val="es-MX"/>
        </w:rPr>
        <w:t>,</w:t>
      </w:r>
      <w:r>
        <w:rPr>
          <w:bCs/>
          <w:lang w:val="es-MX"/>
        </w:rPr>
        <w:t xml:space="preserve"> por </w:t>
      </w:r>
      <w:r w:rsidR="00352410">
        <w:rPr>
          <w:bCs/>
          <w:lang w:val="es-MX"/>
        </w:rPr>
        <w:t>Resolución</w:t>
      </w:r>
      <w:r w:rsidR="00DF662C">
        <w:rPr>
          <w:bCs/>
          <w:lang w:val="es-MX"/>
        </w:rPr>
        <w:t xml:space="preserve"> adoptada el 21 de diciembre de 2016 </w:t>
      </w:r>
      <w:r>
        <w:rPr>
          <w:bCs/>
          <w:lang w:val="es-MX"/>
        </w:rPr>
        <w:t>dispuso</w:t>
      </w:r>
      <w:r w:rsidRPr="00D22F7B">
        <w:rPr>
          <w:bCs/>
        </w:rPr>
        <w:t xml:space="preserve"> </w:t>
      </w:r>
      <w:r>
        <w:rPr>
          <w:bCs/>
        </w:rPr>
        <w:t>que u</w:t>
      </w:r>
      <w:r w:rsidRPr="004F27A9">
        <w:rPr>
          <w:bCs/>
          <w:lang w:val="es-MX"/>
        </w:rPr>
        <w:t>na ve</w:t>
      </w:r>
      <w:r w:rsidR="00C96DD7">
        <w:rPr>
          <w:bCs/>
          <w:lang w:val="es-MX"/>
        </w:rPr>
        <w:t>z dictada la Resolución por el O</w:t>
      </w:r>
      <w:r w:rsidRPr="004F27A9">
        <w:rPr>
          <w:bCs/>
          <w:lang w:val="es-MX"/>
        </w:rPr>
        <w:t>rdenador competente, se comet</w:t>
      </w:r>
      <w:r>
        <w:rPr>
          <w:bCs/>
          <w:lang w:val="es-MX"/>
        </w:rPr>
        <w:t>ía</w:t>
      </w:r>
      <w:r w:rsidRPr="004F27A9">
        <w:rPr>
          <w:bCs/>
          <w:lang w:val="es-MX"/>
        </w:rPr>
        <w:t xml:space="preserve"> a la Contadora Auditora destacada la intervención del gasto de hasta $ 8:611.973</w:t>
      </w:r>
      <w:r>
        <w:rPr>
          <w:bCs/>
          <w:lang w:val="es-MX"/>
        </w:rPr>
        <w:t xml:space="preserve"> emergente del citado convenio</w:t>
      </w:r>
      <w:r w:rsidRPr="004F27A9">
        <w:rPr>
          <w:bCs/>
          <w:lang w:val="es-MX"/>
        </w:rPr>
        <w:t>, previo control de su imputación con cargo a grupo adecuado con disponibilidad suficiente y verificació</w:t>
      </w:r>
      <w:r w:rsidR="000C29F1">
        <w:rPr>
          <w:bCs/>
          <w:lang w:val="es-MX"/>
        </w:rPr>
        <w:t>n de que la resolución concordara</w:t>
      </w:r>
      <w:r w:rsidRPr="004F27A9">
        <w:rPr>
          <w:bCs/>
          <w:lang w:val="es-MX"/>
        </w:rPr>
        <w:t xml:space="preserve"> con los antecedentes remitidos al Tribunal;</w:t>
      </w:r>
    </w:p>
    <w:p w:rsidR="00C96DD7" w:rsidRDefault="00105BAF" w:rsidP="00C96DD7">
      <w:pPr>
        <w:spacing w:line="360" w:lineRule="auto"/>
        <w:ind w:firstLine="2835"/>
        <w:jc w:val="both"/>
        <w:rPr>
          <w:bCs/>
        </w:rPr>
      </w:pPr>
      <w:r w:rsidRPr="00105BAF">
        <w:rPr>
          <w:b/>
          <w:bCs/>
          <w:lang w:val="es-MX"/>
        </w:rPr>
        <w:t>6</w:t>
      </w:r>
      <w:r w:rsidR="00B23D35" w:rsidRPr="00105BAF">
        <w:rPr>
          <w:b/>
          <w:bCs/>
          <w:lang w:val="es-MX"/>
        </w:rPr>
        <w:t>)</w:t>
      </w:r>
      <w:r w:rsidR="00B23D35">
        <w:rPr>
          <w:bCs/>
          <w:lang w:val="es-MX"/>
        </w:rPr>
        <w:t xml:space="preserve"> que</w:t>
      </w:r>
      <w:r w:rsidR="00A570B6">
        <w:rPr>
          <w:bCs/>
          <w:lang w:val="es-MX"/>
        </w:rPr>
        <w:t>,</w:t>
      </w:r>
      <w:r w:rsidR="00B23D35">
        <w:rPr>
          <w:bCs/>
          <w:lang w:val="es-MX"/>
        </w:rPr>
        <w:t xml:space="preserve"> </w:t>
      </w:r>
      <w:r w:rsidR="00352410">
        <w:rPr>
          <w:bCs/>
          <w:lang w:val="es-MX"/>
        </w:rPr>
        <w:t>teniendo</w:t>
      </w:r>
      <w:r w:rsidR="00B23D35">
        <w:rPr>
          <w:bCs/>
          <w:lang w:val="es-MX"/>
        </w:rPr>
        <w:t xml:space="preserve"> en cuenta que el plazo del convenio citado vencerá el 31 de diciembre de 2017 y que </w:t>
      </w:r>
      <w:r>
        <w:rPr>
          <w:bCs/>
          <w:lang w:val="es-MX"/>
        </w:rPr>
        <w:t>resulta</w:t>
      </w:r>
      <w:r w:rsidR="00B23D35">
        <w:rPr>
          <w:bCs/>
          <w:lang w:val="es-MX"/>
        </w:rPr>
        <w:t xml:space="preserve"> de </w:t>
      </w:r>
      <w:r w:rsidR="00352410">
        <w:rPr>
          <w:bCs/>
          <w:lang w:val="es-MX"/>
        </w:rPr>
        <w:t>interés</w:t>
      </w:r>
      <w:r w:rsidR="00B23D35">
        <w:rPr>
          <w:bCs/>
          <w:lang w:val="es-MX"/>
        </w:rPr>
        <w:t xml:space="preserve"> de las </w:t>
      </w:r>
      <w:r w:rsidR="00352410">
        <w:rPr>
          <w:bCs/>
          <w:lang w:val="es-MX"/>
        </w:rPr>
        <w:t>partes</w:t>
      </w:r>
      <w:r w:rsidR="00B23D35">
        <w:rPr>
          <w:bCs/>
          <w:lang w:val="es-MX"/>
        </w:rPr>
        <w:t xml:space="preserve"> continuar apoyando e impulsando las actividades del C.E.I., en esta oportunidad se remite </w:t>
      </w:r>
      <w:r w:rsidR="000C29F1">
        <w:rPr>
          <w:bCs/>
          <w:lang w:val="es-MX"/>
        </w:rPr>
        <w:t xml:space="preserve">un </w:t>
      </w:r>
      <w:r w:rsidR="00B23D35">
        <w:rPr>
          <w:bCs/>
          <w:lang w:val="es-MX"/>
        </w:rPr>
        <w:t xml:space="preserve">proyecto de  un nuevo </w:t>
      </w:r>
      <w:r w:rsidR="00352410">
        <w:rPr>
          <w:bCs/>
          <w:lang w:val="es-MX"/>
        </w:rPr>
        <w:t>convenio</w:t>
      </w:r>
      <w:r w:rsidR="00B23D35">
        <w:rPr>
          <w:bCs/>
          <w:lang w:val="es-MX"/>
        </w:rPr>
        <w:t xml:space="preserve">  cuyo objeto </w:t>
      </w:r>
      <w:r w:rsidR="00352410">
        <w:rPr>
          <w:bCs/>
          <w:lang w:val="es-MX"/>
        </w:rPr>
        <w:t>consiste</w:t>
      </w:r>
      <w:r w:rsidR="00B23D35">
        <w:rPr>
          <w:bCs/>
          <w:lang w:val="es-MX"/>
        </w:rPr>
        <w:t xml:space="preserve"> </w:t>
      </w:r>
      <w:r w:rsidR="00B23D35" w:rsidRPr="00564B4C">
        <w:rPr>
          <w:bCs/>
        </w:rPr>
        <w:t xml:space="preserve">consolidar y potenciar el C.E.I. como herramienta de política industrial para la detección y articulación de demandas tecnológicas y de innovación de la industria uruguaya, especialmente </w:t>
      </w:r>
      <w:r w:rsidR="000C29F1">
        <w:rPr>
          <w:bCs/>
        </w:rPr>
        <w:t xml:space="preserve">de </w:t>
      </w:r>
      <w:r w:rsidR="00B23D35" w:rsidRPr="00564B4C">
        <w:rPr>
          <w:bCs/>
        </w:rPr>
        <w:t>sus pequeñas y medianas empresas, cooperativas de producción y empresas auto-gestionadas, con la oferta de conocimientos disponible en el país y la estructura existen</w:t>
      </w:r>
      <w:r w:rsidR="000C29F1">
        <w:rPr>
          <w:bCs/>
        </w:rPr>
        <w:t>te de apoyo a la competitividad;</w:t>
      </w:r>
    </w:p>
    <w:p w:rsidR="00C96DD7" w:rsidRDefault="00B23D35" w:rsidP="00C96DD7">
      <w:pPr>
        <w:spacing w:line="360" w:lineRule="auto"/>
        <w:ind w:firstLine="2835"/>
        <w:jc w:val="both"/>
        <w:rPr>
          <w:bCs/>
        </w:rPr>
      </w:pPr>
      <w:r w:rsidRPr="00352410">
        <w:rPr>
          <w:b/>
          <w:bCs/>
        </w:rPr>
        <w:t>7)</w:t>
      </w:r>
      <w:r>
        <w:rPr>
          <w:bCs/>
        </w:rPr>
        <w:t xml:space="preserve"> que se establece que, para la ejecución del convenio, cuya </w:t>
      </w:r>
      <w:r w:rsidR="00352410">
        <w:rPr>
          <w:bCs/>
        </w:rPr>
        <w:t>vigencia</w:t>
      </w:r>
      <w:r>
        <w:rPr>
          <w:bCs/>
        </w:rPr>
        <w:t xml:space="preserve"> se extiende hasta el 31 de </w:t>
      </w:r>
      <w:r w:rsidR="00352410">
        <w:rPr>
          <w:bCs/>
        </w:rPr>
        <w:t>diciembre</w:t>
      </w:r>
      <w:r>
        <w:rPr>
          <w:bCs/>
        </w:rPr>
        <w:t xml:space="preserve"> de 2</w:t>
      </w:r>
      <w:r w:rsidR="00C96DD7">
        <w:rPr>
          <w:bCs/>
        </w:rPr>
        <w:t>019,  se asigna la suma de $ 21:</w:t>
      </w:r>
      <w:r>
        <w:rPr>
          <w:bCs/>
        </w:rPr>
        <w:t xml:space="preserve">879.387, </w:t>
      </w:r>
      <w:r w:rsidR="00463EDE">
        <w:rPr>
          <w:bCs/>
        </w:rPr>
        <w:t>la</w:t>
      </w:r>
      <w:r>
        <w:rPr>
          <w:bCs/>
        </w:rPr>
        <w:t xml:space="preserve"> cual será aportada por la </w:t>
      </w:r>
      <w:r w:rsidR="00352410">
        <w:rPr>
          <w:bCs/>
        </w:rPr>
        <w:t>Dirección</w:t>
      </w:r>
      <w:r>
        <w:rPr>
          <w:bCs/>
        </w:rPr>
        <w:t xml:space="preserve"> N</w:t>
      </w:r>
      <w:r w:rsidR="00352410">
        <w:rPr>
          <w:bCs/>
        </w:rPr>
        <w:t>a</w:t>
      </w:r>
      <w:r>
        <w:rPr>
          <w:bCs/>
        </w:rPr>
        <w:t>ciona</w:t>
      </w:r>
      <w:r w:rsidR="00352410">
        <w:rPr>
          <w:bCs/>
        </w:rPr>
        <w:t>l</w:t>
      </w:r>
      <w:r>
        <w:rPr>
          <w:bCs/>
        </w:rPr>
        <w:t xml:space="preserve"> de </w:t>
      </w:r>
      <w:r w:rsidR="00352410">
        <w:rPr>
          <w:bCs/>
        </w:rPr>
        <w:t>Industrias</w:t>
      </w:r>
      <w:r w:rsidR="00463EDE">
        <w:rPr>
          <w:bCs/>
        </w:rPr>
        <w:t xml:space="preserve"> del M.I.E.M.</w:t>
      </w:r>
      <w:r>
        <w:rPr>
          <w:bCs/>
        </w:rPr>
        <w:t xml:space="preserve"> a la U</w:t>
      </w:r>
      <w:r w:rsidR="00463EDE">
        <w:rPr>
          <w:bCs/>
        </w:rPr>
        <w:t>.</w:t>
      </w:r>
      <w:r>
        <w:rPr>
          <w:bCs/>
        </w:rPr>
        <w:t>D</w:t>
      </w:r>
      <w:r w:rsidR="00463EDE">
        <w:rPr>
          <w:bCs/>
        </w:rPr>
        <w:t>.</w:t>
      </w:r>
      <w:r>
        <w:rPr>
          <w:bCs/>
        </w:rPr>
        <w:t>E</w:t>
      </w:r>
      <w:r w:rsidR="00463EDE">
        <w:rPr>
          <w:bCs/>
        </w:rPr>
        <w:t>.</w:t>
      </w:r>
      <w:r>
        <w:rPr>
          <w:bCs/>
        </w:rPr>
        <w:t>L</w:t>
      </w:r>
      <w:r w:rsidR="00463EDE">
        <w:rPr>
          <w:bCs/>
        </w:rPr>
        <w:t>.</w:t>
      </w:r>
      <w:r>
        <w:rPr>
          <w:bCs/>
        </w:rPr>
        <w:t>A</w:t>
      </w:r>
      <w:r w:rsidR="00463EDE">
        <w:rPr>
          <w:bCs/>
        </w:rPr>
        <w:t>.</w:t>
      </w:r>
      <w:r>
        <w:rPr>
          <w:bCs/>
        </w:rPr>
        <w:t>R</w:t>
      </w:r>
      <w:r w:rsidR="00463EDE">
        <w:rPr>
          <w:bCs/>
        </w:rPr>
        <w:t>.</w:t>
      </w:r>
      <w:r>
        <w:rPr>
          <w:bCs/>
        </w:rPr>
        <w:t xml:space="preserve"> para la re</w:t>
      </w:r>
      <w:r w:rsidR="00352410">
        <w:rPr>
          <w:bCs/>
        </w:rPr>
        <w:t>a</w:t>
      </w:r>
      <w:r>
        <w:rPr>
          <w:bCs/>
        </w:rPr>
        <w:t>l</w:t>
      </w:r>
      <w:r w:rsidR="00352410">
        <w:rPr>
          <w:bCs/>
        </w:rPr>
        <w:t>i</w:t>
      </w:r>
      <w:r>
        <w:rPr>
          <w:bCs/>
        </w:rPr>
        <w:t>z</w:t>
      </w:r>
      <w:r w:rsidR="00352410">
        <w:rPr>
          <w:bCs/>
        </w:rPr>
        <w:t>ació</w:t>
      </w:r>
      <w:r>
        <w:rPr>
          <w:bCs/>
        </w:rPr>
        <w:t xml:space="preserve">n de las </w:t>
      </w:r>
      <w:r>
        <w:rPr>
          <w:bCs/>
        </w:rPr>
        <w:lastRenderedPageBreak/>
        <w:t xml:space="preserve">tareas </w:t>
      </w:r>
      <w:r w:rsidR="00352410">
        <w:rPr>
          <w:bCs/>
        </w:rPr>
        <w:t>especificadas</w:t>
      </w:r>
      <w:r>
        <w:rPr>
          <w:bCs/>
        </w:rPr>
        <w:t xml:space="preserve"> en el Plan de </w:t>
      </w:r>
      <w:r w:rsidR="00352410">
        <w:rPr>
          <w:bCs/>
        </w:rPr>
        <w:t>Trabajo</w:t>
      </w:r>
      <w:r>
        <w:rPr>
          <w:bCs/>
        </w:rPr>
        <w:t xml:space="preserve"> del C</w:t>
      </w:r>
      <w:r w:rsidR="00463EDE">
        <w:rPr>
          <w:bCs/>
        </w:rPr>
        <w:t>.</w:t>
      </w:r>
      <w:r>
        <w:rPr>
          <w:bCs/>
        </w:rPr>
        <w:t>E</w:t>
      </w:r>
      <w:r w:rsidR="00463EDE">
        <w:rPr>
          <w:bCs/>
        </w:rPr>
        <w:t>.</w:t>
      </w:r>
      <w:r>
        <w:rPr>
          <w:bCs/>
        </w:rPr>
        <w:t>I</w:t>
      </w:r>
      <w:r w:rsidR="00463EDE">
        <w:rPr>
          <w:bCs/>
        </w:rPr>
        <w:t>.</w:t>
      </w:r>
      <w:r>
        <w:rPr>
          <w:bCs/>
        </w:rPr>
        <w:t xml:space="preserve"> para 2018 </w:t>
      </w:r>
      <w:r w:rsidR="00463EDE">
        <w:rPr>
          <w:bCs/>
        </w:rPr>
        <w:t>y 2019</w:t>
      </w:r>
      <w:r>
        <w:rPr>
          <w:bCs/>
        </w:rPr>
        <w:t xml:space="preserve">. Los pagos se </w:t>
      </w:r>
      <w:r w:rsidR="00352410">
        <w:rPr>
          <w:bCs/>
        </w:rPr>
        <w:t>realizarán</w:t>
      </w:r>
      <w:r>
        <w:rPr>
          <w:bCs/>
        </w:rPr>
        <w:t xml:space="preserve"> </w:t>
      </w:r>
      <w:r w:rsidR="00352410">
        <w:rPr>
          <w:bCs/>
        </w:rPr>
        <w:t>mediante</w:t>
      </w:r>
      <w:r>
        <w:rPr>
          <w:bCs/>
        </w:rPr>
        <w:t xml:space="preserve"> </w:t>
      </w:r>
      <w:r w:rsidR="00352410">
        <w:rPr>
          <w:bCs/>
        </w:rPr>
        <w:t>trasferencias</w:t>
      </w:r>
      <w:r>
        <w:rPr>
          <w:bCs/>
        </w:rPr>
        <w:t xml:space="preserve"> bancarias </w:t>
      </w:r>
      <w:r w:rsidR="00352410">
        <w:rPr>
          <w:bCs/>
        </w:rPr>
        <w:t>trimestrales</w:t>
      </w:r>
      <w:r>
        <w:rPr>
          <w:bCs/>
        </w:rPr>
        <w:t xml:space="preserve"> a </w:t>
      </w:r>
      <w:r w:rsidR="00463EDE">
        <w:rPr>
          <w:bCs/>
        </w:rPr>
        <w:t xml:space="preserve">la </w:t>
      </w:r>
      <w:r>
        <w:rPr>
          <w:bCs/>
        </w:rPr>
        <w:t>U</w:t>
      </w:r>
      <w:r w:rsidR="00463EDE">
        <w:rPr>
          <w:bCs/>
        </w:rPr>
        <w:t>.</w:t>
      </w:r>
      <w:r>
        <w:rPr>
          <w:bCs/>
        </w:rPr>
        <w:t>D</w:t>
      </w:r>
      <w:r w:rsidR="00463EDE">
        <w:rPr>
          <w:bCs/>
        </w:rPr>
        <w:t>.</w:t>
      </w:r>
      <w:r>
        <w:rPr>
          <w:bCs/>
        </w:rPr>
        <w:t>E</w:t>
      </w:r>
      <w:r w:rsidR="00463EDE">
        <w:rPr>
          <w:bCs/>
        </w:rPr>
        <w:t>.</w:t>
      </w:r>
      <w:r>
        <w:rPr>
          <w:bCs/>
        </w:rPr>
        <w:t>L</w:t>
      </w:r>
      <w:r w:rsidR="00463EDE">
        <w:rPr>
          <w:bCs/>
        </w:rPr>
        <w:t>.</w:t>
      </w:r>
      <w:r>
        <w:rPr>
          <w:bCs/>
        </w:rPr>
        <w:t>A</w:t>
      </w:r>
      <w:r w:rsidR="00463EDE">
        <w:rPr>
          <w:bCs/>
        </w:rPr>
        <w:t>.</w:t>
      </w:r>
      <w:r>
        <w:rPr>
          <w:bCs/>
        </w:rPr>
        <w:t>R</w:t>
      </w:r>
      <w:r w:rsidR="00463EDE">
        <w:rPr>
          <w:bCs/>
        </w:rPr>
        <w:t>.</w:t>
      </w:r>
      <w:r>
        <w:rPr>
          <w:bCs/>
        </w:rPr>
        <w:t xml:space="preserve">, </w:t>
      </w:r>
      <w:r w:rsidR="00352410">
        <w:rPr>
          <w:bCs/>
        </w:rPr>
        <w:t>resultando posible, en caso de entenderse necesario, la ampliación del</w:t>
      </w:r>
      <w:r>
        <w:rPr>
          <w:bCs/>
        </w:rPr>
        <w:t xml:space="preserve"> monto </w:t>
      </w:r>
      <w:r w:rsidR="00352410">
        <w:rPr>
          <w:bCs/>
        </w:rPr>
        <w:t xml:space="preserve">total </w:t>
      </w:r>
      <w:r>
        <w:rPr>
          <w:bCs/>
        </w:rPr>
        <w:t xml:space="preserve">del </w:t>
      </w:r>
      <w:r w:rsidR="00352410">
        <w:rPr>
          <w:bCs/>
        </w:rPr>
        <w:t>convenio</w:t>
      </w:r>
      <w:r>
        <w:rPr>
          <w:bCs/>
        </w:rPr>
        <w:t xml:space="preserve"> </w:t>
      </w:r>
      <w:r w:rsidR="00352410">
        <w:rPr>
          <w:bCs/>
        </w:rPr>
        <w:t xml:space="preserve">por la vía </w:t>
      </w:r>
      <w:r>
        <w:rPr>
          <w:bCs/>
        </w:rPr>
        <w:t>de acuerdo</w:t>
      </w:r>
      <w:r w:rsidR="00352410">
        <w:rPr>
          <w:bCs/>
        </w:rPr>
        <w:t>s</w:t>
      </w:r>
      <w:r>
        <w:rPr>
          <w:bCs/>
        </w:rPr>
        <w:t xml:space="preserve"> </w:t>
      </w:r>
      <w:r w:rsidR="00352410">
        <w:rPr>
          <w:bCs/>
        </w:rPr>
        <w:t>complementarios</w:t>
      </w:r>
      <w:r>
        <w:rPr>
          <w:bCs/>
        </w:rPr>
        <w:t>;</w:t>
      </w:r>
    </w:p>
    <w:p w:rsidR="00C96DD7" w:rsidRDefault="00B23D35" w:rsidP="00C96DD7">
      <w:pPr>
        <w:spacing w:line="360" w:lineRule="auto"/>
        <w:ind w:firstLine="2835"/>
        <w:jc w:val="both"/>
        <w:rPr>
          <w:bCs/>
        </w:rPr>
      </w:pPr>
      <w:r w:rsidRPr="00352410">
        <w:rPr>
          <w:b/>
          <w:bCs/>
        </w:rPr>
        <w:t>8)</w:t>
      </w:r>
      <w:r w:rsidR="00352410">
        <w:rPr>
          <w:bCs/>
        </w:rPr>
        <w:t xml:space="preserve"> </w:t>
      </w:r>
      <w:r>
        <w:rPr>
          <w:bCs/>
        </w:rPr>
        <w:t>que se acuerd</w:t>
      </w:r>
      <w:r w:rsidR="00463EDE">
        <w:rPr>
          <w:bCs/>
        </w:rPr>
        <w:t>a</w:t>
      </w:r>
      <w:r>
        <w:rPr>
          <w:bCs/>
        </w:rPr>
        <w:t xml:space="preserve"> </w:t>
      </w:r>
      <w:r w:rsidR="00463EDE">
        <w:rPr>
          <w:bCs/>
        </w:rPr>
        <w:t xml:space="preserve">el pago de </w:t>
      </w:r>
      <w:r>
        <w:rPr>
          <w:bCs/>
        </w:rPr>
        <w:t>una comisión</w:t>
      </w:r>
      <w:r w:rsidR="00463EDE">
        <w:rPr>
          <w:bCs/>
        </w:rPr>
        <w:t xml:space="preserve"> del 10% a la U.D.E.L.A.R.</w:t>
      </w:r>
      <w:r w:rsidR="00C96DD7">
        <w:rPr>
          <w:bCs/>
        </w:rPr>
        <w:t xml:space="preserve"> -</w:t>
      </w:r>
      <w:r>
        <w:rPr>
          <w:bCs/>
        </w:rPr>
        <w:t xml:space="preserve">incluida en el monto total del convenio-  por gastos </w:t>
      </w:r>
      <w:r w:rsidR="00352410">
        <w:rPr>
          <w:bCs/>
        </w:rPr>
        <w:t>administrativos</w:t>
      </w:r>
      <w:r>
        <w:rPr>
          <w:bCs/>
        </w:rPr>
        <w:t xml:space="preserve"> y de gestión</w:t>
      </w:r>
      <w:r w:rsidR="00463EDE">
        <w:rPr>
          <w:bCs/>
        </w:rPr>
        <w:t>,</w:t>
      </w:r>
      <w:r>
        <w:rPr>
          <w:bCs/>
        </w:rPr>
        <w:t xml:space="preserve">  aplicado sobre el importe de </w:t>
      </w:r>
      <w:r w:rsidR="00352410">
        <w:rPr>
          <w:bCs/>
        </w:rPr>
        <w:t>ejecución</w:t>
      </w:r>
      <w:r>
        <w:rPr>
          <w:bCs/>
        </w:rPr>
        <w:t xml:space="preserve"> real de lo</w:t>
      </w:r>
      <w:r w:rsidR="00352410">
        <w:rPr>
          <w:bCs/>
        </w:rPr>
        <w:t>s</w:t>
      </w:r>
      <w:r>
        <w:rPr>
          <w:bCs/>
        </w:rPr>
        <w:t xml:space="preserve"> fondos </w:t>
      </w:r>
      <w:r w:rsidR="00352410">
        <w:rPr>
          <w:bCs/>
        </w:rPr>
        <w:t>administrados</w:t>
      </w:r>
      <w:r>
        <w:rPr>
          <w:bCs/>
        </w:rPr>
        <w:t>, quedando la UDELAR au</w:t>
      </w:r>
      <w:r w:rsidR="00352410">
        <w:rPr>
          <w:bCs/>
        </w:rPr>
        <w:t>t</w:t>
      </w:r>
      <w:r>
        <w:rPr>
          <w:bCs/>
        </w:rPr>
        <w:t>orizada a retener dicho importe;</w:t>
      </w:r>
    </w:p>
    <w:p w:rsidR="00463EDE" w:rsidRDefault="00463EDE" w:rsidP="00C96DD7">
      <w:pPr>
        <w:spacing w:line="360" w:lineRule="auto"/>
        <w:ind w:firstLine="2835"/>
        <w:jc w:val="both"/>
        <w:rPr>
          <w:bCs/>
        </w:rPr>
      </w:pPr>
      <w:r w:rsidRPr="00050FF6">
        <w:rPr>
          <w:b/>
          <w:bCs/>
        </w:rPr>
        <w:t>9)</w:t>
      </w:r>
      <w:r>
        <w:rPr>
          <w:bCs/>
        </w:rPr>
        <w:t xml:space="preserve"> que se adjunta proyecto </w:t>
      </w:r>
      <w:r w:rsidR="00050FF6">
        <w:rPr>
          <w:bCs/>
        </w:rPr>
        <w:t>de Resolución del M.I.E.M. por el cual se aprueba la celebración del convenio referido;</w:t>
      </w:r>
    </w:p>
    <w:p w:rsidR="00B23D35" w:rsidRDefault="00B23D35" w:rsidP="00C96DD7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CONSIDERANDO: </w:t>
      </w:r>
      <w:r>
        <w:rPr>
          <w:b/>
        </w:rPr>
        <w:t xml:space="preserve">1) </w:t>
      </w:r>
      <w:r w:rsidR="00C96DD7">
        <w:rPr>
          <w:bCs/>
        </w:rPr>
        <w:t>que el A</w:t>
      </w:r>
      <w:r>
        <w:rPr>
          <w:bCs/>
        </w:rPr>
        <w:t>rt</w:t>
      </w:r>
      <w:r w:rsidR="00C96DD7">
        <w:rPr>
          <w:bCs/>
        </w:rPr>
        <w:t>ículo 8º, N</w:t>
      </w:r>
      <w:r>
        <w:rPr>
          <w:bCs/>
        </w:rPr>
        <w:t>umeral 3), del Decreto 574/974 de</w:t>
      </w:r>
      <w:r w:rsidR="000E14DA">
        <w:rPr>
          <w:bCs/>
        </w:rPr>
        <w:t>l</w:t>
      </w:r>
      <w:r>
        <w:rPr>
          <w:bCs/>
        </w:rPr>
        <w:t xml:space="preserve"> 12</w:t>
      </w:r>
      <w:r w:rsidR="000E14DA">
        <w:rPr>
          <w:bCs/>
        </w:rPr>
        <w:t xml:space="preserve"> de julio de 1974</w:t>
      </w:r>
      <w:r>
        <w:rPr>
          <w:bCs/>
        </w:rPr>
        <w:t xml:space="preserve"> establece que al </w:t>
      </w:r>
      <w:r w:rsidR="000E14DA">
        <w:rPr>
          <w:bCs/>
        </w:rPr>
        <w:t>M.I.E.M. le</w:t>
      </w:r>
      <w:r>
        <w:rPr>
          <w:bCs/>
        </w:rPr>
        <w:t xml:space="preserve"> corresponde lo concerniente al fomento de las industrias y del turismo y desarrollo de las fuentes de energía;</w:t>
      </w:r>
    </w:p>
    <w:p w:rsidR="00C96DD7" w:rsidRDefault="00B23D35" w:rsidP="00C96DD7">
      <w:pPr>
        <w:autoSpaceDE w:val="0"/>
        <w:autoSpaceDN w:val="0"/>
        <w:adjustRightInd w:val="0"/>
        <w:spacing w:line="360" w:lineRule="auto"/>
        <w:ind w:firstLine="3119"/>
        <w:jc w:val="both"/>
      </w:pPr>
      <w:r>
        <w:rPr>
          <w:b/>
        </w:rPr>
        <w:t>2)</w:t>
      </w:r>
      <w:r w:rsidR="000C29F1">
        <w:t xml:space="preserve"> que </w:t>
      </w:r>
      <w:r>
        <w:t>el Decreto 190/997 de</w:t>
      </w:r>
      <w:r w:rsidR="000E14DA">
        <w:t>l 04 de junio de 1997</w:t>
      </w:r>
      <w:r>
        <w:t>, estableció como uno de los objetivos estratégicos de dicha Secretaría de Estado, proponer políticas referidas al sector industrial, energético y minero, tendientes a la transformación del aparato productivo nacional</w:t>
      </w:r>
      <w:r w:rsidR="00C96DD7">
        <w:t>;</w:t>
      </w:r>
    </w:p>
    <w:p w:rsidR="003C5065" w:rsidRDefault="00C029F5" w:rsidP="00C96DD7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</w:rPr>
      </w:pPr>
      <w:r>
        <w:rPr>
          <w:rFonts w:cs="Arial"/>
          <w:b/>
          <w:bCs/>
        </w:rPr>
        <w:t xml:space="preserve">3) </w:t>
      </w:r>
      <w:r>
        <w:rPr>
          <w:rFonts w:cs="Arial"/>
        </w:rPr>
        <w:t>que</w:t>
      </w:r>
      <w:r w:rsidR="000E14DA">
        <w:rPr>
          <w:rFonts w:cs="Arial"/>
        </w:rPr>
        <w:t xml:space="preserve"> por su parte</w:t>
      </w:r>
      <w:r>
        <w:rPr>
          <w:rFonts w:cs="Arial"/>
        </w:rPr>
        <w:t xml:space="preserve"> el </w:t>
      </w:r>
      <w:r w:rsidR="00C96DD7">
        <w:rPr>
          <w:rFonts w:cs="Arial"/>
        </w:rPr>
        <w:t>A</w:t>
      </w:r>
      <w:r>
        <w:rPr>
          <w:rFonts w:cs="Arial"/>
        </w:rPr>
        <w:t>rtículo 2 de la Ley 12.549</w:t>
      </w:r>
      <w:r w:rsidR="000E14DA">
        <w:rPr>
          <w:rFonts w:cs="Arial"/>
        </w:rPr>
        <w:t xml:space="preserve"> del 29 de octubre de 1958,</w:t>
      </w:r>
      <w:r>
        <w:rPr>
          <w:rFonts w:cs="Arial"/>
        </w:rPr>
        <w:t xml:space="preserve"> establece que le incumbe a la U</w:t>
      </w:r>
      <w:r w:rsidR="000E14DA">
        <w:rPr>
          <w:rFonts w:cs="Arial"/>
        </w:rPr>
        <w:t>.</w:t>
      </w:r>
      <w:r>
        <w:rPr>
          <w:rFonts w:cs="Arial"/>
        </w:rPr>
        <w:t>D</w:t>
      </w:r>
      <w:r w:rsidR="000E14DA">
        <w:rPr>
          <w:rFonts w:cs="Arial"/>
        </w:rPr>
        <w:t>.</w:t>
      </w:r>
      <w:r>
        <w:rPr>
          <w:rFonts w:cs="Arial"/>
        </w:rPr>
        <w:t>E</w:t>
      </w:r>
      <w:r w:rsidR="000E14DA">
        <w:rPr>
          <w:rFonts w:cs="Arial"/>
        </w:rPr>
        <w:t>.</w:t>
      </w:r>
      <w:r>
        <w:rPr>
          <w:rFonts w:cs="Arial"/>
        </w:rPr>
        <w:t>L</w:t>
      </w:r>
      <w:r w:rsidR="000E14DA">
        <w:rPr>
          <w:rFonts w:cs="Arial"/>
        </w:rPr>
        <w:t>.</w:t>
      </w:r>
      <w:r>
        <w:rPr>
          <w:rFonts w:cs="Arial"/>
        </w:rPr>
        <w:t>A</w:t>
      </w:r>
      <w:r w:rsidR="000E14DA">
        <w:rPr>
          <w:rFonts w:cs="Arial"/>
        </w:rPr>
        <w:t>.</w:t>
      </w:r>
      <w:r>
        <w:rPr>
          <w:rFonts w:cs="Arial"/>
        </w:rPr>
        <w:t>R</w:t>
      </w:r>
      <w:r w:rsidR="000E14DA">
        <w:rPr>
          <w:rFonts w:cs="Arial"/>
        </w:rPr>
        <w:t>.</w:t>
      </w:r>
      <w:r w:rsidRPr="00FC2DDB">
        <w:rPr>
          <w:rFonts w:cs="Arial"/>
        </w:rPr>
        <w:t xml:space="preserve">, </w:t>
      </w:r>
      <w:r w:rsidRPr="000E14DA">
        <w:rPr>
          <w:rFonts w:cs="Arial"/>
        </w:rPr>
        <w:t>a través de todos sus órganos, en sus respectivas competencias, acrecentar,</w:t>
      </w:r>
      <w:r w:rsidR="000E14DA">
        <w:rPr>
          <w:rFonts w:cs="Arial"/>
        </w:rPr>
        <w:t xml:space="preserve"> difundir y defender la cultura;</w:t>
      </w:r>
      <w:r w:rsidRPr="000E14DA">
        <w:rPr>
          <w:rFonts w:cs="Arial"/>
        </w:rPr>
        <w:t xml:space="preserve"> impulsa</w:t>
      </w:r>
      <w:r w:rsidR="000E14DA">
        <w:rPr>
          <w:rFonts w:cs="Arial"/>
        </w:rPr>
        <w:t>r</w:t>
      </w:r>
      <w:r w:rsidRPr="000E14DA">
        <w:rPr>
          <w:rFonts w:cs="Arial"/>
        </w:rPr>
        <w:t xml:space="preserve"> y proteg</w:t>
      </w:r>
      <w:r w:rsidR="000E14DA">
        <w:rPr>
          <w:rFonts w:cs="Arial"/>
        </w:rPr>
        <w:t>er</w:t>
      </w:r>
      <w:r w:rsidRPr="000E14DA">
        <w:rPr>
          <w:rFonts w:cs="Arial"/>
        </w:rPr>
        <w:t xml:space="preserve"> la investigación científica</w:t>
      </w:r>
      <w:r w:rsidR="000E14DA">
        <w:rPr>
          <w:rFonts w:cs="Arial"/>
        </w:rPr>
        <w:t xml:space="preserve"> y</w:t>
      </w:r>
      <w:r w:rsidRPr="000E14DA">
        <w:rPr>
          <w:rFonts w:cs="Arial"/>
        </w:rPr>
        <w:t xml:space="preserve"> contribu</w:t>
      </w:r>
      <w:r w:rsidR="000E14DA">
        <w:rPr>
          <w:rFonts w:cs="Arial"/>
        </w:rPr>
        <w:t>ir</w:t>
      </w:r>
      <w:r w:rsidRPr="000E14DA">
        <w:rPr>
          <w:rFonts w:cs="Arial"/>
        </w:rPr>
        <w:t xml:space="preserve"> al estudio de los problemas de interés general</w:t>
      </w:r>
      <w:r w:rsidR="000E14DA" w:rsidRPr="000E14DA">
        <w:rPr>
          <w:rFonts w:cs="Arial"/>
        </w:rPr>
        <w:t>;</w:t>
      </w:r>
    </w:p>
    <w:p w:rsidR="003C5065" w:rsidRDefault="00B23D35" w:rsidP="003C5065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 xml:space="preserve">4) </w:t>
      </w:r>
      <w:r>
        <w:rPr>
          <w:rFonts w:cs="Arial"/>
          <w:lang w:val="es-MX"/>
        </w:rPr>
        <w:t>que en virtud de lo expuesto, tanto el M.I.E.M., como  la U</w:t>
      </w:r>
      <w:r w:rsidR="000E14DA">
        <w:rPr>
          <w:rFonts w:cs="Arial"/>
          <w:lang w:val="es-MX"/>
        </w:rPr>
        <w:t>.D.E.L.A.R.</w:t>
      </w:r>
      <w:r>
        <w:rPr>
          <w:rFonts w:cs="Arial"/>
          <w:lang w:val="es-MX"/>
        </w:rPr>
        <w:t xml:space="preserve"> poseen competencia para celebrar el convenio remitido en esta instancia;</w:t>
      </w:r>
    </w:p>
    <w:p w:rsidR="00B23D35" w:rsidRDefault="00B23D35" w:rsidP="003C5065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lastRenderedPageBreak/>
        <w:t>5)</w:t>
      </w:r>
      <w:r>
        <w:rPr>
          <w:rFonts w:cs="Arial"/>
          <w:lang w:val="es-MX"/>
        </w:rPr>
        <w:t xml:space="preserve"> que el procedimiento directo seguido para la selección del co-contratante, atendiendo a la naturaleza jurídica de las partes del convenio, e</w:t>
      </w:r>
      <w:r w:rsidR="003C5065">
        <w:rPr>
          <w:rFonts w:cs="Arial"/>
          <w:lang w:val="es-MX"/>
        </w:rPr>
        <w:t>ncuadra en lo dispuesto por el Literal C) Numeral 1) del A</w:t>
      </w:r>
      <w:r>
        <w:rPr>
          <w:rFonts w:cs="Arial"/>
          <w:lang w:val="es-MX"/>
        </w:rPr>
        <w:t>rtículo 33 del TOCAF;</w:t>
      </w:r>
    </w:p>
    <w:p w:rsidR="00B23D35" w:rsidRPr="00481669" w:rsidRDefault="00B23D35" w:rsidP="003C5065">
      <w:pPr>
        <w:spacing w:line="360" w:lineRule="auto"/>
        <w:ind w:firstLine="851"/>
        <w:jc w:val="both"/>
        <w:rPr>
          <w:rFonts w:cs="Arial"/>
        </w:rPr>
      </w:pPr>
      <w:r w:rsidRPr="00481669">
        <w:rPr>
          <w:rFonts w:cs="Arial"/>
          <w:b/>
        </w:rPr>
        <w:t xml:space="preserve">ATENTO: </w:t>
      </w:r>
      <w:r w:rsidRPr="00481669">
        <w:rPr>
          <w:rFonts w:cs="Arial"/>
          <w:lang w:val="es-MX"/>
        </w:rPr>
        <w:t>a lo expresado precedent</w:t>
      </w:r>
      <w:r w:rsidR="003C5065">
        <w:rPr>
          <w:rFonts w:cs="Arial"/>
          <w:lang w:val="es-MX"/>
        </w:rPr>
        <w:t>emente y a lo dispuesto por el Artículo 211 Literal B</w:t>
      </w:r>
      <w:r w:rsidRPr="00481669">
        <w:rPr>
          <w:rFonts w:cs="Arial"/>
          <w:lang w:val="es-MX"/>
        </w:rPr>
        <w:t>) de la Constitución</w:t>
      </w:r>
      <w:r w:rsidR="003C5065">
        <w:rPr>
          <w:rFonts w:cs="Arial"/>
          <w:lang w:val="es-MX"/>
        </w:rPr>
        <w:t xml:space="preserve"> de la República</w:t>
      </w:r>
      <w:r w:rsidRPr="00481669">
        <w:rPr>
          <w:rFonts w:cs="Arial"/>
        </w:rPr>
        <w:t xml:space="preserve">; </w:t>
      </w:r>
    </w:p>
    <w:p w:rsidR="00B23D35" w:rsidRPr="00481669" w:rsidRDefault="00B23D35" w:rsidP="003C5065">
      <w:pPr>
        <w:spacing w:line="360" w:lineRule="auto"/>
        <w:jc w:val="center"/>
        <w:rPr>
          <w:rFonts w:cs="Arial"/>
          <w:b/>
        </w:rPr>
      </w:pPr>
      <w:r w:rsidRPr="00481669">
        <w:rPr>
          <w:rFonts w:cs="Arial"/>
          <w:b/>
        </w:rPr>
        <w:t>EL TRIBUNAL ACUERDA</w:t>
      </w:r>
    </w:p>
    <w:p w:rsidR="005E3EB0" w:rsidRDefault="005E3EB0" w:rsidP="003C5065">
      <w:pPr>
        <w:numPr>
          <w:ilvl w:val="0"/>
          <w:numId w:val="1"/>
        </w:numPr>
        <w:spacing w:line="360" w:lineRule="auto"/>
        <w:ind w:left="284" w:hanging="284"/>
        <w:jc w:val="both"/>
        <w:rPr>
          <w:lang w:val="es-MX"/>
        </w:rPr>
      </w:pPr>
      <w:r>
        <w:rPr>
          <w:lang w:val="es-MX"/>
        </w:rPr>
        <w:t>No formular observaciones al proyecto de convenio remitido</w:t>
      </w:r>
      <w:r w:rsidR="000C29F1">
        <w:rPr>
          <w:lang w:val="es-MX"/>
        </w:rPr>
        <w:t>, a celebrar por</w:t>
      </w:r>
      <w:r w:rsidR="009D1FDD">
        <w:rPr>
          <w:lang w:val="es-MX"/>
        </w:rPr>
        <w:t xml:space="preserve"> </w:t>
      </w:r>
      <w:r w:rsidR="009D1FDD" w:rsidRPr="009D1FDD">
        <w:rPr>
          <w:rFonts w:cs="Arial"/>
          <w:lang w:val="es-MX"/>
        </w:rPr>
        <w:t xml:space="preserve"> </w:t>
      </w:r>
      <w:r w:rsidR="009D1FDD">
        <w:rPr>
          <w:rFonts w:cs="Arial"/>
          <w:lang w:val="es-MX"/>
        </w:rPr>
        <w:t>Ministerio de Industria</w:t>
      </w:r>
      <w:r w:rsidR="003C5065">
        <w:rPr>
          <w:rFonts w:cs="Arial"/>
          <w:lang w:val="es-MX"/>
        </w:rPr>
        <w:t>,</w:t>
      </w:r>
      <w:r w:rsidR="009D1FDD">
        <w:rPr>
          <w:rFonts w:cs="Arial"/>
          <w:lang w:val="es-MX"/>
        </w:rPr>
        <w:t xml:space="preserve"> Energía y Minería y la Universidad de la República;</w:t>
      </w:r>
    </w:p>
    <w:p w:rsidR="00B23D35" w:rsidRDefault="00B23D35" w:rsidP="00B23D35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Una vez dictada la Resolución por el </w:t>
      </w:r>
      <w:r w:rsidR="003C5065">
        <w:rPr>
          <w:lang w:val="es-MX"/>
        </w:rPr>
        <w:t>O</w:t>
      </w:r>
      <w:r>
        <w:rPr>
          <w:lang w:val="es-MX"/>
        </w:rPr>
        <w:t>rdenador competente, comete</w:t>
      </w:r>
      <w:r w:rsidR="00A570B6">
        <w:rPr>
          <w:lang w:val="es-MX"/>
        </w:rPr>
        <w:t>r</w:t>
      </w:r>
      <w:r>
        <w:rPr>
          <w:lang w:val="es-MX"/>
        </w:rPr>
        <w:t xml:space="preserve"> a la Contadora Auditora destacada </w:t>
      </w:r>
      <w:r w:rsidR="000C29F1">
        <w:rPr>
          <w:lang w:val="es-MX"/>
        </w:rPr>
        <w:t xml:space="preserve">ante el Ministerio </w:t>
      </w:r>
      <w:r>
        <w:rPr>
          <w:lang w:val="es-MX"/>
        </w:rPr>
        <w:t xml:space="preserve">la intervención del gasto de hasta $ </w:t>
      </w:r>
      <w:r w:rsidR="003C5065">
        <w:rPr>
          <w:bCs/>
        </w:rPr>
        <w:t>21:</w:t>
      </w:r>
      <w:r w:rsidR="00835092">
        <w:rPr>
          <w:bCs/>
        </w:rPr>
        <w:t>879.387</w:t>
      </w:r>
      <w:r>
        <w:rPr>
          <w:lang w:val="es-MX"/>
        </w:rPr>
        <w:t>, previo contro</w:t>
      </w:r>
      <w:r w:rsidR="003C5065">
        <w:rPr>
          <w:lang w:val="es-MX"/>
        </w:rPr>
        <w:t>l de su imputación con cargo a G</w:t>
      </w:r>
      <w:r>
        <w:rPr>
          <w:lang w:val="es-MX"/>
        </w:rPr>
        <w:t>rupo adecuado con disponibilidad suficiente y verificación de que la resolución concuerde con los antecedentes remitidos al Tribunal;</w:t>
      </w:r>
    </w:p>
    <w:p w:rsidR="00B23D35" w:rsidRPr="00481669" w:rsidRDefault="00B23D35" w:rsidP="00B23D35">
      <w:pPr>
        <w:numPr>
          <w:ilvl w:val="0"/>
          <w:numId w:val="1"/>
        </w:numPr>
        <w:spacing w:line="360" w:lineRule="auto"/>
        <w:jc w:val="both"/>
        <w:rPr>
          <w:rFonts w:cs="Arial"/>
          <w:lang w:val="es-MX"/>
        </w:rPr>
      </w:pPr>
      <w:r w:rsidRPr="00481669">
        <w:rPr>
          <w:rFonts w:cs="Arial"/>
          <w:lang w:val="es-MX"/>
        </w:rPr>
        <w:t>Comunicar a</w:t>
      </w:r>
      <w:r>
        <w:rPr>
          <w:rFonts w:cs="Arial"/>
          <w:lang w:val="es-MX"/>
        </w:rPr>
        <w:t xml:space="preserve"> </w:t>
      </w:r>
      <w:r w:rsidRPr="00481669">
        <w:rPr>
          <w:rFonts w:cs="Arial"/>
          <w:lang w:val="es-MX"/>
        </w:rPr>
        <w:t>l</w:t>
      </w:r>
      <w:r>
        <w:rPr>
          <w:rFonts w:cs="Arial"/>
          <w:lang w:val="es-MX"/>
        </w:rPr>
        <w:t>a</w:t>
      </w:r>
      <w:r w:rsidRPr="00481669">
        <w:rPr>
          <w:rFonts w:cs="Arial"/>
          <w:lang w:val="es-MX"/>
        </w:rPr>
        <w:t xml:space="preserve"> Contador</w:t>
      </w:r>
      <w:r>
        <w:rPr>
          <w:rFonts w:cs="Arial"/>
          <w:lang w:val="es-MX"/>
        </w:rPr>
        <w:t>a</w:t>
      </w:r>
      <w:r w:rsidRPr="00481669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Auditora</w:t>
      </w:r>
      <w:r w:rsidRPr="00481669">
        <w:rPr>
          <w:rFonts w:cs="Arial"/>
          <w:lang w:val="es-MX"/>
        </w:rPr>
        <w:t>;</w:t>
      </w:r>
    </w:p>
    <w:p w:rsidR="00B23D35" w:rsidRDefault="00B23D35" w:rsidP="003C5065">
      <w:pPr>
        <w:numPr>
          <w:ilvl w:val="0"/>
          <w:numId w:val="1"/>
        </w:numPr>
        <w:spacing w:line="360" w:lineRule="auto"/>
        <w:jc w:val="both"/>
        <w:rPr>
          <w:sz w:val="18"/>
          <w:szCs w:val="18"/>
        </w:rPr>
      </w:pPr>
      <w:r w:rsidRPr="00481669">
        <w:rPr>
          <w:rFonts w:cs="Arial"/>
          <w:lang w:val="es-MX"/>
        </w:rPr>
        <w:t>Devolver las actuaciones.</w:t>
      </w:r>
      <w:r w:rsidRPr="00705BCB">
        <w:rPr>
          <w:sz w:val="18"/>
          <w:szCs w:val="18"/>
        </w:rPr>
        <w:t xml:space="preserve"> </w:t>
      </w:r>
    </w:p>
    <w:p w:rsidR="003C5065" w:rsidRDefault="003C5065" w:rsidP="003C5065">
      <w:pPr>
        <w:spacing w:line="360" w:lineRule="auto"/>
        <w:jc w:val="both"/>
        <w:rPr>
          <w:sz w:val="18"/>
          <w:szCs w:val="18"/>
        </w:rPr>
      </w:pPr>
    </w:p>
    <w:p w:rsidR="003C5065" w:rsidRDefault="003C5065" w:rsidP="003C5065">
      <w:pPr>
        <w:spacing w:line="360" w:lineRule="auto"/>
        <w:jc w:val="both"/>
        <w:rPr>
          <w:sz w:val="18"/>
          <w:szCs w:val="18"/>
        </w:rPr>
      </w:pPr>
    </w:p>
    <w:p w:rsidR="003C5065" w:rsidRDefault="003C5065" w:rsidP="003C5065">
      <w:pPr>
        <w:spacing w:line="360" w:lineRule="auto"/>
        <w:jc w:val="both"/>
        <w:rPr>
          <w:sz w:val="18"/>
          <w:szCs w:val="18"/>
        </w:rPr>
      </w:pPr>
    </w:p>
    <w:p w:rsidR="003C5065" w:rsidRDefault="003C5065" w:rsidP="003C5065">
      <w:pPr>
        <w:spacing w:line="360" w:lineRule="auto"/>
        <w:jc w:val="both"/>
        <w:rPr>
          <w:sz w:val="18"/>
          <w:szCs w:val="18"/>
        </w:rPr>
      </w:pPr>
    </w:p>
    <w:p w:rsidR="003C5065" w:rsidRPr="003C5065" w:rsidRDefault="003C5065" w:rsidP="003C5065">
      <w:pPr>
        <w:spacing w:line="360" w:lineRule="auto"/>
        <w:ind w:hanging="426"/>
        <w:jc w:val="both"/>
      </w:pPr>
      <w:r w:rsidRPr="003C5065">
        <w:t>dc</w:t>
      </w:r>
    </w:p>
    <w:sectPr w:rsidR="003C5065" w:rsidRPr="003C5065" w:rsidSect="007F7AC8">
      <w:footerReference w:type="even" r:id="rId9"/>
      <w:footerReference w:type="default" r:id="rId10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65" w:rsidRDefault="003E3965">
      <w:r>
        <w:separator/>
      </w:r>
    </w:p>
  </w:endnote>
  <w:endnote w:type="continuationSeparator" w:id="0">
    <w:p w:rsidR="003E3965" w:rsidRDefault="003E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DD" w:rsidRDefault="009D1F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D1FDD" w:rsidRDefault="009D1F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362196"/>
      <w:docPartObj>
        <w:docPartGallery w:val="Page Numbers (Bottom of Page)"/>
        <w:docPartUnique/>
      </w:docPartObj>
    </w:sdtPr>
    <w:sdtEndPr/>
    <w:sdtContent>
      <w:p w:rsidR="003C5065" w:rsidRDefault="003C506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AC8">
          <w:rPr>
            <w:noProof/>
          </w:rPr>
          <w:t>1</w:t>
        </w:r>
        <w:r>
          <w:fldChar w:fldCharType="end"/>
        </w:r>
      </w:p>
    </w:sdtContent>
  </w:sdt>
  <w:p w:rsidR="009D1FDD" w:rsidRDefault="009D1FD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65" w:rsidRDefault="003E3965">
      <w:r>
        <w:separator/>
      </w:r>
    </w:p>
  </w:footnote>
  <w:footnote w:type="continuationSeparator" w:id="0">
    <w:p w:rsidR="003E3965" w:rsidRDefault="003E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177D0"/>
    <w:multiLevelType w:val="singleLevel"/>
    <w:tmpl w:val="22A2E3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35"/>
    <w:rsid w:val="00050B87"/>
    <w:rsid w:val="00050FF6"/>
    <w:rsid w:val="000C29F1"/>
    <w:rsid w:val="000E14DA"/>
    <w:rsid w:val="00100A1A"/>
    <w:rsid w:val="00105BAF"/>
    <w:rsid w:val="00352410"/>
    <w:rsid w:val="003C5065"/>
    <w:rsid w:val="003E3965"/>
    <w:rsid w:val="00463EDE"/>
    <w:rsid w:val="00557842"/>
    <w:rsid w:val="005B02BC"/>
    <w:rsid w:val="005E3EB0"/>
    <w:rsid w:val="00626D63"/>
    <w:rsid w:val="00705BCB"/>
    <w:rsid w:val="007F7AC8"/>
    <w:rsid w:val="00835092"/>
    <w:rsid w:val="009D1FDD"/>
    <w:rsid w:val="00A570B6"/>
    <w:rsid w:val="00B23D35"/>
    <w:rsid w:val="00C029F5"/>
    <w:rsid w:val="00C96DD7"/>
    <w:rsid w:val="00D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3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23D35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23D35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23D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D35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B23D35"/>
  </w:style>
  <w:style w:type="paragraph" w:styleId="Encabezado">
    <w:name w:val="header"/>
    <w:basedOn w:val="Normal"/>
    <w:link w:val="EncabezadoCar"/>
    <w:uiPriority w:val="99"/>
    <w:unhideWhenUsed/>
    <w:rsid w:val="003C50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06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A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AC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3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23D35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23D35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23D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D35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B23D35"/>
  </w:style>
  <w:style w:type="paragraph" w:styleId="Encabezado">
    <w:name w:val="header"/>
    <w:basedOn w:val="Normal"/>
    <w:link w:val="EncabezadoCar"/>
    <w:uiPriority w:val="99"/>
    <w:unhideWhenUsed/>
    <w:rsid w:val="003C50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06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A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AC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7334-B474-4352-AEE3-FD35DD26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2017-12-06T14:47:00Z</cp:lastPrinted>
  <dcterms:created xsi:type="dcterms:W3CDTF">2017-12-06T14:38:00Z</dcterms:created>
  <dcterms:modified xsi:type="dcterms:W3CDTF">2017-12-06T14:47:00Z</dcterms:modified>
</cp:coreProperties>
</file>