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59" w:rsidRPr="00786EEB" w:rsidRDefault="00295259"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3501/17</w:t>
      </w:r>
    </w:p>
    <w:p w:rsidR="00295259" w:rsidRDefault="00295259" w:rsidP="00786EEB">
      <w:pPr>
        <w:tabs>
          <w:tab w:val="center" w:pos="4253"/>
        </w:tabs>
        <w:suppressAutoHyphens/>
        <w:jc w:val="right"/>
        <w:rPr>
          <w:rFonts w:cs="Arial"/>
          <w:b/>
          <w:lang w:val="es-ES_tradnl"/>
        </w:rPr>
      </w:pPr>
    </w:p>
    <w:p w:rsidR="00295259" w:rsidRPr="00762B34" w:rsidRDefault="00295259">
      <w:pPr>
        <w:tabs>
          <w:tab w:val="center" w:pos="4253"/>
        </w:tabs>
        <w:suppressAutoHyphens/>
        <w:jc w:val="center"/>
        <w:rPr>
          <w:rFonts w:cs="Arial"/>
          <w:b/>
          <w:lang w:val="es-ES_tradnl"/>
        </w:rPr>
      </w:pPr>
      <w:r w:rsidRPr="00762B34">
        <w:rPr>
          <w:rFonts w:cs="Arial"/>
          <w:b/>
          <w:lang w:val="es-ES_tradnl"/>
        </w:rPr>
        <w:t>RESOLUCION ADOPTADA POR EL</w:t>
      </w:r>
    </w:p>
    <w:p w:rsidR="00295259" w:rsidRPr="00762B34" w:rsidRDefault="00295259">
      <w:pPr>
        <w:tabs>
          <w:tab w:val="left" w:pos="-720"/>
        </w:tabs>
        <w:suppressAutoHyphens/>
        <w:jc w:val="center"/>
        <w:rPr>
          <w:rFonts w:cs="Arial"/>
          <w:b/>
          <w:lang w:val="es-ES_tradnl"/>
        </w:rPr>
      </w:pPr>
    </w:p>
    <w:p w:rsidR="00295259" w:rsidRPr="00762B34" w:rsidRDefault="00295259">
      <w:pPr>
        <w:tabs>
          <w:tab w:val="center" w:pos="4253"/>
        </w:tabs>
        <w:suppressAutoHyphens/>
        <w:jc w:val="center"/>
        <w:rPr>
          <w:rFonts w:cs="Arial"/>
          <w:b/>
          <w:lang w:val="es-ES_tradnl"/>
        </w:rPr>
      </w:pPr>
      <w:r w:rsidRPr="00762B34">
        <w:rPr>
          <w:rFonts w:cs="Arial"/>
          <w:b/>
          <w:lang w:val="es-ES_tradnl"/>
        </w:rPr>
        <w:t>TRIBUNAL DE CUENTAS</w:t>
      </w:r>
    </w:p>
    <w:p w:rsidR="00295259" w:rsidRPr="00762B34" w:rsidRDefault="00295259">
      <w:pPr>
        <w:tabs>
          <w:tab w:val="left" w:pos="-720"/>
        </w:tabs>
        <w:suppressAutoHyphens/>
        <w:jc w:val="center"/>
        <w:rPr>
          <w:rFonts w:cs="Arial"/>
          <w:b/>
          <w:lang w:val="es-ES_tradnl"/>
        </w:rPr>
      </w:pPr>
    </w:p>
    <w:p w:rsidR="00295259" w:rsidRPr="00762B34" w:rsidRDefault="0029525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25 DE OCTUBRE </w:t>
      </w:r>
      <w:r>
        <w:rPr>
          <w:rFonts w:ascii="Helvetica" w:hAnsi="Helvetica"/>
          <w:b/>
          <w:lang w:val="es-ES_tradnl"/>
        </w:rPr>
        <w:t>DE 2017</w:t>
      </w:r>
    </w:p>
    <w:p w:rsidR="00295259" w:rsidRPr="00762B34" w:rsidRDefault="00295259">
      <w:pPr>
        <w:tabs>
          <w:tab w:val="center" w:pos="4253"/>
        </w:tabs>
        <w:suppressAutoHyphens/>
        <w:jc w:val="center"/>
        <w:rPr>
          <w:rFonts w:cs="Arial"/>
          <w:b/>
          <w:lang w:val="es-ES_tradnl"/>
        </w:rPr>
      </w:pPr>
    </w:p>
    <w:p w:rsidR="00295259" w:rsidRPr="00295259" w:rsidRDefault="00295259">
      <w:pPr>
        <w:tabs>
          <w:tab w:val="center" w:pos="4253"/>
        </w:tabs>
        <w:suppressAutoHyphens/>
        <w:jc w:val="center"/>
        <w:rPr>
          <w:rFonts w:cs="Arial"/>
          <w:b/>
          <w:lang w:val="es-AR"/>
        </w:rPr>
      </w:pPr>
      <w:r w:rsidRPr="00295259">
        <w:rPr>
          <w:rFonts w:cs="Arial"/>
          <w:b/>
          <w:lang w:val="es-AR"/>
        </w:rPr>
        <w:t xml:space="preserve">(E. E. Nº 2017-17-1-0002071, </w:t>
      </w:r>
      <w:proofErr w:type="spellStart"/>
      <w:r w:rsidRPr="00295259">
        <w:rPr>
          <w:rFonts w:cs="Arial"/>
          <w:b/>
          <w:lang w:val="es-AR"/>
        </w:rPr>
        <w:t>Ent</w:t>
      </w:r>
      <w:proofErr w:type="spellEnd"/>
      <w:r w:rsidRPr="00295259">
        <w:rPr>
          <w:rFonts w:cs="Arial"/>
          <w:b/>
          <w:lang w:val="es-AR"/>
        </w:rPr>
        <w:t>. N° 1632/17)</w:t>
      </w:r>
    </w:p>
    <w:p w:rsidR="00295259" w:rsidRPr="00295259" w:rsidRDefault="00295259">
      <w:pPr>
        <w:tabs>
          <w:tab w:val="center" w:pos="4253"/>
        </w:tabs>
        <w:suppressAutoHyphens/>
        <w:jc w:val="center"/>
        <w:rPr>
          <w:rFonts w:ascii="Helvetica" w:hAnsi="Helvetica"/>
          <w:b/>
          <w:lang w:val="es-AR"/>
        </w:rPr>
      </w:pPr>
    </w:p>
    <w:p w:rsidR="00295259" w:rsidRPr="00295259" w:rsidRDefault="00295259" w:rsidP="00762B34">
      <w:pPr>
        <w:tabs>
          <w:tab w:val="center" w:pos="4253"/>
        </w:tabs>
        <w:suppressAutoHyphens/>
        <w:jc w:val="right"/>
        <w:rPr>
          <w:spacing w:val="-3"/>
          <w:lang w:val="es-AR"/>
        </w:rPr>
      </w:pPr>
    </w:p>
    <w:p w:rsidR="00295259" w:rsidRDefault="00295259" w:rsidP="00295259">
      <w:pPr>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 xml:space="preserve">VISTO: </w:t>
      </w:r>
      <w:r>
        <w:rPr>
          <w:rFonts w:cs="Arial"/>
          <w:spacing w:val="-3"/>
          <w:lang w:val="es" w:eastAsia="es-AR"/>
        </w:rPr>
        <w:t xml:space="preserve">que este Tribunal ha examinado los estados financieros del Banco de Seguros del Estado (BSE) que comprenden </w:t>
      </w:r>
      <w:r>
        <w:rPr>
          <w:rFonts w:cs="Arial"/>
          <w:lang w:val="es" w:eastAsia="es-AR"/>
        </w:rPr>
        <w:t>el Estado de Situación Patrimonial al 31/12/2016, el Estado de Resultados correspondiente al Ejercicio terminado el 31/12/2016, el Estado de Origen y Aplicación de Fondos por el Ejercicio anual terminado el 31/12/2016, presentados en forma comparativa con el Ejercicio anterior y el Estado de Evolución del Patrimonio correspondiente al Ejercicio anual terminado el 31/12/2016, los Anexos y las notas de políticas contables significativas y otras notas explicativas a los estados financieros</w:t>
      </w:r>
      <w:r>
        <w:rPr>
          <w:rFonts w:cs="Arial"/>
          <w:spacing w:val="-3"/>
          <w:lang w:val="es" w:eastAsia="es-AR"/>
        </w:rPr>
        <w:t>;</w:t>
      </w:r>
    </w:p>
    <w:p w:rsidR="00295259" w:rsidRDefault="00295259" w:rsidP="00295259">
      <w:pPr>
        <w:autoSpaceDE w:val="0"/>
        <w:autoSpaceDN w:val="0"/>
        <w:adjustRightInd w:val="0"/>
        <w:spacing w:line="360" w:lineRule="auto"/>
        <w:ind w:firstLine="851"/>
        <w:jc w:val="both"/>
        <w:rPr>
          <w:rFonts w:cs="Arial"/>
          <w:lang w:val="es" w:eastAsia="es-AR"/>
        </w:rPr>
      </w:pPr>
      <w:r>
        <w:rPr>
          <w:rFonts w:cs="Arial"/>
          <w:b/>
          <w:bCs/>
          <w:spacing w:val="-3"/>
          <w:lang w:val="es" w:eastAsia="es-AR"/>
        </w:rPr>
        <w:t>RESULTANDO:</w:t>
      </w:r>
      <w:r>
        <w:rPr>
          <w:rFonts w:cs="Arial"/>
          <w:spacing w:val="-3"/>
          <w:lang w:val="es" w:eastAsia="es-AR"/>
        </w:rPr>
        <w:t xml:space="preserve"> que el examen se efectuó de acuerdo con los Principios Fundamentales de Auditoría </w:t>
      </w:r>
      <w:r>
        <w:rPr>
          <w:rFonts w:cs="Arial"/>
          <w:lang w:val="es" w:eastAsia="es-AR"/>
        </w:rPr>
        <w:t>(ISSAI 100 y 200) y las Directrices de Auditoría Financiera de la Organización Internacional de Entidades Fiscalizadoras Superiores (INTOSAI);</w:t>
      </w:r>
    </w:p>
    <w:p w:rsidR="00295259" w:rsidRDefault="00295259" w:rsidP="00295259">
      <w:pPr>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 xml:space="preserve">CONSIDERANDO: </w:t>
      </w:r>
      <w:r>
        <w:rPr>
          <w:rFonts w:cs="Arial"/>
          <w:spacing w:val="-3"/>
          <w:lang w:val="es" w:eastAsia="es-AR"/>
        </w:rPr>
        <w:t>que las conclusiones y evidencias obtenidas son las que se expresan en el Informe de Auditoría, que incluye Dictamen e Informe a la Administración;</w:t>
      </w:r>
    </w:p>
    <w:p w:rsidR="00295259" w:rsidRDefault="00295259" w:rsidP="00295259">
      <w:pPr>
        <w:suppressAutoHyphens/>
        <w:autoSpaceDE w:val="0"/>
        <w:autoSpaceDN w:val="0"/>
        <w:adjustRightInd w:val="0"/>
        <w:spacing w:line="360" w:lineRule="auto"/>
        <w:ind w:firstLine="851"/>
        <w:jc w:val="both"/>
        <w:rPr>
          <w:rFonts w:cs="Arial"/>
          <w:spacing w:val="-3"/>
          <w:lang w:val="es" w:eastAsia="es-AR"/>
        </w:rPr>
      </w:pPr>
      <w:r>
        <w:rPr>
          <w:rFonts w:cs="Arial"/>
          <w:b/>
          <w:bCs/>
          <w:spacing w:val="-3"/>
          <w:lang w:val="es" w:eastAsia="es-AR"/>
        </w:rPr>
        <w:t>ATENTO:</w:t>
      </w:r>
      <w:r>
        <w:rPr>
          <w:rFonts w:cs="Arial"/>
          <w:spacing w:val="-3"/>
          <w:lang w:val="es" w:eastAsia="es-AR"/>
        </w:rPr>
        <w:t xml:space="preserve"> a lo dispuesto por los Artículos 191 y 211 Literal C) de la Constitución de la República y Artículos 1 y 2 de la Ley N° 17.040 de 20/11/1998;</w:t>
      </w:r>
    </w:p>
    <w:p w:rsidR="00295259" w:rsidRDefault="00295259" w:rsidP="00295259">
      <w:pPr>
        <w:suppressAutoHyphens/>
        <w:autoSpaceDE w:val="0"/>
        <w:autoSpaceDN w:val="0"/>
        <w:adjustRightInd w:val="0"/>
        <w:spacing w:line="360" w:lineRule="auto"/>
        <w:jc w:val="both"/>
        <w:rPr>
          <w:rFonts w:cs="Arial"/>
          <w:spacing w:val="-3"/>
          <w:highlight w:val="yellow"/>
          <w:lang w:val="es" w:eastAsia="es-AR"/>
        </w:rPr>
      </w:pPr>
    </w:p>
    <w:p w:rsidR="00295259" w:rsidRDefault="00295259" w:rsidP="00295259">
      <w:pPr>
        <w:suppressAutoHyphens/>
        <w:autoSpaceDE w:val="0"/>
        <w:autoSpaceDN w:val="0"/>
        <w:adjustRightInd w:val="0"/>
        <w:spacing w:line="360" w:lineRule="auto"/>
        <w:jc w:val="both"/>
        <w:rPr>
          <w:rFonts w:cs="Arial"/>
          <w:spacing w:val="-3"/>
          <w:highlight w:val="yellow"/>
          <w:lang w:val="es" w:eastAsia="es-AR"/>
        </w:rPr>
      </w:pPr>
    </w:p>
    <w:p w:rsidR="00295259" w:rsidRDefault="00295259" w:rsidP="00295259">
      <w:pPr>
        <w:keepNext/>
        <w:autoSpaceDE w:val="0"/>
        <w:autoSpaceDN w:val="0"/>
        <w:adjustRightInd w:val="0"/>
        <w:spacing w:after="260" w:line="200" w:lineRule="atLeast"/>
        <w:jc w:val="center"/>
        <w:rPr>
          <w:rFonts w:cs="Arial"/>
          <w:b/>
          <w:bCs/>
          <w:lang w:val="es" w:eastAsia="es-AR"/>
        </w:rPr>
      </w:pPr>
      <w:r>
        <w:rPr>
          <w:rFonts w:cs="Arial"/>
          <w:b/>
          <w:bCs/>
          <w:lang w:val="es" w:eastAsia="es-AR"/>
        </w:rPr>
        <w:lastRenderedPageBreak/>
        <w:t>EL TRIBUNAL ACUERDA</w:t>
      </w:r>
    </w:p>
    <w:p w:rsidR="00295259" w:rsidRDefault="00295259" w:rsidP="00295259">
      <w:pPr>
        <w:suppressAutoHyphens/>
        <w:autoSpaceDE w:val="0"/>
        <w:autoSpaceDN w:val="0"/>
        <w:adjustRightInd w:val="0"/>
        <w:spacing w:line="360" w:lineRule="auto"/>
        <w:ind w:left="284" w:hanging="284"/>
        <w:jc w:val="both"/>
        <w:rPr>
          <w:rFonts w:cs="Arial"/>
          <w:spacing w:val="-3"/>
          <w:lang w:val="es" w:eastAsia="es-AR"/>
        </w:rPr>
      </w:pPr>
      <w:r>
        <w:rPr>
          <w:rFonts w:cs="Arial"/>
          <w:b/>
          <w:bCs/>
          <w:spacing w:val="-3"/>
          <w:lang w:val="es" w:eastAsia="es-AR"/>
        </w:rPr>
        <w:t xml:space="preserve">1) </w:t>
      </w:r>
      <w:r>
        <w:rPr>
          <w:rFonts w:cs="Arial"/>
          <w:spacing w:val="-3"/>
          <w:lang w:val="es" w:eastAsia="es-AR"/>
        </w:rPr>
        <w:t>Emitir su Dictamen respecto a los estados financieros citados, en los términos del Infor</w:t>
      </w:r>
      <w:r w:rsidR="002F3590">
        <w:rPr>
          <w:rFonts w:cs="Arial"/>
          <w:spacing w:val="-3"/>
          <w:lang w:val="es" w:eastAsia="es-AR"/>
        </w:rPr>
        <w:t>me de Auditoría que se adjunta;</w:t>
      </w:r>
    </w:p>
    <w:p w:rsidR="00295259" w:rsidRDefault="00295259" w:rsidP="00295259">
      <w:pPr>
        <w:suppressAutoHyphens/>
        <w:autoSpaceDE w:val="0"/>
        <w:autoSpaceDN w:val="0"/>
        <w:adjustRightInd w:val="0"/>
        <w:spacing w:line="360" w:lineRule="auto"/>
        <w:ind w:left="284" w:hanging="284"/>
        <w:jc w:val="both"/>
        <w:rPr>
          <w:rFonts w:cs="Arial"/>
          <w:spacing w:val="-3"/>
          <w:lang w:val="es" w:eastAsia="es-AR"/>
        </w:rPr>
      </w:pPr>
      <w:r>
        <w:rPr>
          <w:rFonts w:cs="Arial"/>
          <w:b/>
          <w:bCs/>
          <w:spacing w:val="-3"/>
          <w:lang w:val="es" w:eastAsia="es-AR"/>
        </w:rPr>
        <w:t xml:space="preserve">2) </w:t>
      </w:r>
      <w:r>
        <w:rPr>
          <w:rFonts w:cs="Arial"/>
          <w:spacing w:val="-3"/>
          <w:lang w:val="es" w:eastAsia="es-AR"/>
        </w:rPr>
        <w:t>A los efectos dispuestos por el Artículo 191 de la Constitución de la República y el Artículo 1 de la Ley N° 17.040, el Organismo deberá publicar los estados financie</w:t>
      </w:r>
      <w:r>
        <w:rPr>
          <w:rFonts w:cs="Arial"/>
          <w:spacing w:val="-3"/>
          <w:lang w:val="es" w:eastAsia="es-AR"/>
        </w:rPr>
        <w:softHyphen/>
        <w:t>ros referidos y el Dictamen correspondiente inclu</w:t>
      </w:r>
      <w:r w:rsidR="002F3590">
        <w:rPr>
          <w:rFonts w:cs="Arial"/>
          <w:spacing w:val="-3"/>
          <w:lang w:val="es" w:eastAsia="es-AR"/>
        </w:rPr>
        <w:t>ido en el Informe de Auditoría;</w:t>
      </w:r>
    </w:p>
    <w:p w:rsidR="00295259" w:rsidRDefault="00295259" w:rsidP="00295259">
      <w:pPr>
        <w:suppressAutoHyphens/>
        <w:autoSpaceDE w:val="0"/>
        <w:autoSpaceDN w:val="0"/>
        <w:adjustRightInd w:val="0"/>
        <w:spacing w:line="360" w:lineRule="auto"/>
        <w:ind w:left="284" w:hanging="284"/>
        <w:jc w:val="both"/>
        <w:rPr>
          <w:rFonts w:cs="Arial"/>
          <w:spacing w:val="-3"/>
          <w:lang w:val="es" w:eastAsia="es-AR"/>
        </w:rPr>
      </w:pPr>
      <w:r>
        <w:rPr>
          <w:rFonts w:cs="Arial"/>
          <w:b/>
          <w:bCs/>
          <w:spacing w:val="-3"/>
          <w:lang w:val="es" w:eastAsia="es-AR"/>
        </w:rPr>
        <w:t xml:space="preserve">3) </w:t>
      </w:r>
      <w:r>
        <w:rPr>
          <w:rFonts w:cs="Arial"/>
          <w:spacing w:val="-3"/>
          <w:lang w:val="es" w:eastAsia="es-AR"/>
        </w:rPr>
        <w:t>Comunicar la presente Resolución al Ministerio de Economía y Finanzas, a la Oficina de  Planeamiento y Presupuesto y al Organismo; y</w:t>
      </w:r>
    </w:p>
    <w:p w:rsidR="00295259" w:rsidRDefault="00295259" w:rsidP="00295259">
      <w:pPr>
        <w:suppressAutoHyphens/>
        <w:autoSpaceDE w:val="0"/>
        <w:autoSpaceDN w:val="0"/>
        <w:adjustRightInd w:val="0"/>
        <w:spacing w:line="360" w:lineRule="auto"/>
        <w:jc w:val="both"/>
        <w:rPr>
          <w:rFonts w:cs="Arial"/>
          <w:lang w:val="es" w:eastAsia="es-AR"/>
        </w:rPr>
      </w:pPr>
      <w:r>
        <w:rPr>
          <w:rFonts w:cs="Arial"/>
          <w:b/>
          <w:bCs/>
          <w:lang w:val="es" w:eastAsia="es-AR"/>
        </w:rPr>
        <w:t xml:space="preserve">4) </w:t>
      </w:r>
      <w:r>
        <w:rPr>
          <w:rFonts w:cs="Arial"/>
          <w:lang w:val="es" w:eastAsia="es-AR"/>
        </w:rPr>
        <w:t>Dar cuenta a la Asamblea General.</w:t>
      </w:r>
    </w:p>
    <w:p w:rsidR="00295259" w:rsidRDefault="00295259" w:rsidP="00295259">
      <w:pPr>
        <w:suppressAutoHyphens/>
        <w:autoSpaceDE w:val="0"/>
        <w:autoSpaceDN w:val="0"/>
        <w:adjustRightInd w:val="0"/>
        <w:spacing w:line="360" w:lineRule="auto"/>
        <w:jc w:val="both"/>
        <w:rPr>
          <w:rFonts w:cs="Arial"/>
          <w:lang w:val="es" w:eastAsia="es-AR"/>
        </w:rPr>
      </w:pPr>
    </w:p>
    <w:p w:rsidR="00295259" w:rsidRDefault="00295259" w:rsidP="00295259">
      <w:pPr>
        <w:suppressAutoHyphens/>
        <w:autoSpaceDE w:val="0"/>
        <w:autoSpaceDN w:val="0"/>
        <w:adjustRightInd w:val="0"/>
        <w:spacing w:line="360" w:lineRule="auto"/>
        <w:jc w:val="both"/>
        <w:rPr>
          <w:rFonts w:cs="Arial"/>
          <w:lang w:val="es" w:eastAsia="es-AR"/>
        </w:rPr>
      </w:pPr>
    </w:p>
    <w:p w:rsidR="00295259" w:rsidRDefault="00295259" w:rsidP="00295259">
      <w:pPr>
        <w:suppressAutoHyphens/>
        <w:autoSpaceDE w:val="0"/>
        <w:autoSpaceDN w:val="0"/>
        <w:adjustRightInd w:val="0"/>
        <w:spacing w:line="360" w:lineRule="auto"/>
        <w:jc w:val="both"/>
        <w:rPr>
          <w:rFonts w:cs="Arial"/>
          <w:lang w:val="es" w:eastAsia="es-AR"/>
        </w:rPr>
      </w:pPr>
    </w:p>
    <w:p w:rsidR="00295259" w:rsidRDefault="00295259" w:rsidP="00295259">
      <w:pPr>
        <w:suppressAutoHyphens/>
        <w:autoSpaceDE w:val="0"/>
        <w:autoSpaceDN w:val="0"/>
        <w:adjustRightInd w:val="0"/>
        <w:spacing w:line="360" w:lineRule="auto"/>
        <w:jc w:val="both"/>
        <w:rPr>
          <w:rFonts w:cs="Arial"/>
          <w:lang w:val="es" w:eastAsia="es-AR"/>
        </w:rPr>
      </w:pPr>
    </w:p>
    <w:p w:rsidR="00295259" w:rsidRDefault="00295259" w:rsidP="00295259">
      <w:pPr>
        <w:suppressAutoHyphens/>
        <w:autoSpaceDE w:val="0"/>
        <w:autoSpaceDN w:val="0"/>
        <w:adjustRightInd w:val="0"/>
        <w:spacing w:line="360" w:lineRule="auto"/>
        <w:ind w:hanging="426"/>
        <w:jc w:val="both"/>
        <w:rPr>
          <w:rFonts w:cs="Arial"/>
          <w:lang w:val="es" w:eastAsia="es-AR"/>
        </w:rPr>
      </w:pPr>
      <w:proofErr w:type="gramStart"/>
      <w:r>
        <w:rPr>
          <w:rFonts w:cs="Arial"/>
          <w:lang w:val="es" w:eastAsia="es-AR"/>
        </w:rPr>
        <w:t>dc</w:t>
      </w:r>
      <w:proofErr w:type="gramEnd"/>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Default="00C95F67" w:rsidP="00295259">
      <w:pPr>
        <w:suppressAutoHyphens/>
        <w:autoSpaceDE w:val="0"/>
        <w:autoSpaceDN w:val="0"/>
        <w:adjustRightInd w:val="0"/>
        <w:spacing w:line="360" w:lineRule="auto"/>
        <w:ind w:hanging="426"/>
        <w:jc w:val="both"/>
        <w:rPr>
          <w:rFonts w:cs="Arial"/>
          <w:lang w:val="es" w:eastAsia="es-AR"/>
        </w:rPr>
      </w:pPr>
    </w:p>
    <w:p w:rsidR="00C95F67" w:rsidRPr="00F05EE0" w:rsidRDefault="00C95F67" w:rsidP="00F05EE0">
      <w:pPr>
        <w:keepNext/>
        <w:jc w:val="center"/>
        <w:outlineLvl w:val="7"/>
        <w:rPr>
          <w:rFonts w:cs="Arial"/>
          <w:b/>
        </w:rPr>
      </w:pPr>
      <w:r w:rsidRPr="00F05EE0">
        <w:rPr>
          <w:rFonts w:eastAsia="Calibri" w:cs="Arial"/>
          <w:b/>
          <w:lang w:val="es-UY" w:eastAsia="en-US"/>
        </w:rPr>
        <w:t>DICTAMEN</w:t>
      </w:r>
    </w:p>
    <w:p w:rsidR="00C95F67" w:rsidRPr="00F05EE0" w:rsidRDefault="00C95F67" w:rsidP="00F05EE0">
      <w:pPr>
        <w:keepNext/>
        <w:jc w:val="both"/>
        <w:outlineLvl w:val="7"/>
        <w:rPr>
          <w:rFonts w:cs="Arial"/>
        </w:rPr>
      </w:pPr>
    </w:p>
    <w:p w:rsidR="00C95F67" w:rsidRPr="00F05EE0" w:rsidRDefault="00C95F67" w:rsidP="00F05EE0">
      <w:pPr>
        <w:keepNext/>
        <w:jc w:val="both"/>
        <w:outlineLvl w:val="7"/>
        <w:rPr>
          <w:rFonts w:cs="Arial"/>
        </w:rPr>
      </w:pPr>
    </w:p>
    <w:p w:rsidR="00C95F67" w:rsidRDefault="00C95F67" w:rsidP="00F05EE0">
      <w:pPr>
        <w:spacing w:line="360" w:lineRule="auto"/>
        <w:jc w:val="both"/>
        <w:rPr>
          <w:rFonts w:cs="Arial"/>
          <w:lang w:val="es-UY"/>
        </w:rPr>
      </w:pPr>
      <w:r w:rsidRPr="00DB30F2">
        <w:rPr>
          <w:rFonts w:cs="Arial"/>
          <w:lang w:val="es-UY"/>
        </w:rPr>
        <w:t>El Tribunal de Cuentas ha examinado los estados financieros de</w:t>
      </w:r>
      <w:r>
        <w:rPr>
          <w:rFonts w:cs="Arial"/>
          <w:lang w:val="es-UY"/>
        </w:rPr>
        <w:t>l</w:t>
      </w:r>
      <w:r w:rsidRPr="00DB30F2">
        <w:rPr>
          <w:rFonts w:cs="Arial"/>
          <w:lang w:val="es-UY"/>
        </w:rPr>
        <w:t xml:space="preserve"> </w:t>
      </w:r>
      <w:r>
        <w:rPr>
          <w:rFonts w:cs="Arial"/>
          <w:lang w:val="es-UY"/>
        </w:rPr>
        <w:t>Banco de Seguros del Estado (BSE)</w:t>
      </w:r>
      <w:r w:rsidRPr="00DB30F2">
        <w:rPr>
          <w:rFonts w:cs="Arial"/>
          <w:lang w:val="es-UY"/>
        </w:rPr>
        <w:t xml:space="preserve">. </w:t>
      </w:r>
      <w:r w:rsidRPr="00AE3C66">
        <w:rPr>
          <w:rFonts w:cs="Arial"/>
          <w:lang w:val="es-UY"/>
        </w:rPr>
        <w:t xml:space="preserve">Dichos estados comprenden el Estado de Situación Patrimonial al 31/12/2016, </w:t>
      </w:r>
      <w:r>
        <w:rPr>
          <w:rFonts w:cs="Arial"/>
          <w:lang w:val="es-UY"/>
        </w:rPr>
        <w:t xml:space="preserve">el </w:t>
      </w:r>
      <w:r w:rsidRPr="00AE3C66">
        <w:rPr>
          <w:rFonts w:cs="Arial"/>
          <w:lang w:val="es-UY"/>
        </w:rPr>
        <w:t>Estado de Resultados</w:t>
      </w:r>
      <w:r>
        <w:rPr>
          <w:rFonts w:cs="Arial"/>
          <w:lang w:val="es-UY"/>
        </w:rPr>
        <w:t xml:space="preserve"> correspondiente al Ejercicio terminado el 31/12/2016, el Estado </w:t>
      </w:r>
      <w:r w:rsidRPr="00AE3C66">
        <w:rPr>
          <w:rFonts w:cs="Arial"/>
          <w:lang w:val="es-UY"/>
        </w:rPr>
        <w:t>de Origen y Aplicación de Fondos</w:t>
      </w:r>
      <w:r>
        <w:rPr>
          <w:rFonts w:cs="Arial"/>
          <w:lang w:val="es-UY"/>
        </w:rPr>
        <w:t xml:space="preserve"> por el Ejercicio anual terminado el 31/12/2016</w:t>
      </w:r>
      <w:r w:rsidRPr="00AE3C66">
        <w:rPr>
          <w:rFonts w:cs="Arial"/>
          <w:lang w:val="es-UY"/>
        </w:rPr>
        <w:t>, presentad</w:t>
      </w:r>
      <w:r>
        <w:rPr>
          <w:rFonts w:cs="Arial"/>
          <w:lang w:val="es-UY"/>
        </w:rPr>
        <w:t>os en forma comparativa con el E</w:t>
      </w:r>
      <w:r w:rsidRPr="00AE3C66">
        <w:rPr>
          <w:rFonts w:cs="Arial"/>
          <w:lang w:val="es-UY"/>
        </w:rPr>
        <w:t xml:space="preserve">jercicio anterior y el Estado de Evolución del Patrimonio </w:t>
      </w:r>
      <w:r>
        <w:rPr>
          <w:rFonts w:cs="Arial"/>
          <w:lang w:val="es-UY"/>
        </w:rPr>
        <w:t>correspon</w:t>
      </w:r>
      <w:r>
        <w:rPr>
          <w:rFonts w:cs="Arial"/>
          <w:lang w:val="es-UY"/>
        </w:rPr>
        <w:softHyphen/>
        <w:t xml:space="preserve">diente al Ejercicio anual terminado el </w:t>
      </w:r>
      <w:r w:rsidRPr="00AE3C66">
        <w:rPr>
          <w:rFonts w:cs="Arial"/>
          <w:lang w:val="es-UY"/>
        </w:rPr>
        <w:t xml:space="preserve">31/12/2016, los Anexos y las notas de políticas contables significativas y </w:t>
      </w:r>
      <w:r>
        <w:rPr>
          <w:rFonts w:cs="Arial"/>
          <w:lang w:val="es-UY"/>
        </w:rPr>
        <w:t>otras notas explicativas a los estados f</w:t>
      </w:r>
      <w:r w:rsidRPr="00AE3C66">
        <w:rPr>
          <w:rFonts w:cs="Arial"/>
          <w:lang w:val="es-UY"/>
        </w:rPr>
        <w:t>inancieros.</w:t>
      </w:r>
    </w:p>
    <w:p w:rsidR="00C95F67" w:rsidRPr="00F05EE0" w:rsidRDefault="00C95F67" w:rsidP="00F05EE0">
      <w:pPr>
        <w:spacing w:line="360" w:lineRule="auto"/>
        <w:jc w:val="both"/>
        <w:rPr>
          <w:rFonts w:cs="Arial"/>
          <w:lang w:val="es-MX"/>
        </w:rPr>
      </w:pPr>
      <w:r>
        <w:rPr>
          <w:rFonts w:cs="Arial"/>
          <w:lang w:val="es-UY"/>
        </w:rPr>
        <w:t xml:space="preserve">También se presentan, en caso de corresponder, los incumplimientos legales constatados por el Tribunal de Cuentas en el </w:t>
      </w:r>
      <w:r w:rsidR="002F3590">
        <w:rPr>
          <w:rFonts w:cs="Arial"/>
          <w:lang w:val="es-UY"/>
        </w:rPr>
        <w:t>curso de la auditoria efectuada.</w:t>
      </w:r>
    </w:p>
    <w:p w:rsidR="00C95F67" w:rsidRPr="00F05EE0" w:rsidRDefault="00C95F67" w:rsidP="00F05EE0">
      <w:pPr>
        <w:tabs>
          <w:tab w:val="left" w:pos="0"/>
          <w:tab w:val="center" w:pos="4252"/>
        </w:tabs>
        <w:spacing w:line="360" w:lineRule="auto"/>
        <w:rPr>
          <w:rFonts w:cs="Arial"/>
          <w:lang w:val="es-MX"/>
        </w:rPr>
      </w:pPr>
    </w:p>
    <w:p w:rsidR="00C95F67" w:rsidRPr="00F05EE0" w:rsidRDefault="00C95F67" w:rsidP="00F05EE0">
      <w:pPr>
        <w:tabs>
          <w:tab w:val="left" w:pos="0"/>
        </w:tabs>
        <w:spacing w:line="360" w:lineRule="auto"/>
        <w:rPr>
          <w:rFonts w:cs="Arial"/>
          <w:b/>
          <w:lang w:val="es-UY"/>
        </w:rPr>
      </w:pPr>
      <w:r w:rsidRPr="00F05EE0">
        <w:rPr>
          <w:rFonts w:cs="Arial"/>
          <w:b/>
          <w:lang w:val="es-UY"/>
        </w:rPr>
        <w:t>Responsabilidad de la Dirección por los estados financieros</w:t>
      </w:r>
    </w:p>
    <w:p w:rsidR="00C95F67" w:rsidRDefault="00C95F67" w:rsidP="00E371EE">
      <w:pPr>
        <w:spacing w:after="200" w:line="360" w:lineRule="auto"/>
        <w:jc w:val="both"/>
        <w:rPr>
          <w:rFonts w:eastAsia="Calibri" w:cs="Arial"/>
          <w:spacing w:val="-3"/>
          <w:lang w:val="es-MX" w:eastAsia="en-US"/>
        </w:rPr>
      </w:pPr>
      <w:r w:rsidRPr="00A156C7">
        <w:rPr>
          <w:rFonts w:eastAsia="Calibri" w:cs="Arial"/>
          <w:spacing w:val="-3"/>
          <w:lang w:val="es-MX" w:eastAsia="en-US"/>
        </w:rPr>
        <w:t xml:space="preserve">La Dirección del BSE es responsable por la preparación y la razonable presentación de estos </w:t>
      </w:r>
      <w:r>
        <w:rPr>
          <w:rFonts w:eastAsia="Calibri" w:cs="Arial"/>
          <w:spacing w:val="-3"/>
          <w:lang w:val="es-MX" w:eastAsia="en-US"/>
        </w:rPr>
        <w:t>e</w:t>
      </w:r>
      <w:r w:rsidRPr="00A156C7">
        <w:rPr>
          <w:rFonts w:eastAsia="Calibri" w:cs="Arial"/>
          <w:spacing w:val="-3"/>
          <w:lang w:val="es-MX" w:eastAsia="en-US"/>
        </w:rPr>
        <w:t xml:space="preserve">stados </w:t>
      </w:r>
      <w:r>
        <w:rPr>
          <w:rFonts w:eastAsia="Calibri" w:cs="Arial"/>
          <w:spacing w:val="-3"/>
          <w:lang w:val="es-MX" w:eastAsia="en-US"/>
        </w:rPr>
        <w:t>f</w:t>
      </w:r>
      <w:r w:rsidRPr="00A156C7">
        <w:rPr>
          <w:rFonts w:eastAsia="Calibri" w:cs="Arial"/>
          <w:spacing w:val="-3"/>
          <w:lang w:val="es-MX" w:eastAsia="en-US"/>
        </w:rPr>
        <w:t>inancieros de acuerdo con las normas contables y los criterios de valuación y presentación dictados por la Superintendencia de Servicios Financieros (SSF) del Banco Central del Uruguay (BCU) y por la O</w:t>
      </w:r>
      <w:r>
        <w:rPr>
          <w:rFonts w:eastAsia="Calibri" w:cs="Arial"/>
          <w:spacing w:val="-3"/>
          <w:lang w:val="es-MX" w:eastAsia="en-US"/>
        </w:rPr>
        <w:t>rdenanza Nº 81 de este Tribunal</w:t>
      </w:r>
      <w:r w:rsidRPr="00F05EE0">
        <w:rPr>
          <w:rFonts w:eastAsia="Calibri" w:cs="Arial"/>
          <w:spacing w:val="-3"/>
          <w:lang w:val="es-MX" w:eastAsia="en-US"/>
        </w:rPr>
        <w:t>.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95F67" w:rsidRDefault="00C95F67" w:rsidP="00E371EE">
      <w:pPr>
        <w:spacing w:after="200" w:line="360" w:lineRule="auto"/>
        <w:jc w:val="both"/>
        <w:rPr>
          <w:rFonts w:eastAsia="Calibri" w:cs="Arial"/>
          <w:spacing w:val="-3"/>
          <w:lang w:val="es-MX" w:eastAsia="en-US"/>
        </w:rPr>
      </w:pPr>
    </w:p>
    <w:p w:rsidR="00C95F67" w:rsidRDefault="00C95F67" w:rsidP="00E371EE">
      <w:pPr>
        <w:spacing w:line="360" w:lineRule="auto"/>
        <w:jc w:val="both"/>
        <w:rPr>
          <w:rFonts w:eastAsia="Calibri" w:cs="Arial"/>
          <w:b/>
          <w:lang w:val="es-UY" w:eastAsia="en-US"/>
        </w:rPr>
      </w:pPr>
    </w:p>
    <w:p w:rsidR="00C95F67" w:rsidRPr="00F05EE0" w:rsidRDefault="00C95F67" w:rsidP="00E371EE">
      <w:pPr>
        <w:spacing w:line="360" w:lineRule="auto"/>
        <w:jc w:val="both"/>
        <w:rPr>
          <w:rFonts w:eastAsia="Calibri" w:cs="Arial"/>
          <w:b/>
          <w:lang w:val="es-UY" w:eastAsia="en-US"/>
        </w:rPr>
      </w:pPr>
      <w:r w:rsidRPr="00F05EE0">
        <w:rPr>
          <w:rFonts w:eastAsia="Calibri" w:cs="Arial"/>
          <w:b/>
          <w:lang w:val="es-UY" w:eastAsia="en-US"/>
        </w:rPr>
        <w:t>Responsabilidad del auditor</w:t>
      </w:r>
    </w:p>
    <w:p w:rsidR="00C95F67" w:rsidRPr="00AE4692" w:rsidRDefault="00C95F67" w:rsidP="00E371EE">
      <w:pPr>
        <w:spacing w:line="360" w:lineRule="auto"/>
        <w:jc w:val="both"/>
        <w:rPr>
          <w:rFonts w:cs="Arial"/>
        </w:rPr>
      </w:pPr>
      <w:r w:rsidRPr="00AE4692">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AE4692">
        <w:rPr>
          <w:rFonts w:eastAsia="Calibri" w:cs="Arial"/>
          <w:lang w:val="es-UY" w:eastAsia="en-US"/>
        </w:rPr>
        <w:t xml:space="preserve">con los Principios Fundamentales de Auditoría (ISSAI 100 y 200) y las Directrices de Auditoría Financiera de la Organización Internacional de Entidades Fiscalizadoras Superiores (INTOSAI). </w:t>
      </w:r>
      <w:r w:rsidRPr="00AE4692">
        <w:rPr>
          <w:rFonts w:cs="Arial"/>
        </w:rPr>
        <w:t>Estas normas requieren que se cumpla con requisitos éticos, se planifique y se realice la auditoría para obtener seguridad razonable acerca de si los estados financieros están libres de errores significativos.</w:t>
      </w:r>
    </w:p>
    <w:p w:rsidR="00C95F67" w:rsidRPr="00AE4692" w:rsidRDefault="00C95F67" w:rsidP="00E371EE">
      <w:pPr>
        <w:spacing w:after="260" w:line="360" w:lineRule="auto"/>
        <w:jc w:val="both"/>
        <w:rPr>
          <w:rFonts w:cs="Arial"/>
        </w:rPr>
      </w:pPr>
      <w:r w:rsidRPr="00AE4692">
        <w:rPr>
          <w:rFonts w:cs="Arial"/>
        </w:rPr>
        <w:t>Una auditoría implica realizar procedimientos para obtener evidencia acerca de los montos y revelaciones contables. Los procedimientos seleccionados dependen del jui</w:t>
      </w:r>
      <w:r>
        <w:rPr>
          <w:rFonts w:cs="Arial"/>
        </w:rPr>
        <w:t>cio profesional del A</w:t>
      </w:r>
      <w:r w:rsidRPr="00AE4692">
        <w:rPr>
          <w:rFonts w:cs="Arial"/>
        </w:rPr>
        <w:t>uditor, incluyendo la evaluación de los riesgos de existencia de errores significativos en los estados financieros, ya sea debido a fraude o error. Al efectua</w:t>
      </w:r>
      <w:r>
        <w:rPr>
          <w:rFonts w:cs="Arial"/>
        </w:rPr>
        <w:t>r la evaluación de riesgos, el A</w:t>
      </w:r>
      <w:r w:rsidRPr="00AE4692">
        <w:rPr>
          <w:rFonts w:cs="Arial"/>
        </w:rPr>
        <w:t>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C95F67" w:rsidRPr="00AF22AF" w:rsidRDefault="00C95F67" w:rsidP="00E371EE">
      <w:pPr>
        <w:spacing w:after="260" w:line="360" w:lineRule="auto"/>
        <w:jc w:val="both"/>
        <w:rPr>
          <w:rFonts w:cs="Arial"/>
        </w:rPr>
      </w:pPr>
      <w:r w:rsidRPr="00AE4692">
        <w:rPr>
          <w:rFonts w:cs="Arial"/>
        </w:rPr>
        <w:t>Se considera que la evidencia de auditoría obtenida brinda una base suficiente y apropiada para sustentar la opinión.</w:t>
      </w:r>
    </w:p>
    <w:p w:rsidR="00C95F67" w:rsidRDefault="00C95F67" w:rsidP="00E371EE">
      <w:pPr>
        <w:spacing w:after="260" w:line="360" w:lineRule="auto"/>
        <w:jc w:val="both"/>
        <w:rPr>
          <w:rFonts w:cs="Arial"/>
          <w:b/>
        </w:rPr>
      </w:pPr>
    </w:p>
    <w:p w:rsidR="00C95F67" w:rsidRDefault="00C95F67" w:rsidP="00E371EE">
      <w:pPr>
        <w:spacing w:after="260" w:line="360" w:lineRule="auto"/>
        <w:jc w:val="both"/>
        <w:rPr>
          <w:rFonts w:cs="Arial"/>
          <w:b/>
        </w:rPr>
      </w:pPr>
      <w:r w:rsidRPr="00AF22AF">
        <w:rPr>
          <w:rFonts w:cs="Arial"/>
          <w:b/>
        </w:rPr>
        <w:t>Opinión</w:t>
      </w:r>
    </w:p>
    <w:p w:rsidR="00C95F67" w:rsidRDefault="00C95F67" w:rsidP="00F6773C">
      <w:pPr>
        <w:spacing w:after="260" w:line="360" w:lineRule="auto"/>
        <w:jc w:val="both"/>
        <w:rPr>
          <w:lang w:val="es-UY"/>
        </w:rPr>
      </w:pPr>
      <w:r>
        <w:rPr>
          <w:lang w:val="es-UY"/>
        </w:rPr>
        <w:t>En opinión del Tribunal de Cuentas, los estados financieros referidos precedentemente presentan razonablemente, en todos sus aspectos importantes, la situación patrimonial del BSE al 31/12/</w:t>
      </w:r>
      <w:r w:rsidRPr="0006620D">
        <w:rPr>
          <w:lang w:val="es-UY"/>
        </w:rPr>
        <w:t>2016</w:t>
      </w:r>
      <w:r>
        <w:rPr>
          <w:lang w:val="es-UY"/>
        </w:rPr>
        <w:t xml:space="preserve">, los resultados de sus operaciones, </w:t>
      </w:r>
      <w:r w:rsidRPr="00F6773C">
        <w:rPr>
          <w:lang w:val="es-UY"/>
        </w:rPr>
        <w:t xml:space="preserve">y </w:t>
      </w:r>
      <w:r>
        <w:rPr>
          <w:lang w:val="es-UY"/>
        </w:rPr>
        <w:t>los orígenes y aplicación de fondos por el E</w:t>
      </w:r>
      <w:r w:rsidRPr="00F6773C">
        <w:rPr>
          <w:lang w:val="es-UY"/>
        </w:rPr>
        <w:t>jercicio terminado en esa fecha, de acuerdo con las normas contables y los criterios de valuación y presentación dictados por la SSF y la Ordenanza Nº 81 del Tribunal de Cuentas</w:t>
      </w:r>
      <w:r>
        <w:rPr>
          <w:lang w:val="es-UY"/>
        </w:rPr>
        <w:t>.</w:t>
      </w:r>
    </w:p>
    <w:p w:rsidR="00C95F67" w:rsidRDefault="00C95F67" w:rsidP="00F6773C">
      <w:pPr>
        <w:spacing w:after="260" w:line="360" w:lineRule="auto"/>
        <w:jc w:val="both"/>
        <w:rPr>
          <w:rFonts w:cs="Arial"/>
          <w:lang w:val="es-UY"/>
        </w:rPr>
      </w:pPr>
      <w:r w:rsidRPr="004F5D03">
        <w:rPr>
          <w:rFonts w:cs="Arial"/>
          <w:lang w:val="es-UY"/>
        </w:rPr>
        <w:t>Con relación al cumplimiento de la normativa vigente, en el curso de la auditoría realizada, se ha constatado que:</w:t>
      </w:r>
    </w:p>
    <w:p w:rsidR="00C95F67" w:rsidRDefault="00C95F67" w:rsidP="00C95F67">
      <w:pPr>
        <w:pStyle w:val="Prrafodelista"/>
        <w:numPr>
          <w:ilvl w:val="0"/>
          <w:numId w:val="1"/>
        </w:numPr>
        <w:spacing w:after="260" w:line="360" w:lineRule="auto"/>
        <w:ind w:left="426"/>
        <w:jc w:val="both"/>
        <w:rPr>
          <w:rFonts w:cs="Arial"/>
          <w:lang w:val="es-UY"/>
        </w:rPr>
      </w:pPr>
      <w:r w:rsidRPr="00D151F7">
        <w:rPr>
          <w:rFonts w:cs="Arial"/>
          <w:b/>
          <w:lang w:val="es-UY"/>
        </w:rPr>
        <w:t>Artículo 119 del Texto Ordenado de Contabilidad y Administración Financiera (TOCAF)</w:t>
      </w:r>
      <w:r w:rsidRPr="00D151F7">
        <w:rPr>
          <w:rFonts w:cs="Arial"/>
          <w:lang w:val="es-UY"/>
        </w:rPr>
        <w:t xml:space="preserve"> - No se </w:t>
      </w:r>
      <w:r>
        <w:rPr>
          <w:rFonts w:cs="Arial"/>
          <w:lang w:val="es-UY"/>
        </w:rPr>
        <w:t xml:space="preserve">realizaron </w:t>
      </w:r>
      <w:r w:rsidRPr="00D151F7">
        <w:rPr>
          <w:rFonts w:cs="Arial"/>
          <w:lang w:val="es-UY"/>
        </w:rPr>
        <w:t xml:space="preserve">arqueos por parte </w:t>
      </w:r>
      <w:r w:rsidR="002F3590">
        <w:rPr>
          <w:rFonts w:cs="Arial"/>
          <w:lang w:val="es-UY"/>
        </w:rPr>
        <w:t>de la Contaduría del Organismo.</w:t>
      </w:r>
    </w:p>
    <w:p w:rsidR="00C95F67" w:rsidRDefault="00C95F67" w:rsidP="00C95F67">
      <w:pPr>
        <w:pStyle w:val="Prrafodelista"/>
        <w:numPr>
          <w:ilvl w:val="0"/>
          <w:numId w:val="1"/>
        </w:numPr>
        <w:spacing w:after="260" w:line="360" w:lineRule="auto"/>
        <w:ind w:left="426"/>
        <w:jc w:val="both"/>
        <w:rPr>
          <w:rFonts w:cs="Arial"/>
          <w:lang w:val="es-UY"/>
        </w:rPr>
      </w:pPr>
      <w:r w:rsidRPr="00D151F7">
        <w:rPr>
          <w:rFonts w:cs="Arial"/>
          <w:b/>
          <w:lang w:val="es-UY"/>
        </w:rPr>
        <w:t>NIIF 4</w:t>
      </w:r>
      <w:r w:rsidRPr="00D151F7">
        <w:rPr>
          <w:rFonts w:cs="Arial"/>
          <w:lang w:val="es-UY"/>
        </w:rPr>
        <w:t xml:space="preserve"> - No se revela  la información requerida, especialmente en cuanto a la identificación e información de plazos y condiciones de los contratos de seguros que tengan efecto significativo sobre los flujos de efectivo futuros.</w:t>
      </w:r>
    </w:p>
    <w:p w:rsidR="00C95F67" w:rsidRPr="00D151F7" w:rsidRDefault="00C95F67" w:rsidP="00C95F67">
      <w:pPr>
        <w:pStyle w:val="Prrafodelista"/>
        <w:numPr>
          <w:ilvl w:val="0"/>
          <w:numId w:val="1"/>
        </w:numPr>
        <w:spacing w:after="260" w:line="360" w:lineRule="auto"/>
        <w:ind w:left="426"/>
        <w:jc w:val="both"/>
        <w:rPr>
          <w:rFonts w:cs="Arial"/>
          <w:lang w:val="es-UY"/>
        </w:rPr>
      </w:pPr>
      <w:r w:rsidRPr="00D151F7">
        <w:rPr>
          <w:rFonts w:cs="Arial"/>
          <w:b/>
          <w:lang w:val="es-UY"/>
        </w:rPr>
        <w:t>NIC 1</w:t>
      </w:r>
      <w:r w:rsidRPr="00D151F7">
        <w:rPr>
          <w:rFonts w:cs="Arial"/>
          <w:lang w:val="es-UY"/>
        </w:rPr>
        <w:t xml:space="preserve"> - No se aplicaron las políticas contables previstas al compensar  saldos deudores con acreedores en el caso de los Valores en Tránsito.</w:t>
      </w:r>
    </w:p>
    <w:p w:rsidR="00C95F67" w:rsidRPr="00F05EE0" w:rsidRDefault="00C95F67" w:rsidP="00E06351">
      <w:pPr>
        <w:autoSpaceDE w:val="0"/>
        <w:autoSpaceDN w:val="0"/>
        <w:adjustRightInd w:val="0"/>
        <w:spacing w:line="360" w:lineRule="auto"/>
        <w:jc w:val="right"/>
        <w:rPr>
          <w:rFonts w:cs="Arial"/>
          <w:lang w:val="es-UY"/>
        </w:rPr>
      </w:pPr>
      <w:r w:rsidRPr="00040A62">
        <w:rPr>
          <w:rFonts w:cs="Arial"/>
          <w:lang w:val="es-UY"/>
        </w:rPr>
        <w:t>Montevideo,</w:t>
      </w:r>
      <w:r>
        <w:rPr>
          <w:rFonts w:cs="Arial"/>
          <w:lang w:val="es-UY"/>
        </w:rPr>
        <w:t xml:space="preserve"> 6 </w:t>
      </w:r>
      <w:r w:rsidRPr="00040A62">
        <w:rPr>
          <w:rFonts w:cs="Arial"/>
          <w:lang w:val="es-UY"/>
        </w:rPr>
        <w:t xml:space="preserve">de </w:t>
      </w:r>
      <w:r>
        <w:rPr>
          <w:rFonts w:cs="Arial"/>
          <w:lang w:val="es-UY"/>
        </w:rPr>
        <w:t xml:space="preserve">octubre </w:t>
      </w:r>
      <w:r w:rsidRPr="00040A62">
        <w:rPr>
          <w:rFonts w:cs="Arial"/>
          <w:lang w:val="es-UY"/>
        </w:rPr>
        <w:t>de 201</w:t>
      </w:r>
      <w:r w:rsidR="002F3590">
        <w:rPr>
          <w:rFonts w:cs="Arial"/>
          <w:lang w:val="es-UY"/>
        </w:rPr>
        <w:t>7</w:t>
      </w:r>
    </w:p>
    <w:p w:rsidR="00C95F67" w:rsidRDefault="00C95F67" w:rsidP="00E371EE">
      <w:pPr>
        <w:spacing w:line="360" w:lineRule="auto"/>
        <w:jc w:val="both"/>
        <w:rPr>
          <w:rFonts w:eastAsia="Calibri" w:cs="Arial"/>
          <w:b/>
          <w:bCs/>
          <w:spacing w:val="-3"/>
          <w:lang w:val="es-MX" w:eastAsia="en-US"/>
        </w:rPr>
      </w:pPr>
    </w:p>
    <w:p w:rsidR="00C95F67" w:rsidRDefault="00C95F67" w:rsidP="00B8709B">
      <w:pPr>
        <w:tabs>
          <w:tab w:val="left" w:pos="2552"/>
        </w:tabs>
        <w:spacing w:line="360" w:lineRule="auto"/>
        <w:jc w:val="right"/>
        <w:rPr>
          <w:rFonts w:cs="Arial"/>
        </w:rPr>
      </w:pPr>
    </w:p>
    <w:p w:rsidR="002F3590" w:rsidRDefault="002F3590" w:rsidP="00B8709B">
      <w:pPr>
        <w:tabs>
          <w:tab w:val="left" w:pos="2552"/>
        </w:tabs>
        <w:spacing w:line="360" w:lineRule="auto"/>
        <w:jc w:val="right"/>
        <w:rPr>
          <w:rFonts w:cs="Arial"/>
        </w:rPr>
      </w:pPr>
    </w:p>
    <w:p w:rsidR="002F3590" w:rsidRDefault="002F3590" w:rsidP="00B8709B">
      <w:pPr>
        <w:tabs>
          <w:tab w:val="left" w:pos="2552"/>
        </w:tabs>
        <w:spacing w:line="360" w:lineRule="auto"/>
        <w:jc w:val="right"/>
        <w:rPr>
          <w:rFonts w:cs="Arial"/>
        </w:rPr>
      </w:pPr>
    </w:p>
    <w:p w:rsidR="00C95F67" w:rsidRPr="00E10A22" w:rsidRDefault="00C95F67" w:rsidP="00E10A22">
      <w:pPr>
        <w:keepNext/>
        <w:tabs>
          <w:tab w:val="left" w:pos="2552"/>
        </w:tabs>
        <w:spacing w:line="360" w:lineRule="auto"/>
        <w:jc w:val="center"/>
        <w:outlineLvl w:val="2"/>
        <w:rPr>
          <w:rFonts w:cs="Arial"/>
          <w:b/>
        </w:rPr>
      </w:pPr>
      <w:r w:rsidRPr="00E10A22">
        <w:rPr>
          <w:rFonts w:cs="Arial"/>
          <w:b/>
        </w:rPr>
        <w:t>INFORME A LA ADMINISTRACIÓN</w:t>
      </w:r>
    </w:p>
    <w:p w:rsidR="00C95F67" w:rsidRPr="00E10A22" w:rsidRDefault="00C95F67" w:rsidP="00E10A22">
      <w:pPr>
        <w:spacing w:line="360" w:lineRule="auto"/>
        <w:jc w:val="both"/>
        <w:rPr>
          <w:rFonts w:cs="Arial"/>
          <w:spacing w:val="-3"/>
          <w:lang w:val="es-MX"/>
        </w:rPr>
      </w:pPr>
    </w:p>
    <w:p w:rsidR="00C95F67" w:rsidRPr="00E10A22" w:rsidRDefault="00C95F67" w:rsidP="00E10A22">
      <w:pPr>
        <w:spacing w:line="360" w:lineRule="auto"/>
        <w:jc w:val="both"/>
        <w:rPr>
          <w:rFonts w:cs="Arial"/>
          <w:spacing w:val="-3"/>
          <w:lang w:val="es-MX"/>
        </w:rPr>
      </w:pPr>
      <w:r w:rsidRPr="00E10A22">
        <w:rPr>
          <w:rFonts w:cs="Arial"/>
          <w:spacing w:val="-3"/>
          <w:lang w:val="es-MX"/>
        </w:rPr>
        <w:t>El Tribunal de Cuentas ha examinado los estados financieros del Banco de Seguros del Es</w:t>
      </w:r>
      <w:r>
        <w:rPr>
          <w:rFonts w:cs="Arial"/>
          <w:spacing w:val="-3"/>
          <w:lang w:val="es-MX"/>
        </w:rPr>
        <w:t>tado (BSE) correspondientes al E</w:t>
      </w:r>
      <w:r w:rsidRPr="00E10A22">
        <w:rPr>
          <w:rFonts w:cs="Arial"/>
          <w:spacing w:val="-3"/>
          <w:lang w:val="es-MX"/>
        </w:rPr>
        <w:t>jercicio finalizado al 31/12/2016  y ha emitido su Dictamen.</w:t>
      </w:r>
    </w:p>
    <w:p w:rsidR="00C95F67" w:rsidRPr="00E10A22" w:rsidRDefault="00C95F67" w:rsidP="00E10A22">
      <w:pPr>
        <w:spacing w:line="360" w:lineRule="auto"/>
        <w:jc w:val="both"/>
        <w:rPr>
          <w:rFonts w:cs="Arial"/>
          <w:spacing w:val="-3"/>
          <w:lang w:val="es-MX"/>
        </w:rPr>
      </w:pPr>
      <w:r w:rsidRPr="00E10A22">
        <w:rPr>
          <w:rFonts w:cs="Arial"/>
          <w:spacing w:val="-3"/>
          <w:lang w:val="es-MX"/>
        </w:rPr>
        <w:t>En este capítulo del informe se agregan consideraciones relativas a la presentación de dichos estados y la evaluación del sistema de control interno. También se incluyen las principales recomendaciones que deberá atender el Organismo a efectos de corregir las deficiencias constatadas en el examen practicado y una evaluación del cumplimiento de las recomendaciones  presentadas en el Informe de Auditoría del ejercicio anterior.</w:t>
      </w:r>
    </w:p>
    <w:p w:rsidR="00C95F67" w:rsidRPr="00E10A22" w:rsidRDefault="00C95F67" w:rsidP="00E10A22">
      <w:pPr>
        <w:spacing w:line="360" w:lineRule="auto"/>
        <w:jc w:val="both"/>
        <w:rPr>
          <w:rFonts w:cs="Arial"/>
          <w:spacing w:val="-3"/>
          <w:lang w:val="es-MX"/>
        </w:rPr>
      </w:pPr>
    </w:p>
    <w:p w:rsidR="00C95F67" w:rsidRPr="00E10A22" w:rsidRDefault="00C95F67" w:rsidP="00C95F67">
      <w:pPr>
        <w:numPr>
          <w:ilvl w:val="0"/>
          <w:numId w:val="2"/>
        </w:numPr>
        <w:tabs>
          <w:tab w:val="left" w:pos="0"/>
          <w:tab w:val="left" w:pos="567"/>
        </w:tabs>
        <w:spacing w:line="360" w:lineRule="auto"/>
        <w:jc w:val="both"/>
        <w:rPr>
          <w:rFonts w:cs="Arial"/>
          <w:spacing w:val="-3"/>
          <w:lang w:val="es-MX"/>
        </w:rPr>
      </w:pPr>
      <w:r w:rsidRPr="00E10A22">
        <w:rPr>
          <w:rFonts w:cs="Arial"/>
          <w:b/>
          <w:spacing w:val="-3"/>
          <w:lang w:val="es-ES_tradnl"/>
        </w:rPr>
        <w:t>Presentación de estados financieros</w:t>
      </w:r>
    </w:p>
    <w:p w:rsidR="00C95F67" w:rsidRPr="00E10A22" w:rsidRDefault="00C95F67" w:rsidP="00E10A22">
      <w:pPr>
        <w:spacing w:line="360" w:lineRule="auto"/>
        <w:jc w:val="both"/>
        <w:rPr>
          <w:rFonts w:cs="Arial"/>
          <w:spacing w:val="-3"/>
          <w:lang w:val="es-MX"/>
        </w:rPr>
      </w:pPr>
      <w:r w:rsidRPr="00E10A22">
        <w:rPr>
          <w:rFonts w:cs="Arial"/>
          <w:spacing w:val="-3"/>
          <w:lang w:val="es-MX"/>
        </w:rPr>
        <w:t>El BSE remitió a este Tribunal con fecha 29/03/2017 el Estado de Situación Patrimonial al 31/12/2016, los Estados de Resultados, de Origen y Aplicación de Fondos y de E</w:t>
      </w:r>
      <w:r>
        <w:rPr>
          <w:rFonts w:cs="Arial"/>
          <w:spacing w:val="-3"/>
          <w:lang w:val="es-MX"/>
        </w:rPr>
        <w:t>volución del Patrimonio por el E</w:t>
      </w:r>
      <w:r w:rsidRPr="00E10A22">
        <w:rPr>
          <w:rFonts w:cs="Arial"/>
          <w:spacing w:val="-3"/>
          <w:lang w:val="es-MX"/>
        </w:rPr>
        <w:t>jercicio anual terminado en esa fecha y las notas a los estados financieros. Los mismos fueron aprobados por Resoluciones de Directorio N° 0164/2017 de 22/03/2017 y Nº 0049/2017 de 26/01/2017. Se remitió asimismo la Carta de Representaciones de la Administración.</w:t>
      </w:r>
    </w:p>
    <w:p w:rsidR="00C95F67" w:rsidRPr="00E10A22" w:rsidRDefault="00C95F67" w:rsidP="00E10A22">
      <w:pPr>
        <w:spacing w:line="360" w:lineRule="auto"/>
        <w:jc w:val="both"/>
        <w:rPr>
          <w:rFonts w:cs="Arial"/>
          <w:spacing w:val="-3"/>
          <w:lang w:val="es-MX"/>
        </w:rPr>
      </w:pPr>
      <w:r w:rsidRPr="00E10A22">
        <w:rPr>
          <w:rFonts w:cs="Arial"/>
          <w:spacing w:val="-3"/>
          <w:lang w:val="es-MX"/>
        </w:rPr>
        <w:t>Según se expresa en la Nota 2 - Principales Políticas Contables, los estados  financieros se presentan de conformidad con las normas contables y los criterios de valuación dictados por la Superintendencia de Servicios Financieros (SSF) del Banco Central del Uruguay (BCU).  Los mismos han sido preparados en moneda constante, aplicando el método de ajuste establecido en la Recopilación de Normas d</w:t>
      </w:r>
      <w:r w:rsidR="002F3590">
        <w:rPr>
          <w:rFonts w:cs="Arial"/>
          <w:spacing w:val="-3"/>
          <w:lang w:val="es-MX"/>
        </w:rPr>
        <w:t>e Seguros y Reaseguros (RNSR).</w:t>
      </w:r>
    </w:p>
    <w:p w:rsidR="00C95F67" w:rsidRPr="00E10A22" w:rsidRDefault="00C95F67" w:rsidP="00E10A22">
      <w:pPr>
        <w:spacing w:line="360" w:lineRule="auto"/>
        <w:jc w:val="both"/>
        <w:rPr>
          <w:rFonts w:cs="Arial"/>
          <w:spacing w:val="-3"/>
          <w:lang w:val="es-MX"/>
        </w:rPr>
      </w:pPr>
      <w:r w:rsidRPr="00E10A22">
        <w:rPr>
          <w:rFonts w:cs="Arial"/>
          <w:spacing w:val="-3"/>
          <w:lang w:val="es-MX"/>
        </w:rPr>
        <w:t>No se reveló la información requerida en la NIIF 4, de carácter obli</w:t>
      </w:r>
      <w:r>
        <w:rPr>
          <w:rFonts w:cs="Arial"/>
          <w:spacing w:val="-3"/>
          <w:lang w:val="es-MX"/>
        </w:rPr>
        <w:t>gatorio para el BSE de acuerdo con</w:t>
      </w:r>
      <w:r w:rsidRPr="00E10A22">
        <w:rPr>
          <w:rFonts w:cs="Arial"/>
          <w:spacing w:val="-3"/>
          <w:lang w:val="es-MX"/>
        </w:rPr>
        <w:t xml:space="preserve"> lo establecido por la Ordenanza Nº 81 y la Resolución del 16/12/2009 del Tribunal de Cuentas, especialmente en lo referido a la identificación e información de plazos y condiciones de los contratos de seguros que tengan efecto significativo sobre los flujos de efectivo futuros.</w:t>
      </w:r>
    </w:p>
    <w:p w:rsidR="00C95F67" w:rsidRPr="00E10A22" w:rsidRDefault="00C95F67" w:rsidP="00E10A22">
      <w:pPr>
        <w:spacing w:line="360" w:lineRule="auto"/>
        <w:jc w:val="both"/>
        <w:rPr>
          <w:rFonts w:cs="Arial"/>
          <w:spacing w:val="-3"/>
          <w:lang w:val="es-MX"/>
        </w:rPr>
      </w:pPr>
    </w:p>
    <w:p w:rsidR="00C95F67" w:rsidRPr="00E10A22" w:rsidRDefault="00C95F67" w:rsidP="00C95F67">
      <w:pPr>
        <w:numPr>
          <w:ilvl w:val="0"/>
          <w:numId w:val="2"/>
        </w:numPr>
        <w:tabs>
          <w:tab w:val="left" w:pos="0"/>
          <w:tab w:val="left" w:pos="567"/>
        </w:tabs>
        <w:spacing w:line="360" w:lineRule="auto"/>
        <w:jc w:val="both"/>
        <w:rPr>
          <w:rFonts w:cs="Arial"/>
          <w:b/>
          <w:lang w:val="es-UY"/>
        </w:rPr>
      </w:pPr>
      <w:r w:rsidRPr="00E10A22">
        <w:rPr>
          <w:rFonts w:cs="Arial"/>
          <w:b/>
          <w:lang w:val="es-UY"/>
        </w:rPr>
        <w:t>Evaluación del sistema de control interno</w:t>
      </w:r>
    </w:p>
    <w:p w:rsidR="00C95F67" w:rsidRPr="00E10A22" w:rsidRDefault="00C95F67" w:rsidP="00E10A22">
      <w:pPr>
        <w:spacing w:line="360" w:lineRule="auto"/>
        <w:jc w:val="both"/>
        <w:rPr>
          <w:rFonts w:cs="Arial"/>
          <w:bCs/>
          <w:szCs w:val="23"/>
          <w:lang w:val="es-UY"/>
        </w:rPr>
      </w:pPr>
      <w:r w:rsidRPr="00E10A22">
        <w:rPr>
          <w:rFonts w:cs="Arial"/>
          <w:bCs/>
          <w:szCs w:val="23"/>
          <w:lang w:val="es-UY"/>
        </w:rPr>
        <w:t xml:space="preserve">El examen de los aspectos de control interno relevantes para la preparación y presentación razonable de los estados financieros permitió constatar que el saldo final de efectivo y equivalente tanto en el Estado de Origen y Aplicación de Fondos, como en la Nota 15 se expone sobrevaluado en $ </w:t>
      </w:r>
      <w:r>
        <w:rPr>
          <w:rFonts w:cs="Arial"/>
          <w:bCs/>
          <w:szCs w:val="23"/>
          <w:lang w:val="es-UY"/>
        </w:rPr>
        <w:t>58:</w:t>
      </w:r>
      <w:r w:rsidRPr="00E10A22">
        <w:rPr>
          <w:rFonts w:cs="Arial"/>
          <w:bCs/>
          <w:szCs w:val="23"/>
          <w:lang w:val="es-UY"/>
        </w:rPr>
        <w:t>511.999, debido a que se consideró incorrectamente el saldo de las cuentas bancarias.</w:t>
      </w:r>
    </w:p>
    <w:p w:rsidR="00C95F67" w:rsidRPr="00E10A22" w:rsidRDefault="00C95F67" w:rsidP="00E10A22">
      <w:pPr>
        <w:spacing w:line="360" w:lineRule="auto"/>
        <w:jc w:val="both"/>
        <w:rPr>
          <w:rFonts w:cs="Arial"/>
          <w:bCs/>
          <w:color w:val="FF0000"/>
          <w:szCs w:val="23"/>
          <w:lang w:val="es-UY"/>
        </w:rPr>
      </w:pPr>
    </w:p>
    <w:p w:rsidR="00C95F67" w:rsidRPr="00E10A22" w:rsidRDefault="00C95F67" w:rsidP="00C95F67">
      <w:pPr>
        <w:numPr>
          <w:ilvl w:val="0"/>
          <w:numId w:val="2"/>
        </w:numPr>
        <w:tabs>
          <w:tab w:val="left" w:pos="0"/>
          <w:tab w:val="left" w:pos="567"/>
        </w:tabs>
        <w:spacing w:line="360" w:lineRule="auto"/>
        <w:jc w:val="both"/>
        <w:rPr>
          <w:rFonts w:cs="Arial"/>
          <w:b/>
          <w:lang w:val="es-UY"/>
        </w:rPr>
      </w:pPr>
      <w:r w:rsidRPr="00E10A22">
        <w:rPr>
          <w:rFonts w:cs="Arial"/>
          <w:b/>
          <w:lang w:val="es-UY"/>
        </w:rPr>
        <w:t>Recomendaciones</w:t>
      </w:r>
    </w:p>
    <w:p w:rsidR="00C95F67" w:rsidRPr="00E10A22" w:rsidRDefault="00C95F67" w:rsidP="00E10A22">
      <w:pPr>
        <w:spacing w:after="200" w:line="360" w:lineRule="auto"/>
        <w:jc w:val="both"/>
        <w:rPr>
          <w:rFonts w:cs="Arial"/>
          <w:spacing w:val="-3"/>
          <w:lang w:val="es-MX"/>
        </w:rPr>
      </w:pPr>
      <w:r w:rsidRPr="00E10A22">
        <w:rPr>
          <w:rFonts w:cs="Arial"/>
          <w:spacing w:val="-3"/>
          <w:lang w:val="es-MX"/>
        </w:rPr>
        <w:t>Efectuado el seguimiento de las recomendaciones  formuladas en el Informe de Auditoría del</w:t>
      </w:r>
      <w:r>
        <w:rPr>
          <w:rFonts w:cs="Arial"/>
          <w:spacing w:val="-3"/>
          <w:lang w:val="es-MX"/>
        </w:rPr>
        <w:t xml:space="preserve"> E</w:t>
      </w:r>
      <w:r w:rsidRPr="00E10A22">
        <w:rPr>
          <w:rFonts w:cs="Arial"/>
          <w:spacing w:val="-3"/>
          <w:lang w:val="es-MX"/>
        </w:rPr>
        <w:t>jercicio anterior, se concluye que:</w:t>
      </w:r>
    </w:p>
    <w:p w:rsidR="00C95F67" w:rsidRPr="00E10A22" w:rsidRDefault="00C95F67" w:rsidP="00C95F67">
      <w:pPr>
        <w:numPr>
          <w:ilvl w:val="1"/>
          <w:numId w:val="2"/>
        </w:numPr>
        <w:tabs>
          <w:tab w:val="left" w:pos="0"/>
          <w:tab w:val="left" w:pos="567"/>
        </w:tabs>
        <w:spacing w:after="200" w:line="360" w:lineRule="auto"/>
        <w:ind w:left="426"/>
        <w:jc w:val="both"/>
        <w:rPr>
          <w:rFonts w:cs="Arial"/>
          <w:spacing w:val="-3"/>
          <w:lang w:val="es-MX"/>
        </w:rPr>
      </w:pPr>
      <w:r w:rsidRPr="00E10A22">
        <w:rPr>
          <w:rFonts w:cs="Arial"/>
          <w:b/>
          <w:lang w:val="es-UY"/>
        </w:rPr>
        <w:t>Recomendaciones no cumplidas</w:t>
      </w:r>
    </w:p>
    <w:p w:rsidR="00C95F67" w:rsidRPr="00E10A22" w:rsidRDefault="00C95F67" w:rsidP="00C95F67">
      <w:pPr>
        <w:numPr>
          <w:ilvl w:val="2"/>
          <w:numId w:val="2"/>
        </w:numPr>
        <w:spacing w:line="360" w:lineRule="auto"/>
        <w:ind w:hanging="788"/>
        <w:contextualSpacing/>
        <w:jc w:val="both"/>
        <w:rPr>
          <w:rFonts w:cs="Arial"/>
          <w:spacing w:val="-3"/>
          <w:lang w:val="es-MX"/>
        </w:rPr>
      </w:pPr>
      <w:r w:rsidRPr="00E10A22">
        <w:rPr>
          <w:rFonts w:cs="Arial"/>
          <w:spacing w:val="-3"/>
          <w:lang w:val="es-MX"/>
        </w:rPr>
        <w:t>No se implementaron los mecanismos a efectos de dar cumplimiento</w:t>
      </w:r>
      <w:r>
        <w:rPr>
          <w:rFonts w:cs="Arial"/>
          <w:spacing w:val="-3"/>
          <w:lang w:val="es-MX"/>
        </w:rPr>
        <w:t xml:space="preserve"> con</w:t>
      </w:r>
      <w:r w:rsidRPr="00E10A22">
        <w:rPr>
          <w:rFonts w:cs="Arial"/>
          <w:spacing w:val="-3"/>
          <w:lang w:val="es-MX"/>
        </w:rPr>
        <w:t xml:space="preserve"> lo establecido en la NIIF 4.</w:t>
      </w:r>
    </w:p>
    <w:p w:rsidR="00C95F67" w:rsidRPr="00E10A22" w:rsidRDefault="00C95F67" w:rsidP="00C95F67">
      <w:pPr>
        <w:numPr>
          <w:ilvl w:val="2"/>
          <w:numId w:val="2"/>
        </w:numPr>
        <w:spacing w:line="360" w:lineRule="auto"/>
        <w:ind w:hanging="788"/>
        <w:contextualSpacing/>
        <w:jc w:val="both"/>
        <w:rPr>
          <w:rFonts w:cs="Arial"/>
          <w:spacing w:val="-3"/>
          <w:lang w:val="es-MX"/>
        </w:rPr>
      </w:pPr>
      <w:r w:rsidRPr="00E10A22">
        <w:rPr>
          <w:rFonts w:cs="Arial"/>
          <w:spacing w:val="-3"/>
          <w:lang w:val="es-MX"/>
        </w:rPr>
        <w:t>Los “Valores en Tránsito” no fueron expue</w:t>
      </w:r>
      <w:r>
        <w:rPr>
          <w:rFonts w:cs="Arial"/>
          <w:spacing w:val="-3"/>
          <w:lang w:val="es-MX"/>
        </w:rPr>
        <w:t>stos en el Activo, de acuerdo con el</w:t>
      </w:r>
      <w:r w:rsidRPr="00E10A22">
        <w:rPr>
          <w:rFonts w:cs="Arial"/>
          <w:spacing w:val="-3"/>
          <w:lang w:val="es-MX"/>
        </w:rPr>
        <w:t xml:space="preserve"> Plan de Cuentas del BCU y en concordancia con la NIC 1.</w:t>
      </w:r>
    </w:p>
    <w:p w:rsidR="00C95F67" w:rsidRPr="00E10A22"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No se implementaron procedimientos a efectos de mejorar las debilidades de control interno de las Sucursales y Agencias.</w:t>
      </w:r>
    </w:p>
    <w:p w:rsidR="00C95F67" w:rsidRPr="00E10A22"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No se han realizado los arqueos con la participación de la Contaduría del Organismo.</w:t>
      </w:r>
    </w:p>
    <w:p w:rsidR="00C95F67" w:rsidRPr="00E10A22"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No se han expuesto los materiales como un rubro diferenciado en el Estado de Situación Patrimonial.</w:t>
      </w:r>
    </w:p>
    <w:p w:rsidR="00C95F67" w:rsidRPr="00E10A22"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No se establecieron los mecanismos con el fin de minimizar y/o evitar las deficiencias detectadas en el procedimiento de recuento de insumos de la Central de Servicios Médicos (CSM), así como tampoco se han analizado las diferencias detectadas con los registros contables.</w:t>
      </w:r>
    </w:p>
    <w:p w:rsidR="00C95F67" w:rsidRPr="00E10A22"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Si bien el Banco ha avanzado en el proceso de adecuación de la reserva de accidentes de trabajo, no se ha revelado en Notas el importe que resta actualizar.</w:t>
      </w:r>
    </w:p>
    <w:p w:rsidR="00C95F67" w:rsidRPr="00E10A22"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No se implementaron procedimientos a fin de segregar las funciones de ingreso y autorización de asientos contables siendo una posible consecuencia el hecho que se modifiquen datos contables por personal no autorizado</w:t>
      </w:r>
      <w:r w:rsidR="002F3590">
        <w:rPr>
          <w:rFonts w:cs="Arial"/>
          <w:spacing w:val="-3"/>
          <w:lang w:val="es-MX"/>
        </w:rPr>
        <w:t>.</w:t>
      </w:r>
    </w:p>
    <w:p w:rsidR="00C95F67" w:rsidRDefault="00C95F67" w:rsidP="00C95F67">
      <w:pPr>
        <w:numPr>
          <w:ilvl w:val="2"/>
          <w:numId w:val="2"/>
        </w:numPr>
        <w:tabs>
          <w:tab w:val="left" w:pos="0"/>
          <w:tab w:val="left" w:pos="567"/>
        </w:tabs>
        <w:spacing w:after="200" w:line="360" w:lineRule="auto"/>
        <w:ind w:hanging="788"/>
        <w:contextualSpacing/>
        <w:jc w:val="both"/>
        <w:rPr>
          <w:rFonts w:cs="Arial"/>
          <w:spacing w:val="-3"/>
          <w:lang w:val="es-MX"/>
        </w:rPr>
      </w:pPr>
      <w:r w:rsidRPr="00E10A22">
        <w:rPr>
          <w:rFonts w:cs="Arial"/>
          <w:spacing w:val="-3"/>
          <w:lang w:val="es-MX"/>
        </w:rPr>
        <w:t xml:space="preserve">No se han implementado los procedimientos a efectos de que el saldo de “Deudores por </w:t>
      </w:r>
      <w:proofErr w:type="spellStart"/>
      <w:r w:rsidRPr="00E10A22">
        <w:rPr>
          <w:rFonts w:cs="Arial"/>
          <w:spacing w:val="-3"/>
          <w:lang w:val="es-MX"/>
        </w:rPr>
        <w:t>Recuperos</w:t>
      </w:r>
      <w:proofErr w:type="spellEnd"/>
      <w:r w:rsidRPr="00E10A22">
        <w:rPr>
          <w:rFonts w:cs="Arial"/>
          <w:spacing w:val="-3"/>
          <w:lang w:val="es-MX"/>
        </w:rPr>
        <w:t xml:space="preserve"> Accidentes de Trabajo” refleje íntegrament</w:t>
      </w:r>
      <w:r>
        <w:rPr>
          <w:rFonts w:cs="Arial"/>
          <w:spacing w:val="-3"/>
          <w:lang w:val="es-MX"/>
        </w:rPr>
        <w:t>e los saldos a cobrar a fin de E</w:t>
      </w:r>
      <w:r w:rsidRPr="00E10A22">
        <w:rPr>
          <w:rFonts w:cs="Arial"/>
          <w:spacing w:val="-3"/>
          <w:lang w:val="es-MX"/>
        </w:rPr>
        <w:t>jercicio.</w:t>
      </w:r>
    </w:p>
    <w:p w:rsidR="00C95F67" w:rsidRPr="00E10A22" w:rsidRDefault="00C95F67" w:rsidP="00E10A22">
      <w:pPr>
        <w:tabs>
          <w:tab w:val="left" w:pos="0"/>
          <w:tab w:val="left" w:pos="567"/>
        </w:tabs>
        <w:spacing w:after="200" w:line="360" w:lineRule="auto"/>
        <w:ind w:left="788"/>
        <w:contextualSpacing/>
        <w:jc w:val="both"/>
        <w:rPr>
          <w:rFonts w:cs="Arial"/>
          <w:spacing w:val="-3"/>
          <w:lang w:val="es-MX"/>
        </w:rPr>
      </w:pPr>
    </w:p>
    <w:p w:rsidR="00C95F67" w:rsidRPr="00E10A22" w:rsidRDefault="00C95F67" w:rsidP="00C95F67">
      <w:pPr>
        <w:numPr>
          <w:ilvl w:val="1"/>
          <w:numId w:val="2"/>
        </w:numPr>
        <w:tabs>
          <w:tab w:val="left" w:pos="0"/>
          <w:tab w:val="left" w:pos="567"/>
        </w:tabs>
        <w:spacing w:after="200" w:line="360" w:lineRule="auto"/>
        <w:ind w:left="426"/>
        <w:jc w:val="both"/>
        <w:rPr>
          <w:rFonts w:cs="Arial"/>
          <w:spacing w:val="-3"/>
          <w:lang w:val="es-MX"/>
        </w:rPr>
      </w:pPr>
      <w:r w:rsidRPr="00E10A22">
        <w:rPr>
          <w:rFonts w:cs="Arial"/>
          <w:b/>
          <w:lang w:val="es-UY"/>
        </w:rPr>
        <w:t>Recomendación del presente ejercicio</w:t>
      </w:r>
    </w:p>
    <w:p w:rsidR="00C95F67" w:rsidRPr="00E10A22" w:rsidRDefault="00C95F67" w:rsidP="00E10A22">
      <w:pPr>
        <w:tabs>
          <w:tab w:val="left" w:pos="0"/>
          <w:tab w:val="left" w:pos="142"/>
        </w:tabs>
        <w:spacing w:after="200" w:line="360" w:lineRule="auto"/>
        <w:jc w:val="both"/>
        <w:rPr>
          <w:rFonts w:cs="Arial"/>
          <w:spacing w:val="-3"/>
          <w:lang w:val="es-MX"/>
        </w:rPr>
      </w:pPr>
      <w:r w:rsidRPr="00E10A22">
        <w:rPr>
          <w:rFonts w:cs="Arial"/>
          <w:spacing w:val="-3"/>
          <w:lang w:val="es-MX"/>
        </w:rPr>
        <w:t>Se reiteran las r</w:t>
      </w:r>
      <w:r>
        <w:rPr>
          <w:rFonts w:cs="Arial"/>
          <w:spacing w:val="-3"/>
          <w:lang w:val="es-MX"/>
        </w:rPr>
        <w:t>ecomendaciones no cumplidas de E</w:t>
      </w:r>
      <w:r w:rsidRPr="00E10A22">
        <w:rPr>
          <w:rFonts w:cs="Arial"/>
          <w:spacing w:val="-3"/>
          <w:lang w:val="es-MX"/>
        </w:rPr>
        <w:t>jercicios anteriores y se formula la siguiente:</w:t>
      </w:r>
    </w:p>
    <w:p w:rsidR="00C95F67" w:rsidRPr="00E10A22" w:rsidRDefault="00C95F67" w:rsidP="00C95F67">
      <w:pPr>
        <w:numPr>
          <w:ilvl w:val="0"/>
          <w:numId w:val="3"/>
        </w:numPr>
        <w:tabs>
          <w:tab w:val="left" w:pos="0"/>
          <w:tab w:val="left" w:pos="142"/>
        </w:tabs>
        <w:spacing w:after="200" w:line="360" w:lineRule="auto"/>
        <w:jc w:val="both"/>
        <w:rPr>
          <w:rFonts w:cs="Arial"/>
          <w:spacing w:val="-3"/>
          <w:lang w:val="es-MX"/>
        </w:rPr>
      </w:pPr>
      <w:r w:rsidRPr="00E10A22">
        <w:rPr>
          <w:rFonts w:cs="Arial"/>
          <w:spacing w:val="-3"/>
          <w:lang w:val="es-MX"/>
        </w:rPr>
        <w:t xml:space="preserve">Implementar procedimientos a efectos de que se exponga correctamente </w:t>
      </w:r>
      <w:r w:rsidRPr="00E10A22">
        <w:rPr>
          <w:rFonts w:cs="Arial"/>
          <w:bCs/>
          <w:szCs w:val="23"/>
          <w:lang w:val="es-UY"/>
        </w:rPr>
        <w:t>el saldo de efectivo y equivalente de efectivo tanto en el Estado de Origen y Aplicación de Fondos como en la Nota correspondiente.</w:t>
      </w:r>
    </w:p>
    <w:p w:rsidR="00C95F67" w:rsidRDefault="00C95F67" w:rsidP="00E10A22">
      <w:pPr>
        <w:autoSpaceDE w:val="0"/>
        <w:autoSpaceDN w:val="0"/>
        <w:adjustRightInd w:val="0"/>
        <w:spacing w:line="360" w:lineRule="auto"/>
        <w:jc w:val="right"/>
        <w:rPr>
          <w:rFonts w:cs="Arial"/>
          <w:spacing w:val="-3"/>
          <w:lang w:val="es-MX"/>
        </w:rPr>
      </w:pPr>
      <w:r w:rsidRPr="00E10A22">
        <w:rPr>
          <w:rFonts w:cs="Arial"/>
          <w:spacing w:val="-3"/>
          <w:lang w:val="es-MX"/>
        </w:rPr>
        <w:t>M</w:t>
      </w:r>
      <w:r w:rsidR="002F3590">
        <w:rPr>
          <w:rFonts w:cs="Arial"/>
          <w:spacing w:val="-3"/>
          <w:lang w:val="es-MX"/>
        </w:rPr>
        <w:t>ontevideo, 6 de octubre de 2017</w:t>
      </w:r>
    </w:p>
    <w:p w:rsidR="00C95F67" w:rsidRPr="002F3590" w:rsidRDefault="00C95F67" w:rsidP="002F3590">
      <w:pPr>
        <w:autoSpaceDE w:val="0"/>
        <w:autoSpaceDN w:val="0"/>
        <w:adjustRightInd w:val="0"/>
        <w:spacing w:line="360" w:lineRule="auto"/>
        <w:ind w:hanging="426"/>
        <w:rPr>
          <w:rFonts w:cs="Arial"/>
          <w:spacing w:val="-3"/>
          <w:lang w:val="es-MX"/>
        </w:rPr>
      </w:pPr>
      <w:proofErr w:type="gramStart"/>
      <w:r>
        <w:rPr>
          <w:rFonts w:cs="Arial"/>
          <w:spacing w:val="-3"/>
          <w:lang w:val="es-MX"/>
        </w:rPr>
        <w:t>dc</w:t>
      </w:r>
      <w:proofErr w:type="gramEnd"/>
    </w:p>
    <w:sectPr w:rsidR="00C95F67" w:rsidRPr="002F3590" w:rsidSect="00295259">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D1E54"/>
    <w:multiLevelType w:val="hybridMultilevel"/>
    <w:tmpl w:val="DCAEA06C"/>
    <w:lvl w:ilvl="0" w:tplc="899CCC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5D0AFE"/>
    <w:multiLevelType w:val="hybridMultilevel"/>
    <w:tmpl w:val="B0B0C27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58272922"/>
    <w:multiLevelType w:val="multilevel"/>
    <w:tmpl w:val="FF226736"/>
    <w:lvl w:ilvl="0">
      <w:start w:val="1"/>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sz w:val="24"/>
      </w:rPr>
    </w:lvl>
    <w:lvl w:ilvl="2">
      <w:start w:val="1"/>
      <w:numFmt w:val="decimal"/>
      <w:lvlText w:val="%1.%2.%3."/>
      <w:lvlJc w:val="left"/>
      <w:pPr>
        <w:ind w:left="788"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59"/>
    <w:rsid w:val="00295259"/>
    <w:rsid w:val="002F3590"/>
    <w:rsid w:val="00330727"/>
    <w:rsid w:val="009D365A"/>
    <w:rsid w:val="00C95F67"/>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59"/>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59"/>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1624</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2017-10-26T19:27:00Z</cp:lastPrinted>
  <dcterms:created xsi:type="dcterms:W3CDTF">2017-10-26T19:22:00Z</dcterms:created>
  <dcterms:modified xsi:type="dcterms:W3CDTF">2018-01-29T16:17:00Z</dcterms:modified>
</cp:coreProperties>
</file>