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471" w:rsidRPr="00C61614" w:rsidRDefault="00FB3471" w:rsidP="00C4239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723153">
        <w:rPr>
          <w:rFonts w:cs="Arial"/>
          <w:b/>
          <w:sz w:val="28"/>
          <w:szCs w:val="28"/>
          <w:lang w:val="es-ES_tradnl"/>
        </w:rPr>
        <w:t>3353</w:t>
      </w:r>
      <w:r>
        <w:rPr>
          <w:rFonts w:cs="Arial"/>
          <w:b/>
          <w:sz w:val="28"/>
          <w:szCs w:val="28"/>
          <w:lang w:val="es-ES_tradnl"/>
        </w:rPr>
        <w:t>/17</w:t>
      </w:r>
    </w:p>
    <w:p w:rsidR="00FB3471" w:rsidRDefault="00FB3471">
      <w:pPr>
        <w:tabs>
          <w:tab w:val="center" w:pos="4253"/>
        </w:tabs>
        <w:suppressAutoHyphens/>
        <w:jc w:val="center"/>
        <w:rPr>
          <w:rFonts w:cs="Arial"/>
          <w:b/>
          <w:lang w:val="es-ES_tradnl"/>
        </w:rPr>
      </w:pPr>
    </w:p>
    <w:p w:rsidR="00FB3471" w:rsidRDefault="00FB3471" w:rsidP="00C4239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FB3471" w:rsidRDefault="00FB3471" w:rsidP="00C4239B">
      <w:pPr>
        <w:tabs>
          <w:tab w:val="left" w:pos="-720"/>
        </w:tabs>
        <w:suppressAutoHyphens/>
        <w:jc w:val="center"/>
        <w:rPr>
          <w:rFonts w:ascii="Helvetica" w:hAnsi="Helvetica"/>
          <w:b/>
          <w:lang w:val="es-ES_tradnl"/>
        </w:rPr>
      </w:pPr>
    </w:p>
    <w:p w:rsidR="00FB3471" w:rsidRDefault="00FB3471" w:rsidP="00C4239B">
      <w:pPr>
        <w:tabs>
          <w:tab w:val="center" w:pos="4253"/>
        </w:tabs>
        <w:suppressAutoHyphens/>
        <w:jc w:val="center"/>
        <w:rPr>
          <w:rFonts w:ascii="Helvetica" w:hAnsi="Helvetica"/>
          <w:b/>
          <w:lang w:val="es-ES_tradnl"/>
        </w:rPr>
      </w:pPr>
      <w:r>
        <w:rPr>
          <w:rFonts w:ascii="Helvetica" w:hAnsi="Helvetica"/>
          <w:b/>
          <w:lang w:val="es-ES_tradnl"/>
        </w:rPr>
        <w:t>TRIBUNAL DE CUENTAS</w:t>
      </w:r>
    </w:p>
    <w:p w:rsidR="00FB3471" w:rsidRDefault="00FB3471" w:rsidP="00C4239B">
      <w:pPr>
        <w:tabs>
          <w:tab w:val="left" w:pos="-720"/>
        </w:tabs>
        <w:suppressAutoHyphens/>
        <w:jc w:val="center"/>
        <w:rPr>
          <w:rFonts w:ascii="Helvetica" w:hAnsi="Helvetica"/>
          <w:b/>
          <w:lang w:val="es-ES_tradnl"/>
        </w:rPr>
      </w:pPr>
    </w:p>
    <w:p w:rsidR="00FB3471" w:rsidRDefault="00FB3471" w:rsidP="00C4239B">
      <w:pPr>
        <w:tabs>
          <w:tab w:val="center" w:pos="4253"/>
        </w:tabs>
        <w:suppressAutoHyphens/>
        <w:jc w:val="center"/>
        <w:rPr>
          <w:rFonts w:ascii="Helvetica" w:hAnsi="Helvetica"/>
          <w:b/>
          <w:lang w:val="es-ES_tradnl"/>
        </w:rPr>
      </w:pPr>
      <w:r>
        <w:rPr>
          <w:rFonts w:ascii="Helvetica" w:hAnsi="Helvetica"/>
          <w:b/>
          <w:lang w:val="es-ES_tradnl"/>
        </w:rPr>
        <w:t xml:space="preserve">EN SESION DE FECHA </w:t>
      </w:r>
      <w:r w:rsidR="00AD7CD9">
        <w:rPr>
          <w:rFonts w:ascii="Helvetica" w:hAnsi="Helvetica"/>
          <w:b/>
          <w:lang w:val="es-ES_tradnl"/>
        </w:rPr>
        <w:t>11</w:t>
      </w:r>
      <w:r>
        <w:rPr>
          <w:rFonts w:cs="Arial"/>
          <w:b/>
          <w:lang w:val="es-ES_tradnl"/>
        </w:rPr>
        <w:t xml:space="preserve"> DE OCTUBRE </w:t>
      </w:r>
      <w:r>
        <w:rPr>
          <w:rFonts w:ascii="Helvetica" w:hAnsi="Helvetica"/>
          <w:b/>
          <w:lang w:val="es-ES_tradnl"/>
        </w:rPr>
        <w:t>DE 2017</w:t>
      </w:r>
    </w:p>
    <w:p w:rsidR="00FB3471" w:rsidRDefault="00FB3471" w:rsidP="00C4239B">
      <w:pPr>
        <w:tabs>
          <w:tab w:val="center" w:pos="4253"/>
        </w:tabs>
        <w:suppressAutoHyphens/>
        <w:jc w:val="center"/>
        <w:rPr>
          <w:rFonts w:ascii="Helvetica" w:hAnsi="Helvetica"/>
          <w:b/>
          <w:lang w:val="es-ES_tradnl"/>
        </w:rPr>
      </w:pPr>
    </w:p>
    <w:p w:rsidR="00FB3471" w:rsidRPr="00FB3471" w:rsidRDefault="00FB3471" w:rsidP="00C4239B">
      <w:pPr>
        <w:tabs>
          <w:tab w:val="center" w:pos="4253"/>
        </w:tabs>
        <w:suppressAutoHyphens/>
        <w:jc w:val="center"/>
        <w:rPr>
          <w:rFonts w:ascii="Helvetica" w:hAnsi="Helvetica"/>
          <w:b/>
          <w:lang w:val="es-UY"/>
        </w:rPr>
      </w:pPr>
      <w:r w:rsidRPr="00FB3471">
        <w:rPr>
          <w:rFonts w:ascii="Helvetica" w:hAnsi="Helvetica"/>
          <w:b/>
          <w:lang w:val="es-UY"/>
        </w:rPr>
        <w:t xml:space="preserve">(E. E. Nº 2017-17-1-0006219, </w:t>
      </w:r>
      <w:proofErr w:type="spellStart"/>
      <w:r w:rsidRPr="00FB3471">
        <w:rPr>
          <w:rFonts w:ascii="Helvetica" w:hAnsi="Helvetica"/>
          <w:b/>
          <w:lang w:val="es-UY"/>
        </w:rPr>
        <w:t>Ent</w:t>
      </w:r>
      <w:proofErr w:type="spellEnd"/>
      <w:r w:rsidRPr="00FB3471">
        <w:rPr>
          <w:rFonts w:ascii="Helvetica" w:hAnsi="Helvetica"/>
          <w:b/>
          <w:lang w:val="es-UY"/>
        </w:rPr>
        <w:t>. N° 4980/17)</w:t>
      </w:r>
    </w:p>
    <w:p w:rsidR="00FB3471" w:rsidRPr="00FB3471" w:rsidRDefault="00FB3471">
      <w:pPr>
        <w:tabs>
          <w:tab w:val="center" w:pos="4253"/>
        </w:tabs>
        <w:suppressAutoHyphens/>
        <w:jc w:val="center"/>
        <w:rPr>
          <w:rFonts w:cs="Arial"/>
          <w:b/>
          <w:lang w:val="es-UY"/>
        </w:rPr>
      </w:pPr>
    </w:p>
    <w:p w:rsidR="00FB3471" w:rsidRDefault="00FB3471" w:rsidP="00C4239B">
      <w:pPr>
        <w:tabs>
          <w:tab w:val="center" w:pos="4253"/>
        </w:tabs>
        <w:suppressAutoHyphens/>
        <w:jc w:val="center"/>
        <w:rPr>
          <w:rFonts w:ascii="Helvetica" w:hAnsi="Helvetica"/>
          <w:b/>
          <w:lang w:val="es-ES_tradnl"/>
        </w:rPr>
      </w:pPr>
    </w:p>
    <w:p w:rsidR="00FB3471" w:rsidRPr="00FB3471" w:rsidRDefault="00FB3471" w:rsidP="00C4239B">
      <w:pPr>
        <w:tabs>
          <w:tab w:val="center" w:pos="4253"/>
        </w:tabs>
        <w:suppressAutoHyphens/>
        <w:jc w:val="right"/>
        <w:rPr>
          <w:rFonts w:cs="Arial"/>
          <w:b/>
          <w:lang w:val="es-UY"/>
        </w:rPr>
      </w:pPr>
    </w:p>
    <w:p w:rsidR="0076246A" w:rsidRDefault="0076246A" w:rsidP="00723153">
      <w:pPr>
        <w:pStyle w:val="Textoindependiente"/>
        <w:ind w:firstLine="851"/>
      </w:pPr>
      <w:r>
        <w:rPr>
          <w:b/>
        </w:rPr>
        <w:t>VISTO:</w:t>
      </w:r>
      <w:r>
        <w:t xml:space="preserve"> el Proyecto de </w:t>
      </w:r>
      <w:r w:rsidR="000225F3">
        <w:t xml:space="preserve">Modificación </w:t>
      </w:r>
      <w:r>
        <w:t>Presupuest</w:t>
      </w:r>
      <w:r w:rsidR="000225F3">
        <w:t>al</w:t>
      </w:r>
      <w:r>
        <w:t xml:space="preserve"> de la Intendencia de </w:t>
      </w:r>
      <w:r w:rsidR="00E60184">
        <w:t>Rocha</w:t>
      </w:r>
      <w:r>
        <w:t xml:space="preserve"> para los ejercicios 201</w:t>
      </w:r>
      <w:r w:rsidR="000225F3">
        <w:t>8</w:t>
      </w:r>
      <w:r>
        <w:t xml:space="preserve"> -2020;</w:t>
      </w:r>
    </w:p>
    <w:p w:rsidR="0076246A" w:rsidRDefault="0076246A" w:rsidP="00723153">
      <w:pPr>
        <w:pStyle w:val="Textoindependiente"/>
        <w:ind w:firstLine="851"/>
      </w:pPr>
      <w:r>
        <w:rPr>
          <w:b/>
        </w:rPr>
        <w:t>CONSIDERANDO:</w:t>
      </w:r>
      <w:r>
        <w:t xml:space="preserve"> </w:t>
      </w:r>
      <w:r>
        <w:rPr>
          <w:b/>
        </w:rPr>
        <w:t xml:space="preserve">1) </w:t>
      </w:r>
      <w:r>
        <w:rPr>
          <w:bCs/>
        </w:rPr>
        <w:t>que se ha dado cumplimiento a lo dispuesto por los Artículos</w:t>
      </w:r>
      <w:r>
        <w:t xml:space="preserve"> 223 al 225 de la Constitución de la República;</w:t>
      </w:r>
    </w:p>
    <w:p w:rsidR="0076246A" w:rsidRDefault="0076246A" w:rsidP="00723153">
      <w:pPr>
        <w:pStyle w:val="Textoindependiente"/>
        <w:ind w:firstLine="2977"/>
      </w:pPr>
      <w:r>
        <w:rPr>
          <w:b/>
          <w:bCs/>
        </w:rPr>
        <w:t>2)</w:t>
      </w:r>
      <w:r>
        <w:t xml:space="preserve"> que las conclusiones y evidencias obtenidas son las que se expresan en el Dictamen que se adjunta;</w:t>
      </w:r>
    </w:p>
    <w:p w:rsidR="0076246A" w:rsidRDefault="0076246A" w:rsidP="00723153">
      <w:pPr>
        <w:pStyle w:val="Textoindependiente"/>
        <w:ind w:firstLine="851"/>
      </w:pPr>
      <w:r>
        <w:rPr>
          <w:b/>
        </w:rPr>
        <w:t>ATENTO:</w:t>
      </w:r>
      <w:r>
        <w:t xml:space="preserve"> a lo dispuesto por los Artículos 211 </w:t>
      </w:r>
      <w:r w:rsidR="00723153">
        <w:t>L</w:t>
      </w:r>
      <w:r>
        <w:t>iteral A) y 225 de la Constitución de la República;</w:t>
      </w:r>
    </w:p>
    <w:p w:rsidR="0076246A" w:rsidRDefault="0076246A" w:rsidP="0076246A">
      <w:pPr>
        <w:pStyle w:val="Textoindependiente"/>
        <w:jc w:val="center"/>
        <w:rPr>
          <w:b/>
          <w:highlight w:val="yellow"/>
        </w:rPr>
      </w:pPr>
      <w:r>
        <w:rPr>
          <w:b/>
        </w:rPr>
        <w:t>EL TRIBUNAL ACUERDA</w:t>
      </w:r>
    </w:p>
    <w:p w:rsidR="0076246A" w:rsidRDefault="0076246A" w:rsidP="0076246A">
      <w:pPr>
        <w:pStyle w:val="Textoindependiente"/>
        <w:numPr>
          <w:ilvl w:val="0"/>
          <w:numId w:val="1"/>
        </w:numPr>
        <w:tabs>
          <w:tab w:val="clear" w:pos="720"/>
          <w:tab w:val="num" w:pos="360"/>
        </w:tabs>
        <w:ind w:left="360"/>
      </w:pPr>
      <w:r>
        <w:t xml:space="preserve">Emitir su pronunciamiento respecto al Proyecto de </w:t>
      </w:r>
      <w:r w:rsidR="000225F3">
        <w:t>Modificación Presupuestal</w:t>
      </w:r>
      <w:r>
        <w:t xml:space="preserve"> de la Intendencia de </w:t>
      </w:r>
      <w:r w:rsidR="00E60184">
        <w:t>Rocha</w:t>
      </w:r>
      <w:r>
        <w:t xml:space="preserve"> correspondiente al período 201</w:t>
      </w:r>
      <w:r w:rsidR="000225F3">
        <w:t>8</w:t>
      </w:r>
      <w:r>
        <w:t>-2020 en los térmi</w:t>
      </w:r>
      <w:r w:rsidR="00723153">
        <w:t>nos del Dictamen que se adjunta;</w:t>
      </w:r>
    </w:p>
    <w:p w:rsidR="0076246A" w:rsidRPr="00E60184" w:rsidRDefault="0076246A" w:rsidP="0076246A">
      <w:pPr>
        <w:pStyle w:val="Textoindependiente"/>
        <w:numPr>
          <w:ilvl w:val="0"/>
          <w:numId w:val="1"/>
        </w:numPr>
        <w:tabs>
          <w:tab w:val="clear" w:pos="720"/>
          <w:tab w:val="num" w:pos="360"/>
        </w:tabs>
        <w:ind w:left="360"/>
      </w:pPr>
      <w:r w:rsidRPr="00E60184">
        <w:t>Observar el referido documento por lo expresado en</w:t>
      </w:r>
      <w:r w:rsidR="000225F3" w:rsidRPr="00E60184">
        <w:t xml:space="preserve"> </w:t>
      </w:r>
      <w:r w:rsidR="00CA375E" w:rsidRPr="00E60184">
        <w:t>l</w:t>
      </w:r>
      <w:r w:rsidR="00133E56">
        <w:t>os</w:t>
      </w:r>
      <w:r w:rsidR="000225F3" w:rsidRPr="00E60184">
        <w:t xml:space="preserve"> párrafo</w:t>
      </w:r>
      <w:r w:rsidR="00133E56">
        <w:t>s 2.2), 2.4) y</w:t>
      </w:r>
      <w:r w:rsidR="00826FA4" w:rsidRPr="00E60184">
        <w:t xml:space="preserve"> </w:t>
      </w:r>
      <w:r w:rsidR="00CA375E" w:rsidRPr="00E60184">
        <w:t>3.3</w:t>
      </w:r>
      <w:r w:rsidR="000225F3" w:rsidRPr="00E60184">
        <w:t>)</w:t>
      </w:r>
      <w:r w:rsidR="00826FA4" w:rsidRPr="00E60184">
        <w:t xml:space="preserve"> </w:t>
      </w:r>
      <w:r w:rsidR="00723153">
        <w:t>del Dictamen;</w:t>
      </w:r>
    </w:p>
    <w:p w:rsidR="0076246A" w:rsidRPr="00E60184" w:rsidRDefault="0076246A" w:rsidP="0076246A">
      <w:pPr>
        <w:pStyle w:val="Textoindependiente"/>
        <w:numPr>
          <w:ilvl w:val="0"/>
          <w:numId w:val="1"/>
        </w:numPr>
        <w:tabs>
          <w:tab w:val="clear" w:pos="720"/>
          <w:tab w:val="num" w:pos="360"/>
        </w:tabs>
        <w:ind w:left="360"/>
      </w:pPr>
      <w:r w:rsidRPr="00E60184">
        <w:t xml:space="preserve">Téngase presente lo establecido en </w:t>
      </w:r>
      <w:r w:rsidR="00112201">
        <w:t xml:space="preserve">el </w:t>
      </w:r>
      <w:r w:rsidRPr="00E60184">
        <w:t>párrafo</w:t>
      </w:r>
      <w:r w:rsidR="00826FA4" w:rsidRPr="00E60184">
        <w:t xml:space="preserve"> </w:t>
      </w:r>
      <w:r w:rsidR="00E60184" w:rsidRPr="00E60184">
        <w:t>3</w:t>
      </w:r>
      <w:r w:rsidR="00CA375E" w:rsidRPr="00E60184">
        <w:t>.</w:t>
      </w:r>
      <w:r w:rsidR="00E60184" w:rsidRPr="00E60184">
        <w:t>4</w:t>
      </w:r>
      <w:r w:rsidR="00826FA4" w:rsidRPr="00E60184">
        <w:t xml:space="preserve">) </w:t>
      </w:r>
      <w:r w:rsidRPr="00E60184">
        <w:t xml:space="preserve"> del Dictamen</w:t>
      </w:r>
      <w:r w:rsidR="00723153">
        <w:t>;</w:t>
      </w:r>
    </w:p>
    <w:p w:rsidR="0076246A" w:rsidRDefault="0076246A" w:rsidP="0076246A">
      <w:pPr>
        <w:pStyle w:val="Textoindependiente"/>
        <w:numPr>
          <w:ilvl w:val="0"/>
          <w:numId w:val="1"/>
        </w:numPr>
        <w:tabs>
          <w:tab w:val="clear" w:pos="720"/>
          <w:tab w:val="num" w:pos="360"/>
        </w:tabs>
        <w:ind w:left="360"/>
      </w:pPr>
      <w:r>
        <w:t xml:space="preserve"> Comunicar la presente Resolución a la Intendencia de </w:t>
      </w:r>
      <w:r w:rsidR="00E60184">
        <w:t>Rocha</w:t>
      </w:r>
      <w:r w:rsidR="00723153">
        <w:t>;</w:t>
      </w:r>
    </w:p>
    <w:p w:rsidR="0076246A" w:rsidRDefault="0076246A" w:rsidP="0076246A">
      <w:pPr>
        <w:pStyle w:val="Textoindependiente"/>
        <w:numPr>
          <w:ilvl w:val="0"/>
          <w:numId w:val="1"/>
        </w:numPr>
        <w:tabs>
          <w:tab w:val="clear" w:pos="720"/>
          <w:tab w:val="num" w:pos="360"/>
        </w:tabs>
        <w:ind w:left="360"/>
      </w:pPr>
      <w:r>
        <w:t xml:space="preserve">Devolver los antecedentes a la Junta Departamental de </w:t>
      </w:r>
      <w:r w:rsidR="00E60184">
        <w:t>Rocha</w:t>
      </w:r>
      <w:r>
        <w:t>.</w:t>
      </w:r>
    </w:p>
    <w:p w:rsidR="0076246A" w:rsidRDefault="0076246A" w:rsidP="0076246A">
      <w:pPr>
        <w:pStyle w:val="Textoindependiente"/>
        <w:rPr>
          <w:highlight w:val="yellow"/>
        </w:rPr>
      </w:pPr>
    </w:p>
    <w:p w:rsidR="00AF7D40" w:rsidRDefault="00723153" w:rsidP="00C556D7">
      <w:pPr>
        <w:spacing w:line="360" w:lineRule="auto"/>
        <w:jc w:val="both"/>
      </w:pPr>
      <w:proofErr w:type="spellStart"/>
      <w:proofErr w:type="gramStart"/>
      <w:r>
        <w:t>ag</w:t>
      </w:r>
      <w:proofErr w:type="spellEnd"/>
      <w:proofErr w:type="gramEnd"/>
    </w:p>
    <w:p w:rsidR="007B3964" w:rsidRDefault="007B3964" w:rsidP="00C556D7">
      <w:pPr>
        <w:spacing w:line="360" w:lineRule="auto"/>
        <w:jc w:val="both"/>
      </w:pPr>
    </w:p>
    <w:p w:rsidR="007B3964" w:rsidRDefault="007B3964" w:rsidP="00C556D7">
      <w:pPr>
        <w:spacing w:line="360" w:lineRule="auto"/>
        <w:jc w:val="both"/>
      </w:pPr>
    </w:p>
    <w:p w:rsidR="007B3964" w:rsidRDefault="007B3964">
      <w:pPr>
        <w:pStyle w:val="Ttulo1"/>
        <w:spacing w:line="360" w:lineRule="auto"/>
      </w:pPr>
      <w:r>
        <w:lastRenderedPageBreak/>
        <w:t>DICTAMEN</w:t>
      </w:r>
    </w:p>
    <w:p w:rsidR="007B3964" w:rsidRDefault="007B3964">
      <w:pPr>
        <w:pStyle w:val="Ttulo2"/>
        <w:tabs>
          <w:tab w:val="left" w:pos="7080"/>
        </w:tabs>
      </w:pPr>
    </w:p>
    <w:p w:rsidR="007B3964" w:rsidRDefault="007B3964">
      <w:pPr>
        <w:rPr>
          <w:b/>
        </w:rPr>
      </w:pPr>
    </w:p>
    <w:p w:rsidR="007B3964" w:rsidRDefault="007B3964">
      <w:pPr>
        <w:spacing w:line="360" w:lineRule="auto"/>
        <w:jc w:val="both"/>
        <w:rPr>
          <w:highlight w:val="yellow"/>
        </w:rPr>
      </w:pPr>
      <w:r>
        <w:t>El Tribunal de Cuentas ha examinado el Proyecto de Modificación Presupuestal para el período 2018-2020 de la Intendencia de Rocha. Toda la  información incluida en el referido Proyecto y los supuestos sobre los que se basa, son responsabilidad del Organismo que los emite. La responsabilidad del Tribunal de Cuentas es expresar una opinión sobre dicho Proyecto de Modificación Presupuestal, de acuerdo a lo dispuesto por los Artículos 211 Literal A) y 225 de la Constitución de la República y establecer en caso que corresponda, los hallazgos realizados en relación con el cumplimiento de las normas constitucionales, legales y reglamen</w:t>
      </w:r>
      <w:r w:rsidR="00191703">
        <w:t>tarias que resulten aplicables.</w:t>
      </w:r>
    </w:p>
    <w:p w:rsidR="007B3964" w:rsidRDefault="007B3964">
      <w:pPr>
        <w:spacing w:line="360" w:lineRule="auto"/>
        <w:jc w:val="both"/>
        <w:rPr>
          <w:b/>
        </w:rPr>
      </w:pPr>
    </w:p>
    <w:p w:rsidR="007B3964" w:rsidRDefault="00191703">
      <w:pPr>
        <w:spacing w:line="360" w:lineRule="auto"/>
        <w:jc w:val="both"/>
        <w:rPr>
          <w:rFonts w:cs="Arial"/>
          <w:b/>
        </w:rPr>
      </w:pPr>
      <w:r>
        <w:rPr>
          <w:rFonts w:cs="Arial"/>
          <w:b/>
        </w:rPr>
        <w:t>1) Antecedentes</w:t>
      </w:r>
    </w:p>
    <w:p w:rsidR="007B3964" w:rsidRDefault="007B3964" w:rsidP="0038063B">
      <w:pPr>
        <w:spacing w:line="360" w:lineRule="auto"/>
        <w:jc w:val="both"/>
        <w:rPr>
          <w:rFonts w:cs="Arial"/>
          <w:b/>
        </w:rPr>
      </w:pPr>
    </w:p>
    <w:p w:rsidR="007B3964" w:rsidRPr="005F43EF" w:rsidRDefault="007B3964" w:rsidP="00060DF3">
      <w:pPr>
        <w:pStyle w:val="Textoindependiente2"/>
        <w:rPr>
          <w:rFonts w:ascii="Arial" w:hAnsi="Arial" w:cs="Arial"/>
        </w:rPr>
      </w:pPr>
      <w:r w:rsidRPr="00060DF3">
        <w:rPr>
          <w:rFonts w:ascii="Arial" w:hAnsi="Arial" w:cs="Arial"/>
          <w:b/>
          <w:lang w:val="es-ES"/>
        </w:rPr>
        <w:t>1.1)</w:t>
      </w:r>
      <w:r w:rsidRPr="005F43EF">
        <w:rPr>
          <w:rFonts w:ascii="Arial" w:hAnsi="Arial" w:cs="Arial"/>
        </w:rPr>
        <w:t xml:space="preserve"> El Proyecto de Modificación Presupuestal ingres</w:t>
      </w:r>
      <w:r>
        <w:rPr>
          <w:rFonts w:ascii="Arial" w:hAnsi="Arial" w:cs="Arial"/>
        </w:rPr>
        <w:t xml:space="preserve">ó a la Junta </w:t>
      </w:r>
      <w:r w:rsidRPr="005F43EF">
        <w:rPr>
          <w:rFonts w:ascii="Arial" w:hAnsi="Arial" w:cs="Arial"/>
        </w:rPr>
        <w:t>Depa</w:t>
      </w:r>
      <w:r w:rsidR="00191703">
        <w:rPr>
          <w:rFonts w:ascii="Arial" w:hAnsi="Arial" w:cs="Arial"/>
        </w:rPr>
        <w:t>rtamental de Rocha el 30/06/17.</w:t>
      </w:r>
    </w:p>
    <w:p w:rsidR="007B3964" w:rsidRDefault="007B3964" w:rsidP="00E82070">
      <w:pPr>
        <w:spacing w:line="360" w:lineRule="auto"/>
        <w:ind w:left="720"/>
        <w:jc w:val="both"/>
        <w:rPr>
          <w:rFonts w:cs="Arial"/>
          <w:bCs/>
          <w:snapToGrid w:val="0"/>
          <w:szCs w:val="20"/>
          <w:lang w:val="es-ES_tradnl"/>
        </w:rPr>
      </w:pPr>
    </w:p>
    <w:p w:rsidR="007B3964" w:rsidRDefault="007B3964">
      <w:pPr>
        <w:pStyle w:val="Textoindependiente2"/>
        <w:rPr>
          <w:rFonts w:ascii="Arial" w:hAnsi="Arial" w:cs="Arial"/>
        </w:rPr>
      </w:pPr>
      <w:r w:rsidRPr="005F43EF">
        <w:rPr>
          <w:rFonts w:ascii="Arial" w:hAnsi="Arial" w:cs="Arial"/>
          <w:b/>
        </w:rPr>
        <w:t>1.2)</w:t>
      </w:r>
      <w:r>
        <w:rPr>
          <w:rFonts w:ascii="Arial" w:hAnsi="Arial" w:cs="Arial"/>
        </w:rPr>
        <w:t xml:space="preserve"> El Legislativo Departamental, en sesión de fecha 19/09/17, aprobó con modificaciones, en general por mayoría de 16 votos en 31 ediles presentes, y en particular, por las mayorías requeridas, el Proyecto de Modificación Presupuestal de la Intendencia a regir desde el 1º de enero de 2018.</w:t>
      </w:r>
    </w:p>
    <w:p w:rsidR="007B3964" w:rsidRDefault="007B3964">
      <w:pPr>
        <w:pStyle w:val="Textoindependiente2"/>
        <w:rPr>
          <w:rFonts w:ascii="Arial" w:hAnsi="Arial" w:cs="Arial"/>
          <w:b/>
        </w:rPr>
      </w:pPr>
    </w:p>
    <w:p w:rsidR="007B3964" w:rsidRDefault="007B3964">
      <w:pPr>
        <w:pStyle w:val="Textoindependiente2"/>
        <w:rPr>
          <w:rFonts w:ascii="Arial" w:hAnsi="Arial" w:cs="Arial"/>
        </w:rPr>
      </w:pPr>
      <w:r w:rsidRPr="00586435">
        <w:rPr>
          <w:rFonts w:ascii="Arial" w:hAnsi="Arial" w:cs="Arial"/>
          <w:b/>
        </w:rPr>
        <w:t>1.</w:t>
      </w:r>
      <w:r>
        <w:rPr>
          <w:rFonts w:ascii="Arial" w:hAnsi="Arial" w:cs="Arial"/>
          <w:b/>
        </w:rPr>
        <w:t>3</w:t>
      </w:r>
      <w:r w:rsidRPr="00586435">
        <w:rPr>
          <w:rFonts w:ascii="Arial" w:hAnsi="Arial" w:cs="Arial"/>
          <w:b/>
        </w:rPr>
        <w:t>)</w:t>
      </w:r>
      <w:r>
        <w:rPr>
          <w:rFonts w:ascii="Arial" w:hAnsi="Arial" w:cs="Arial"/>
        </w:rPr>
        <w:t xml:space="preserve"> </w:t>
      </w:r>
      <w:r w:rsidRPr="00355E5F">
        <w:rPr>
          <w:rFonts w:ascii="Arial" w:hAnsi="Arial" w:cs="Arial"/>
        </w:rPr>
        <w:t xml:space="preserve">Por Oficio Nº </w:t>
      </w:r>
      <w:r>
        <w:rPr>
          <w:rFonts w:ascii="Arial" w:hAnsi="Arial" w:cs="Arial"/>
        </w:rPr>
        <w:t>33</w:t>
      </w:r>
      <w:r w:rsidRPr="00355E5F">
        <w:rPr>
          <w:rFonts w:ascii="Arial" w:hAnsi="Arial" w:cs="Arial"/>
        </w:rPr>
        <w:t xml:space="preserve">4/2017 del </w:t>
      </w:r>
      <w:r>
        <w:rPr>
          <w:rFonts w:ascii="Arial" w:hAnsi="Arial" w:cs="Arial"/>
        </w:rPr>
        <w:t>20</w:t>
      </w:r>
      <w:r w:rsidRPr="00355E5F">
        <w:rPr>
          <w:rFonts w:ascii="Arial" w:hAnsi="Arial" w:cs="Arial"/>
        </w:rPr>
        <w:t>/09/17</w:t>
      </w:r>
      <w:r>
        <w:rPr>
          <w:rFonts w:ascii="Arial" w:hAnsi="Arial" w:cs="Arial"/>
        </w:rPr>
        <w:t>, la Junta Departamental de Rocha remitió las actuaciones a efectos de recabar el dictamen de este Tribunal, ingresando las mismas oficialmente en sesión del 27/09/17 (Ordenanza Nro. 51 de fecha 22/11/72).</w:t>
      </w:r>
    </w:p>
    <w:p w:rsidR="007B3964" w:rsidRDefault="007B3964">
      <w:pPr>
        <w:pStyle w:val="Textoindependiente2"/>
        <w:rPr>
          <w:rFonts w:ascii="Arial" w:hAnsi="Arial" w:cs="Arial"/>
        </w:rPr>
      </w:pPr>
    </w:p>
    <w:p w:rsidR="00191703" w:rsidRDefault="00191703">
      <w:pPr>
        <w:pStyle w:val="Textoindependiente2"/>
        <w:rPr>
          <w:rFonts w:ascii="Arial" w:hAnsi="Arial" w:cs="Arial"/>
        </w:rPr>
      </w:pPr>
    </w:p>
    <w:p w:rsidR="00191703" w:rsidRDefault="00191703">
      <w:pPr>
        <w:pStyle w:val="Textoindependiente2"/>
        <w:rPr>
          <w:rFonts w:ascii="Arial" w:hAnsi="Arial" w:cs="Arial"/>
        </w:rPr>
      </w:pPr>
    </w:p>
    <w:p w:rsidR="007B3964" w:rsidRDefault="007B3964">
      <w:pPr>
        <w:spacing w:line="360" w:lineRule="auto"/>
        <w:jc w:val="both"/>
        <w:rPr>
          <w:b/>
        </w:rPr>
      </w:pPr>
      <w:r>
        <w:rPr>
          <w:b/>
          <w:lang w:val="es-ES_tradnl"/>
        </w:rPr>
        <w:t>2)</w:t>
      </w:r>
      <w:r>
        <w:rPr>
          <w:b/>
        </w:rPr>
        <w:t xml:space="preserve"> Análisis de las estimaciones de recursos y gastos</w:t>
      </w:r>
    </w:p>
    <w:p w:rsidR="007B3964" w:rsidRDefault="007B3964" w:rsidP="00C17725">
      <w:pPr>
        <w:pStyle w:val="Textoindependiente"/>
        <w:rPr>
          <w:b/>
        </w:rPr>
      </w:pPr>
    </w:p>
    <w:p w:rsidR="007B3964" w:rsidRDefault="007B3964" w:rsidP="00C17725">
      <w:pPr>
        <w:pStyle w:val="Textoindependiente"/>
        <w:rPr>
          <w:szCs w:val="20"/>
        </w:rPr>
      </w:pPr>
      <w:r w:rsidRPr="00E21AC6">
        <w:rPr>
          <w:b/>
        </w:rPr>
        <w:t>2.1)</w:t>
      </w:r>
      <w:r>
        <w:t xml:space="preserve"> Las proyecciones de recursos para los ejercicios 2018 - 2020 prevén una reducción en los ingresos de origen departamental y un incremento por los mismos importes en los recursos de origen nacional, en un rubro </w:t>
      </w:r>
      <w:r w:rsidRPr="00202E79">
        <w:rPr>
          <w:szCs w:val="20"/>
        </w:rPr>
        <w:t>denominado “Subsidio Alumbrado Público”.</w:t>
      </w:r>
      <w:r>
        <w:rPr>
          <w:szCs w:val="20"/>
        </w:rPr>
        <w:t xml:space="preserve"> En consecuencia, los totales generales de recursos no tienen ninguna modificación r</w:t>
      </w:r>
      <w:r w:rsidR="00191703">
        <w:rPr>
          <w:szCs w:val="20"/>
        </w:rPr>
        <w:t>especto al presupuesto vigente.</w:t>
      </w:r>
    </w:p>
    <w:p w:rsidR="007B3964" w:rsidRDefault="007B3964" w:rsidP="00C17725">
      <w:pPr>
        <w:pStyle w:val="Textoindependiente"/>
        <w:rPr>
          <w:szCs w:val="20"/>
        </w:rPr>
      </w:pPr>
    </w:p>
    <w:p w:rsidR="007B3964" w:rsidRDefault="007B3964" w:rsidP="00661321">
      <w:pPr>
        <w:pStyle w:val="Textoindependiente"/>
      </w:pPr>
      <w:r w:rsidRPr="00D66D97">
        <w:rPr>
          <w:b/>
          <w:szCs w:val="20"/>
        </w:rPr>
        <w:t>2.2)</w:t>
      </w:r>
      <w:r>
        <w:rPr>
          <w:szCs w:val="20"/>
        </w:rPr>
        <w:t xml:space="preserve"> Las estimaciones de recursos para los Ejercicios 2018-2020 no fueron presentadas en forma comparativa con la previsión vigente, tal como lo establece el Artículo 216 de la Constitución de la República. Las mismas s</w:t>
      </w:r>
      <w:r>
        <w:t>e resumen a continuación, expresadas en p</w:t>
      </w:r>
      <w:r w:rsidR="00191703">
        <w:t>esos uruguayos:</w:t>
      </w:r>
    </w:p>
    <w:p w:rsidR="007B3964" w:rsidRDefault="007B3964" w:rsidP="009B46AF">
      <w:pPr>
        <w:pStyle w:val="Textoindependiente"/>
      </w:pPr>
    </w:p>
    <w:tbl>
      <w:tblPr>
        <w:tblW w:w="873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
        <w:gridCol w:w="957"/>
        <w:gridCol w:w="1310"/>
        <w:gridCol w:w="2015"/>
        <w:gridCol w:w="2123"/>
        <w:gridCol w:w="1841"/>
      </w:tblGrid>
      <w:tr w:rsidR="007B3964" w:rsidRPr="001A70CB" w:rsidTr="00661321">
        <w:trPr>
          <w:gridBefore w:val="1"/>
          <w:wBefore w:w="487" w:type="dxa"/>
          <w:jc w:val="center"/>
        </w:trPr>
        <w:tc>
          <w:tcPr>
            <w:tcW w:w="2267" w:type="dxa"/>
            <w:gridSpan w:val="2"/>
          </w:tcPr>
          <w:p w:rsidR="007B3964" w:rsidRPr="001A70CB" w:rsidRDefault="007B3964" w:rsidP="0022581F">
            <w:pPr>
              <w:widowControl w:val="0"/>
              <w:spacing w:line="360" w:lineRule="auto"/>
              <w:jc w:val="both"/>
              <w:rPr>
                <w:szCs w:val="20"/>
                <w:lang w:val="es-ES_tradnl"/>
              </w:rPr>
            </w:pPr>
          </w:p>
        </w:tc>
        <w:tc>
          <w:tcPr>
            <w:tcW w:w="2015" w:type="dxa"/>
          </w:tcPr>
          <w:p w:rsidR="007B3964" w:rsidRPr="005611C1" w:rsidRDefault="007B3964" w:rsidP="0022581F">
            <w:pPr>
              <w:widowControl w:val="0"/>
              <w:spacing w:line="360" w:lineRule="auto"/>
              <w:jc w:val="center"/>
              <w:rPr>
                <w:b/>
                <w:sz w:val="20"/>
                <w:szCs w:val="20"/>
                <w:lang w:val="es-ES_tradnl"/>
              </w:rPr>
            </w:pPr>
            <w:r w:rsidRPr="005611C1">
              <w:rPr>
                <w:b/>
                <w:sz w:val="20"/>
                <w:szCs w:val="20"/>
                <w:lang w:val="es-ES_tradnl"/>
              </w:rPr>
              <w:t>Proyectado 2018</w:t>
            </w:r>
          </w:p>
        </w:tc>
        <w:tc>
          <w:tcPr>
            <w:tcW w:w="2123" w:type="dxa"/>
          </w:tcPr>
          <w:p w:rsidR="007B3964" w:rsidRPr="005611C1" w:rsidRDefault="007B3964" w:rsidP="0022581F">
            <w:pPr>
              <w:widowControl w:val="0"/>
              <w:spacing w:line="360" w:lineRule="auto"/>
              <w:jc w:val="center"/>
              <w:rPr>
                <w:b/>
                <w:sz w:val="20"/>
                <w:szCs w:val="20"/>
                <w:lang w:val="es-ES_tradnl"/>
              </w:rPr>
            </w:pPr>
            <w:r w:rsidRPr="005611C1">
              <w:rPr>
                <w:b/>
                <w:sz w:val="20"/>
                <w:szCs w:val="20"/>
                <w:lang w:val="es-ES_tradnl"/>
              </w:rPr>
              <w:t>Proyectado 2019</w:t>
            </w:r>
          </w:p>
        </w:tc>
        <w:tc>
          <w:tcPr>
            <w:tcW w:w="1841" w:type="dxa"/>
          </w:tcPr>
          <w:p w:rsidR="007B3964" w:rsidRPr="005611C1" w:rsidRDefault="007B3964" w:rsidP="0022581F">
            <w:pPr>
              <w:widowControl w:val="0"/>
              <w:spacing w:line="360" w:lineRule="auto"/>
              <w:jc w:val="center"/>
              <w:rPr>
                <w:b/>
                <w:sz w:val="20"/>
                <w:szCs w:val="20"/>
                <w:lang w:val="es-ES_tradnl"/>
              </w:rPr>
            </w:pPr>
            <w:r w:rsidRPr="005611C1">
              <w:rPr>
                <w:b/>
                <w:sz w:val="20"/>
                <w:szCs w:val="20"/>
                <w:lang w:val="es-ES_tradnl"/>
              </w:rPr>
              <w:t>Proyectado 2020</w:t>
            </w:r>
          </w:p>
        </w:tc>
      </w:tr>
      <w:tr w:rsidR="007B3964" w:rsidRPr="001A70CB" w:rsidTr="00661321">
        <w:trPr>
          <w:gridBefore w:val="1"/>
          <w:wBefore w:w="487" w:type="dxa"/>
          <w:jc w:val="center"/>
        </w:trPr>
        <w:tc>
          <w:tcPr>
            <w:tcW w:w="2267" w:type="dxa"/>
            <w:gridSpan w:val="2"/>
          </w:tcPr>
          <w:p w:rsidR="007B3964" w:rsidRPr="001A70CB" w:rsidRDefault="007B3964" w:rsidP="0022581F">
            <w:pPr>
              <w:widowControl w:val="0"/>
              <w:spacing w:line="360" w:lineRule="auto"/>
              <w:jc w:val="both"/>
              <w:rPr>
                <w:szCs w:val="20"/>
                <w:lang w:val="es-ES_tradnl"/>
              </w:rPr>
            </w:pPr>
            <w:r w:rsidRPr="001A70CB">
              <w:rPr>
                <w:szCs w:val="20"/>
                <w:lang w:val="es-ES_tradnl"/>
              </w:rPr>
              <w:t xml:space="preserve">De origen </w:t>
            </w:r>
            <w:proofErr w:type="spellStart"/>
            <w:r w:rsidRPr="001A70CB">
              <w:rPr>
                <w:szCs w:val="20"/>
                <w:lang w:val="es-ES_tradnl"/>
              </w:rPr>
              <w:t>Deptal</w:t>
            </w:r>
            <w:proofErr w:type="spellEnd"/>
            <w:r w:rsidRPr="001A70CB">
              <w:rPr>
                <w:szCs w:val="20"/>
                <w:lang w:val="es-ES_tradnl"/>
              </w:rPr>
              <w:t>.</w:t>
            </w:r>
          </w:p>
        </w:tc>
        <w:tc>
          <w:tcPr>
            <w:tcW w:w="2015" w:type="dxa"/>
          </w:tcPr>
          <w:p w:rsidR="007B3964" w:rsidRPr="001A70CB" w:rsidRDefault="007B3964" w:rsidP="0022581F">
            <w:pPr>
              <w:widowControl w:val="0"/>
              <w:spacing w:line="360" w:lineRule="auto"/>
              <w:jc w:val="right"/>
              <w:rPr>
                <w:szCs w:val="20"/>
                <w:lang w:val="es-ES_tradnl"/>
              </w:rPr>
            </w:pPr>
            <w:r>
              <w:rPr>
                <w:szCs w:val="20"/>
                <w:lang w:val="es-ES_tradnl"/>
              </w:rPr>
              <w:t>1.250.971.371</w:t>
            </w:r>
          </w:p>
        </w:tc>
        <w:tc>
          <w:tcPr>
            <w:tcW w:w="2123" w:type="dxa"/>
          </w:tcPr>
          <w:p w:rsidR="007B3964" w:rsidRPr="001A70CB" w:rsidRDefault="007B3964" w:rsidP="0022581F">
            <w:pPr>
              <w:widowControl w:val="0"/>
              <w:spacing w:line="360" w:lineRule="auto"/>
              <w:jc w:val="right"/>
              <w:rPr>
                <w:szCs w:val="20"/>
                <w:lang w:val="es-ES_tradnl"/>
              </w:rPr>
            </w:pPr>
            <w:r>
              <w:rPr>
                <w:szCs w:val="20"/>
                <w:lang w:val="es-ES_tradnl"/>
              </w:rPr>
              <w:t>1.363.558.795</w:t>
            </w:r>
          </w:p>
        </w:tc>
        <w:tc>
          <w:tcPr>
            <w:tcW w:w="1841" w:type="dxa"/>
          </w:tcPr>
          <w:p w:rsidR="007B3964" w:rsidRPr="001A70CB" w:rsidRDefault="007B3964" w:rsidP="0022581F">
            <w:pPr>
              <w:widowControl w:val="0"/>
              <w:spacing w:line="360" w:lineRule="auto"/>
              <w:jc w:val="right"/>
              <w:rPr>
                <w:szCs w:val="20"/>
                <w:lang w:val="es-ES_tradnl"/>
              </w:rPr>
            </w:pPr>
            <w:r>
              <w:rPr>
                <w:szCs w:val="20"/>
                <w:lang w:val="es-ES_tradnl"/>
              </w:rPr>
              <w:t>1.486.279.086</w:t>
            </w:r>
          </w:p>
        </w:tc>
      </w:tr>
      <w:tr w:rsidR="007B3964" w:rsidRPr="001A70CB" w:rsidTr="00661321">
        <w:trPr>
          <w:gridBefore w:val="1"/>
          <w:wBefore w:w="487" w:type="dxa"/>
          <w:jc w:val="center"/>
        </w:trPr>
        <w:tc>
          <w:tcPr>
            <w:tcW w:w="2267" w:type="dxa"/>
            <w:gridSpan w:val="2"/>
          </w:tcPr>
          <w:p w:rsidR="007B3964" w:rsidRPr="001A70CB" w:rsidRDefault="007B3964" w:rsidP="0022581F">
            <w:pPr>
              <w:widowControl w:val="0"/>
              <w:spacing w:line="360" w:lineRule="auto"/>
              <w:jc w:val="both"/>
              <w:rPr>
                <w:szCs w:val="20"/>
                <w:lang w:val="es-ES_tradnl"/>
              </w:rPr>
            </w:pPr>
            <w:r w:rsidRPr="001A70CB">
              <w:rPr>
                <w:szCs w:val="20"/>
                <w:lang w:val="es-ES_tradnl"/>
              </w:rPr>
              <w:t>De origen Nacional</w:t>
            </w:r>
          </w:p>
        </w:tc>
        <w:tc>
          <w:tcPr>
            <w:tcW w:w="2015" w:type="dxa"/>
          </w:tcPr>
          <w:p w:rsidR="007B3964" w:rsidRPr="001A70CB" w:rsidRDefault="007B3964" w:rsidP="0022581F">
            <w:pPr>
              <w:widowControl w:val="0"/>
              <w:spacing w:line="360" w:lineRule="auto"/>
              <w:jc w:val="right"/>
              <w:rPr>
                <w:szCs w:val="20"/>
                <w:lang w:val="es-ES_tradnl"/>
              </w:rPr>
            </w:pPr>
            <w:r>
              <w:rPr>
                <w:szCs w:val="20"/>
                <w:lang w:val="es-ES_tradnl"/>
              </w:rPr>
              <w:t>845.205.827</w:t>
            </w:r>
          </w:p>
        </w:tc>
        <w:tc>
          <w:tcPr>
            <w:tcW w:w="2123" w:type="dxa"/>
          </w:tcPr>
          <w:p w:rsidR="007B3964" w:rsidRPr="001A70CB" w:rsidRDefault="007B3964" w:rsidP="0022581F">
            <w:pPr>
              <w:widowControl w:val="0"/>
              <w:spacing w:line="360" w:lineRule="auto"/>
              <w:jc w:val="right"/>
              <w:rPr>
                <w:szCs w:val="20"/>
                <w:lang w:val="es-ES_tradnl"/>
              </w:rPr>
            </w:pPr>
            <w:r>
              <w:rPr>
                <w:szCs w:val="20"/>
                <w:lang w:val="es-ES_tradnl"/>
              </w:rPr>
              <w:t>910.415.842</w:t>
            </w:r>
          </w:p>
        </w:tc>
        <w:tc>
          <w:tcPr>
            <w:tcW w:w="1841" w:type="dxa"/>
          </w:tcPr>
          <w:p w:rsidR="007B3964" w:rsidRPr="001A70CB" w:rsidRDefault="007B3964" w:rsidP="0022581F">
            <w:pPr>
              <w:widowControl w:val="0"/>
              <w:spacing w:line="360" w:lineRule="auto"/>
              <w:jc w:val="right"/>
              <w:rPr>
                <w:szCs w:val="20"/>
                <w:lang w:val="es-ES_tradnl"/>
              </w:rPr>
            </w:pPr>
            <w:r>
              <w:rPr>
                <w:szCs w:val="20"/>
                <w:lang w:val="es-ES_tradnl"/>
              </w:rPr>
              <w:t>858.309.683</w:t>
            </w:r>
          </w:p>
        </w:tc>
      </w:tr>
      <w:tr w:rsidR="007B3964" w:rsidRPr="001A70CB" w:rsidTr="00661321">
        <w:trPr>
          <w:gridBefore w:val="1"/>
          <w:wBefore w:w="487" w:type="dxa"/>
          <w:jc w:val="center"/>
        </w:trPr>
        <w:tc>
          <w:tcPr>
            <w:tcW w:w="2267" w:type="dxa"/>
            <w:gridSpan w:val="2"/>
          </w:tcPr>
          <w:p w:rsidR="007B3964" w:rsidRPr="001A70CB" w:rsidRDefault="007B3964" w:rsidP="0022581F">
            <w:pPr>
              <w:widowControl w:val="0"/>
              <w:spacing w:line="360" w:lineRule="auto"/>
              <w:jc w:val="both"/>
              <w:rPr>
                <w:b/>
                <w:szCs w:val="20"/>
                <w:lang w:val="es-ES_tradnl"/>
              </w:rPr>
            </w:pPr>
            <w:r w:rsidRPr="001A70CB">
              <w:rPr>
                <w:b/>
                <w:szCs w:val="20"/>
                <w:lang w:val="es-ES_tradnl"/>
              </w:rPr>
              <w:t>Totales</w:t>
            </w:r>
          </w:p>
        </w:tc>
        <w:tc>
          <w:tcPr>
            <w:tcW w:w="2015" w:type="dxa"/>
          </w:tcPr>
          <w:p w:rsidR="007B3964" w:rsidRPr="001A70CB" w:rsidRDefault="007B3964" w:rsidP="0022581F">
            <w:pPr>
              <w:widowControl w:val="0"/>
              <w:spacing w:line="360" w:lineRule="auto"/>
              <w:jc w:val="right"/>
              <w:rPr>
                <w:b/>
                <w:szCs w:val="20"/>
                <w:lang w:val="es-ES_tradnl"/>
              </w:rPr>
            </w:pPr>
            <w:r>
              <w:rPr>
                <w:b/>
                <w:szCs w:val="20"/>
                <w:lang w:val="es-ES_tradnl"/>
              </w:rPr>
              <w:t>2.096.177.198</w:t>
            </w:r>
          </w:p>
        </w:tc>
        <w:tc>
          <w:tcPr>
            <w:tcW w:w="2123" w:type="dxa"/>
          </w:tcPr>
          <w:p w:rsidR="007B3964" w:rsidRPr="001A70CB" w:rsidRDefault="007B3964" w:rsidP="0022581F">
            <w:pPr>
              <w:widowControl w:val="0"/>
              <w:spacing w:line="360" w:lineRule="auto"/>
              <w:jc w:val="right"/>
              <w:rPr>
                <w:b/>
                <w:szCs w:val="20"/>
                <w:lang w:val="es-ES_tradnl"/>
              </w:rPr>
            </w:pPr>
            <w:r>
              <w:rPr>
                <w:b/>
                <w:szCs w:val="20"/>
                <w:lang w:val="es-ES_tradnl"/>
              </w:rPr>
              <w:t>2.273.974.637</w:t>
            </w:r>
          </w:p>
        </w:tc>
        <w:tc>
          <w:tcPr>
            <w:tcW w:w="1841" w:type="dxa"/>
          </w:tcPr>
          <w:p w:rsidR="007B3964" w:rsidRPr="001A70CB" w:rsidRDefault="007B3964" w:rsidP="0022581F">
            <w:pPr>
              <w:widowControl w:val="0"/>
              <w:spacing w:line="360" w:lineRule="auto"/>
              <w:jc w:val="right"/>
              <w:rPr>
                <w:b/>
                <w:szCs w:val="20"/>
                <w:lang w:val="es-ES_tradnl"/>
              </w:rPr>
            </w:pPr>
            <w:r>
              <w:rPr>
                <w:b/>
                <w:szCs w:val="20"/>
                <w:lang w:val="es-ES_tradnl"/>
              </w:rPr>
              <w:t>2.344.588.769</w:t>
            </w:r>
          </w:p>
        </w:tc>
      </w:tr>
      <w:tr w:rsidR="007B3964" w:rsidRPr="00C17725" w:rsidTr="0066132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7289" w:type="dxa"/>
          <w:trHeight w:val="255"/>
        </w:trPr>
        <w:tc>
          <w:tcPr>
            <w:tcW w:w="1444" w:type="dxa"/>
            <w:gridSpan w:val="2"/>
            <w:tcBorders>
              <w:top w:val="nil"/>
              <w:left w:val="nil"/>
              <w:bottom w:val="nil"/>
              <w:right w:val="nil"/>
            </w:tcBorders>
            <w:shd w:val="clear" w:color="auto" w:fill="auto"/>
            <w:vAlign w:val="center"/>
          </w:tcPr>
          <w:p w:rsidR="007B3964" w:rsidRDefault="007B3964" w:rsidP="0050445E">
            <w:pPr>
              <w:pStyle w:val="Ttulo2"/>
              <w:jc w:val="both"/>
              <w:rPr>
                <w:lang w:eastAsia="pt-BR"/>
              </w:rPr>
            </w:pPr>
          </w:p>
          <w:p w:rsidR="007B3964" w:rsidRPr="009B46AF" w:rsidRDefault="007B3964" w:rsidP="009B46AF">
            <w:pPr>
              <w:rPr>
                <w:lang w:eastAsia="pt-BR"/>
              </w:rPr>
            </w:pPr>
          </w:p>
        </w:tc>
      </w:tr>
    </w:tbl>
    <w:p w:rsidR="007B3964" w:rsidRDefault="007B3964" w:rsidP="001A70CB">
      <w:pPr>
        <w:widowControl w:val="0"/>
        <w:spacing w:line="360" w:lineRule="auto"/>
        <w:jc w:val="both"/>
        <w:rPr>
          <w:szCs w:val="20"/>
        </w:rPr>
      </w:pPr>
      <w:r>
        <w:rPr>
          <w:b/>
          <w:szCs w:val="20"/>
        </w:rPr>
        <w:t>2</w:t>
      </w:r>
      <w:r w:rsidRPr="001A70CB">
        <w:rPr>
          <w:b/>
          <w:szCs w:val="20"/>
        </w:rPr>
        <w:t>.</w:t>
      </w:r>
      <w:r>
        <w:rPr>
          <w:b/>
          <w:szCs w:val="20"/>
        </w:rPr>
        <w:t>3</w:t>
      </w:r>
      <w:r w:rsidRPr="001A70CB">
        <w:rPr>
          <w:b/>
          <w:szCs w:val="20"/>
        </w:rPr>
        <w:t>)</w:t>
      </w:r>
      <w:r w:rsidRPr="001A70CB">
        <w:rPr>
          <w:szCs w:val="20"/>
        </w:rPr>
        <w:t xml:space="preserve"> </w:t>
      </w:r>
      <w:r>
        <w:rPr>
          <w:szCs w:val="20"/>
        </w:rPr>
        <w:t>No se proyecta ninguna modificación en las asignaciones presupuestales vigentes en el Presupuesto 2016-2020, no adjuntándose planillas al respecto.</w:t>
      </w:r>
    </w:p>
    <w:p w:rsidR="007B3964" w:rsidRDefault="007B3964" w:rsidP="001A70CB">
      <w:pPr>
        <w:widowControl w:val="0"/>
        <w:spacing w:line="360" w:lineRule="auto"/>
        <w:jc w:val="both"/>
        <w:rPr>
          <w:szCs w:val="20"/>
        </w:rPr>
      </w:pPr>
    </w:p>
    <w:p w:rsidR="007B3964" w:rsidRDefault="007B3964" w:rsidP="001A70CB">
      <w:pPr>
        <w:widowControl w:val="0"/>
        <w:spacing w:line="360" w:lineRule="auto"/>
        <w:jc w:val="both"/>
        <w:rPr>
          <w:szCs w:val="20"/>
        </w:rPr>
      </w:pPr>
      <w:r w:rsidRPr="004C3A2E">
        <w:rPr>
          <w:b/>
          <w:szCs w:val="20"/>
        </w:rPr>
        <w:t>2.4)</w:t>
      </w:r>
      <w:r>
        <w:rPr>
          <w:szCs w:val="20"/>
        </w:rPr>
        <w:t xml:space="preserve"> Al no presentarse  modificaciones respecto a las partidas presupuestales vigentes y mantenerse los mismos incumplimientos que en el Presupuesto Quinquenal 2016-2020, se reiteran las observaciones realizadas por este Tribunal expresadas en los párrafos 2.2), 2.3), 3.2), 3.3) y 3.5) al 3.8) del Dictamen del mencionado presupuesto y aprobadas en Resolución del 27/0</w:t>
      </w:r>
      <w:r w:rsidR="00191703">
        <w:rPr>
          <w:szCs w:val="20"/>
        </w:rPr>
        <w:t>4/2016.</w:t>
      </w:r>
    </w:p>
    <w:p w:rsidR="007B3964" w:rsidRDefault="007B3964" w:rsidP="001A70CB">
      <w:pPr>
        <w:widowControl w:val="0"/>
        <w:spacing w:line="360" w:lineRule="auto"/>
        <w:jc w:val="both"/>
        <w:rPr>
          <w:szCs w:val="20"/>
        </w:rPr>
      </w:pPr>
    </w:p>
    <w:p w:rsidR="00191703" w:rsidRDefault="00191703" w:rsidP="001A70CB">
      <w:pPr>
        <w:widowControl w:val="0"/>
        <w:spacing w:line="360" w:lineRule="auto"/>
        <w:jc w:val="both"/>
        <w:rPr>
          <w:szCs w:val="20"/>
        </w:rPr>
      </w:pPr>
    </w:p>
    <w:p w:rsidR="007B3964" w:rsidRDefault="007B3964" w:rsidP="00830D71">
      <w:pPr>
        <w:pStyle w:val="Textoindependiente"/>
        <w:widowControl w:val="0"/>
        <w:rPr>
          <w:rFonts w:cs="Arial"/>
          <w:b/>
          <w:bCs/>
        </w:rPr>
      </w:pPr>
      <w:r>
        <w:rPr>
          <w:b/>
          <w:bCs/>
        </w:rPr>
        <w:t>3) Cumplimiento de normas constitucionales, legales y reglamentarias</w:t>
      </w:r>
    </w:p>
    <w:p w:rsidR="007B3964" w:rsidRDefault="007B3964" w:rsidP="00BF1716">
      <w:pPr>
        <w:spacing w:line="360" w:lineRule="auto"/>
        <w:jc w:val="both"/>
        <w:rPr>
          <w:rFonts w:cs="Arial"/>
        </w:rPr>
      </w:pPr>
      <w:r>
        <w:rPr>
          <w:rFonts w:cs="Arial"/>
          <w:b/>
          <w:bCs/>
        </w:rPr>
        <w:t>3.1)</w:t>
      </w:r>
      <w:r>
        <w:rPr>
          <w:rFonts w:cs="Arial"/>
        </w:rPr>
        <w:t xml:space="preserve"> Se ha dado cumplimiento al plazo constitucional de que dispone este Tribunal para emitir su dictamen, de acuerdo  a los Artículos 225 inc. 2º y 275 numeral 3º de la Constitución de la República;</w:t>
      </w:r>
    </w:p>
    <w:p w:rsidR="007B3964" w:rsidRDefault="007B3964" w:rsidP="00BF1716">
      <w:pPr>
        <w:spacing w:line="360" w:lineRule="auto"/>
        <w:jc w:val="both"/>
        <w:rPr>
          <w:rFonts w:cs="Arial"/>
        </w:rPr>
      </w:pPr>
    </w:p>
    <w:p w:rsidR="007B3964" w:rsidRDefault="007B3964" w:rsidP="00BF1716">
      <w:pPr>
        <w:spacing w:line="360" w:lineRule="auto"/>
        <w:jc w:val="both"/>
        <w:rPr>
          <w:rFonts w:cs="Arial"/>
        </w:rPr>
      </w:pPr>
      <w:r>
        <w:rPr>
          <w:rFonts w:cs="Arial"/>
          <w:b/>
          <w:bCs/>
        </w:rPr>
        <w:t>3.2)</w:t>
      </w:r>
      <w:r>
        <w:rPr>
          <w:rFonts w:cs="Arial"/>
        </w:rPr>
        <w:t xml:space="preserve">  Por carecer de las mayorías correspondientes, los siguientes Artículos no fueron aprobados por la Junta Departamental de Rocha: Artículo 1º (15 votos en 31 Ediles en Sala), Artículo 21º (14 votos en 31 Ediles en Sala), Artículo 4º (0 voto en 31 Ediles en Sala), Artículo 6º (14 votos en 31 Ediles en Sala).</w:t>
      </w:r>
    </w:p>
    <w:p w:rsidR="007B3964" w:rsidRDefault="007B3964" w:rsidP="00BF1716">
      <w:pPr>
        <w:spacing w:line="360" w:lineRule="auto"/>
        <w:jc w:val="both"/>
        <w:rPr>
          <w:rFonts w:cs="Arial"/>
        </w:rPr>
      </w:pPr>
    </w:p>
    <w:p w:rsidR="007B3964" w:rsidRDefault="007B3964" w:rsidP="00BF1716">
      <w:pPr>
        <w:spacing w:line="360" w:lineRule="auto"/>
        <w:jc w:val="both"/>
        <w:rPr>
          <w:rFonts w:cs="Arial"/>
        </w:rPr>
      </w:pPr>
      <w:r>
        <w:rPr>
          <w:rFonts w:cs="Arial"/>
          <w:b/>
        </w:rPr>
        <w:t>3.3)</w:t>
      </w:r>
      <w:r>
        <w:rPr>
          <w:rFonts w:cs="Arial"/>
        </w:rPr>
        <w:t xml:space="preserve"> La modificación introducida en el Artículo 7º por la Junta Departamental que amplía los sujetos pasivos del impuesto de Edificación Inapropiada, carece de iniciativa del Intendente, apartándose de lo establecido en Artículo 273 numeral 3º y Artículo 275 numeral 4º de la Constitución de la República.</w:t>
      </w:r>
    </w:p>
    <w:p w:rsidR="007B3964" w:rsidRDefault="007B3964" w:rsidP="00BF1716">
      <w:pPr>
        <w:spacing w:line="360" w:lineRule="auto"/>
        <w:jc w:val="both"/>
        <w:rPr>
          <w:rFonts w:cs="Arial"/>
        </w:rPr>
      </w:pPr>
    </w:p>
    <w:p w:rsidR="007B3964" w:rsidRDefault="007B3964" w:rsidP="00BF1716">
      <w:pPr>
        <w:spacing w:line="360" w:lineRule="auto"/>
        <w:jc w:val="both"/>
        <w:rPr>
          <w:rFonts w:cs="Arial"/>
          <w:b/>
        </w:rPr>
      </w:pPr>
      <w:r>
        <w:rPr>
          <w:b/>
          <w:bCs/>
        </w:rPr>
        <w:t xml:space="preserve">3.4)  </w:t>
      </w:r>
      <w:r>
        <w:t>La modificación introducida por la Junta Departamental en el Artículo 7º, en cuanto disminuye el monto anual del impuesto de Edificación Inapropiada previsto en la iniciativa, determina que deberán abatirse gastos en igual proporción a la disminu</w:t>
      </w:r>
      <w:r w:rsidR="00191703">
        <w:t>ción de los ingresos previstos;</w:t>
      </w:r>
    </w:p>
    <w:p w:rsidR="007B3964" w:rsidRDefault="007B3964" w:rsidP="00BF1716">
      <w:pPr>
        <w:spacing w:line="360" w:lineRule="auto"/>
        <w:jc w:val="both"/>
        <w:rPr>
          <w:rFonts w:cs="Arial"/>
        </w:rPr>
      </w:pPr>
    </w:p>
    <w:p w:rsidR="007B3964" w:rsidRDefault="00191703">
      <w:pPr>
        <w:spacing w:line="360" w:lineRule="auto"/>
        <w:jc w:val="both"/>
        <w:rPr>
          <w:rFonts w:cs="Arial"/>
        </w:rPr>
      </w:pPr>
      <w:r>
        <w:rPr>
          <w:rFonts w:cs="Arial"/>
          <w:b/>
        </w:rPr>
        <w:t>4) Opinión</w:t>
      </w:r>
    </w:p>
    <w:p w:rsidR="007B3964" w:rsidRDefault="007B3964" w:rsidP="00AB4066">
      <w:pPr>
        <w:pStyle w:val="Textoindependiente2"/>
        <w:rPr>
          <w:rFonts w:ascii="Arial" w:hAnsi="Arial" w:cs="Arial"/>
        </w:rPr>
      </w:pPr>
      <w:r w:rsidRPr="00423C8B">
        <w:rPr>
          <w:rFonts w:ascii="Arial" w:hAnsi="Arial" w:cs="Arial"/>
        </w:rPr>
        <w:t xml:space="preserve">En opinión del Tribunal de Cuentas, el proyecto de Modificación Presupuestal de la Intendencia de </w:t>
      </w:r>
      <w:r>
        <w:rPr>
          <w:rFonts w:ascii="Arial" w:hAnsi="Arial" w:cs="Arial"/>
        </w:rPr>
        <w:t>Rocha</w:t>
      </w:r>
      <w:r w:rsidRPr="00423C8B">
        <w:rPr>
          <w:rFonts w:ascii="Arial" w:hAnsi="Arial" w:cs="Arial"/>
        </w:rPr>
        <w:t xml:space="preserve"> para el período 201</w:t>
      </w:r>
      <w:r>
        <w:rPr>
          <w:rFonts w:ascii="Arial" w:hAnsi="Arial" w:cs="Arial"/>
        </w:rPr>
        <w:t>8</w:t>
      </w:r>
      <w:r w:rsidRPr="00423C8B">
        <w:rPr>
          <w:rFonts w:ascii="Arial" w:hAnsi="Arial" w:cs="Arial"/>
        </w:rPr>
        <w:t>-2020 ha sido preparado en forma razonable</w:t>
      </w:r>
      <w:r>
        <w:rPr>
          <w:rFonts w:ascii="Arial" w:hAnsi="Arial" w:cs="Arial"/>
        </w:rPr>
        <w:t xml:space="preserve"> </w:t>
      </w:r>
      <w:r w:rsidRPr="00423C8B">
        <w:rPr>
          <w:rFonts w:ascii="Arial" w:hAnsi="Arial" w:cs="Arial"/>
        </w:rPr>
        <w:t>de acuerdo con los supuestos efectuados por el Organismo</w:t>
      </w:r>
      <w:r>
        <w:rPr>
          <w:rFonts w:ascii="Arial" w:hAnsi="Arial" w:cs="Arial"/>
        </w:rPr>
        <w:t xml:space="preserve"> </w:t>
      </w:r>
      <w:r w:rsidRPr="00447BCB">
        <w:rPr>
          <w:rFonts w:ascii="Arial" w:hAnsi="Arial" w:cs="Arial"/>
        </w:rPr>
        <w:t>y se presenta</w:t>
      </w:r>
      <w:r w:rsidRPr="00423C8B">
        <w:rPr>
          <w:rFonts w:ascii="Arial" w:hAnsi="Arial" w:cs="Arial"/>
        </w:rPr>
        <w:t xml:space="preserve"> de conformidad con las disposiciones constitucionales, legales y reglamentarias vigentes, excepto por lo </w:t>
      </w:r>
      <w:r w:rsidRPr="00447BCB">
        <w:rPr>
          <w:rFonts w:ascii="Arial" w:hAnsi="Arial" w:cs="Arial"/>
        </w:rPr>
        <w:t xml:space="preserve">expresado en los párrafos </w:t>
      </w:r>
      <w:r>
        <w:rPr>
          <w:rFonts w:ascii="Arial" w:hAnsi="Arial" w:cs="Arial"/>
        </w:rPr>
        <w:t>2.2), 2.4) y 3.3)</w:t>
      </w:r>
      <w:r w:rsidRPr="00447BCB">
        <w:rPr>
          <w:rFonts w:ascii="Arial" w:hAnsi="Arial" w:cs="Arial"/>
        </w:rPr>
        <w:t>.</w:t>
      </w:r>
    </w:p>
    <w:p w:rsidR="007B3964" w:rsidRDefault="007B3964" w:rsidP="0024377C">
      <w:pPr>
        <w:jc w:val="right"/>
      </w:pPr>
      <w:r>
        <w:t>Montevideo, 5 de octubre de 2017</w:t>
      </w:r>
    </w:p>
    <w:p w:rsidR="007B3964" w:rsidRPr="007B3964" w:rsidRDefault="007B3964" w:rsidP="007B3964">
      <w:pPr>
        <w:rPr>
          <w:sz w:val="12"/>
        </w:rPr>
      </w:pPr>
      <w:proofErr w:type="spellStart"/>
      <w:proofErr w:type="gramStart"/>
      <w:r>
        <w:t>ag</w:t>
      </w:r>
      <w:proofErr w:type="spellEnd"/>
      <w:proofErr w:type="gramEnd"/>
    </w:p>
    <w:sectPr w:rsidR="007B3964" w:rsidRPr="007B3964" w:rsidSect="00811733">
      <w:headerReference w:type="even" r:id="rId9"/>
      <w:headerReference w:type="default" r:id="rId10"/>
      <w:footerReference w:type="even" r:id="rId11"/>
      <w:footerReference w:type="default" r:id="rId12"/>
      <w:headerReference w:type="first" r:id="rId13"/>
      <w:footerReference w:type="first" r:id="rId14"/>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733" w:rsidRDefault="00811733" w:rsidP="00B16013">
      <w:r>
        <w:separator/>
      </w:r>
    </w:p>
  </w:endnote>
  <w:endnote w:type="continuationSeparator" w:id="0">
    <w:p w:rsidR="00811733" w:rsidRDefault="00811733" w:rsidP="00B1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33" w:rsidRDefault="008117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33" w:rsidRDefault="0081173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33" w:rsidRDefault="008117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733" w:rsidRDefault="00811733" w:rsidP="00B16013">
      <w:r>
        <w:separator/>
      </w:r>
    </w:p>
  </w:footnote>
  <w:footnote w:type="continuationSeparator" w:id="0">
    <w:p w:rsidR="00811733" w:rsidRDefault="00811733" w:rsidP="00B16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33" w:rsidRDefault="008117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33" w:rsidRDefault="0081173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733" w:rsidRDefault="008117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EF5AEC52"/>
    <w:lvl w:ilvl="0" w:tplc="CEFC0E6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0225F3"/>
    <w:rsid w:val="00112201"/>
    <w:rsid w:val="00133E56"/>
    <w:rsid w:val="00191703"/>
    <w:rsid w:val="001D47E4"/>
    <w:rsid w:val="00373F3C"/>
    <w:rsid w:val="006E38B8"/>
    <w:rsid w:val="006F68A2"/>
    <w:rsid w:val="00723153"/>
    <w:rsid w:val="0076246A"/>
    <w:rsid w:val="007B3964"/>
    <w:rsid w:val="00811733"/>
    <w:rsid w:val="00826FA4"/>
    <w:rsid w:val="0086248E"/>
    <w:rsid w:val="00890B5B"/>
    <w:rsid w:val="00987FDA"/>
    <w:rsid w:val="00A362A6"/>
    <w:rsid w:val="00AD3DFC"/>
    <w:rsid w:val="00AD7664"/>
    <w:rsid w:val="00AD7CD9"/>
    <w:rsid w:val="00AF7D40"/>
    <w:rsid w:val="00B16013"/>
    <w:rsid w:val="00C4239B"/>
    <w:rsid w:val="00C556D7"/>
    <w:rsid w:val="00CA375E"/>
    <w:rsid w:val="00D408B5"/>
    <w:rsid w:val="00E4615D"/>
    <w:rsid w:val="00E60184"/>
    <w:rsid w:val="00F84B08"/>
    <w:rsid w:val="00FB34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B3964"/>
    <w:pPr>
      <w:keepNext/>
      <w:jc w:val="center"/>
      <w:outlineLvl w:val="0"/>
    </w:pPr>
    <w:rPr>
      <w:b/>
    </w:rPr>
  </w:style>
  <w:style w:type="paragraph" w:styleId="Ttulo2">
    <w:name w:val="heading 2"/>
    <w:basedOn w:val="Normal"/>
    <w:next w:val="Normal"/>
    <w:link w:val="Ttulo2Car"/>
    <w:qFormat/>
    <w:rsid w:val="007B3964"/>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16013"/>
    <w:pPr>
      <w:tabs>
        <w:tab w:val="center" w:pos="4252"/>
        <w:tab w:val="right" w:pos="8504"/>
      </w:tabs>
    </w:pPr>
  </w:style>
  <w:style w:type="character" w:customStyle="1" w:styleId="EncabezadoCar">
    <w:name w:val="Encabezado Car"/>
    <w:basedOn w:val="Fuentedeprrafopredeter"/>
    <w:link w:val="Encabezado"/>
    <w:uiPriority w:val="99"/>
    <w:rsid w:val="00B1601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16013"/>
    <w:pPr>
      <w:tabs>
        <w:tab w:val="center" w:pos="4252"/>
        <w:tab w:val="right" w:pos="8504"/>
      </w:tabs>
    </w:pPr>
  </w:style>
  <w:style w:type="character" w:customStyle="1" w:styleId="PiedepginaCar">
    <w:name w:val="Pie de página Car"/>
    <w:basedOn w:val="Fuentedeprrafopredeter"/>
    <w:link w:val="Piedepgina"/>
    <w:uiPriority w:val="99"/>
    <w:rsid w:val="00B16013"/>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7B3964"/>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7B3964"/>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7B3964"/>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7B3964"/>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B3964"/>
    <w:pPr>
      <w:keepNext/>
      <w:jc w:val="center"/>
      <w:outlineLvl w:val="0"/>
    </w:pPr>
    <w:rPr>
      <w:b/>
    </w:rPr>
  </w:style>
  <w:style w:type="paragraph" w:styleId="Ttulo2">
    <w:name w:val="heading 2"/>
    <w:basedOn w:val="Normal"/>
    <w:next w:val="Normal"/>
    <w:link w:val="Ttulo2Car"/>
    <w:qFormat/>
    <w:rsid w:val="007B3964"/>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16013"/>
    <w:pPr>
      <w:tabs>
        <w:tab w:val="center" w:pos="4252"/>
        <w:tab w:val="right" w:pos="8504"/>
      </w:tabs>
    </w:pPr>
  </w:style>
  <w:style w:type="character" w:customStyle="1" w:styleId="EncabezadoCar">
    <w:name w:val="Encabezado Car"/>
    <w:basedOn w:val="Fuentedeprrafopredeter"/>
    <w:link w:val="Encabezado"/>
    <w:uiPriority w:val="99"/>
    <w:rsid w:val="00B1601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16013"/>
    <w:pPr>
      <w:tabs>
        <w:tab w:val="center" w:pos="4252"/>
        <w:tab w:val="right" w:pos="8504"/>
      </w:tabs>
    </w:pPr>
  </w:style>
  <w:style w:type="character" w:customStyle="1" w:styleId="PiedepginaCar">
    <w:name w:val="Pie de página Car"/>
    <w:basedOn w:val="Fuentedeprrafopredeter"/>
    <w:link w:val="Piedepgina"/>
    <w:uiPriority w:val="99"/>
    <w:rsid w:val="00B16013"/>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7B3964"/>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7B3964"/>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7B3964"/>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7B3964"/>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92A37-F867-41A3-92B6-59055382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844</Words>
  <Characters>4647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Tribunal1</cp:lastModifiedBy>
  <cp:revision>9</cp:revision>
  <cp:lastPrinted>2017-10-12T19:18:00Z</cp:lastPrinted>
  <dcterms:created xsi:type="dcterms:W3CDTF">2017-10-11T18:38:00Z</dcterms:created>
  <dcterms:modified xsi:type="dcterms:W3CDTF">2018-01-18T19:48:00Z</dcterms:modified>
</cp:coreProperties>
</file>