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CFF" w:rsidRPr="00161683" w:rsidRDefault="00931CFF" w:rsidP="00931CFF">
      <w:pPr>
        <w:tabs>
          <w:tab w:val="center" w:pos="4253"/>
        </w:tabs>
        <w:suppressAutoHyphens/>
        <w:spacing w:line="360" w:lineRule="auto"/>
        <w:jc w:val="right"/>
        <w:rPr>
          <w:rFonts w:cs="Arial"/>
          <w:b/>
          <w:lang w:val="es-ES_tradnl"/>
        </w:rPr>
      </w:pPr>
      <w:bookmarkStart w:id="0" w:name="_GoBack"/>
      <w:bookmarkEnd w:id="0"/>
      <w:r>
        <w:rPr>
          <w:rFonts w:cs="Arial"/>
          <w:b/>
          <w:lang w:val="es-ES_tradnl"/>
        </w:rPr>
        <w:t>RES.</w:t>
      </w:r>
      <w:r w:rsidR="009C1306">
        <w:rPr>
          <w:rFonts w:cs="Arial"/>
          <w:b/>
          <w:lang w:val="es-ES_tradnl"/>
        </w:rPr>
        <w:t xml:space="preserve"> </w:t>
      </w:r>
      <w:r>
        <w:rPr>
          <w:rFonts w:cs="Arial"/>
          <w:b/>
          <w:lang w:val="es-ES_tradnl"/>
        </w:rPr>
        <w:t>Nº 3402/17</w:t>
      </w:r>
    </w:p>
    <w:p w:rsidR="00931CFF" w:rsidRPr="004746D1" w:rsidRDefault="00931CFF" w:rsidP="00931CFF">
      <w:pPr>
        <w:tabs>
          <w:tab w:val="center" w:pos="4253"/>
        </w:tabs>
        <w:suppressAutoHyphens/>
        <w:jc w:val="center"/>
        <w:rPr>
          <w:rFonts w:cs="Arial"/>
          <w:b/>
          <w:lang w:val="es-ES_tradnl"/>
        </w:rPr>
      </w:pPr>
      <w:r w:rsidRPr="004746D1">
        <w:rPr>
          <w:rFonts w:cs="Arial"/>
          <w:b/>
          <w:lang w:val="es-ES_tradnl"/>
        </w:rPr>
        <w:t>RESOLUCION ADOPTADA POR EL</w:t>
      </w:r>
    </w:p>
    <w:p w:rsidR="00931CFF" w:rsidRPr="004746D1" w:rsidRDefault="00931CFF" w:rsidP="00931CFF">
      <w:pPr>
        <w:tabs>
          <w:tab w:val="left" w:pos="-720"/>
        </w:tabs>
        <w:suppressAutoHyphens/>
        <w:jc w:val="center"/>
        <w:rPr>
          <w:rFonts w:cs="Arial"/>
          <w:b/>
          <w:lang w:val="es-ES_tradnl"/>
        </w:rPr>
      </w:pPr>
    </w:p>
    <w:p w:rsidR="00931CFF" w:rsidRPr="004746D1" w:rsidRDefault="00931CFF" w:rsidP="00931CFF">
      <w:pPr>
        <w:tabs>
          <w:tab w:val="center" w:pos="4253"/>
        </w:tabs>
        <w:suppressAutoHyphens/>
        <w:jc w:val="center"/>
        <w:rPr>
          <w:rFonts w:cs="Arial"/>
          <w:b/>
          <w:lang w:val="es-ES_tradnl"/>
        </w:rPr>
      </w:pPr>
      <w:r w:rsidRPr="004746D1">
        <w:rPr>
          <w:rFonts w:cs="Arial"/>
          <w:b/>
          <w:lang w:val="es-ES_tradnl"/>
        </w:rPr>
        <w:t>TRIBUNAL DE CUENTAS</w:t>
      </w:r>
    </w:p>
    <w:p w:rsidR="00931CFF" w:rsidRPr="004746D1" w:rsidRDefault="00931CFF" w:rsidP="00931CFF">
      <w:pPr>
        <w:tabs>
          <w:tab w:val="left" w:pos="-720"/>
        </w:tabs>
        <w:suppressAutoHyphens/>
        <w:jc w:val="center"/>
        <w:rPr>
          <w:rFonts w:cs="Arial"/>
          <w:b/>
          <w:lang w:val="es-ES_tradnl"/>
        </w:rPr>
      </w:pPr>
    </w:p>
    <w:p w:rsidR="00931CFF" w:rsidRPr="004746D1" w:rsidRDefault="00931CFF" w:rsidP="00931CFF">
      <w:pPr>
        <w:tabs>
          <w:tab w:val="center" w:pos="4253"/>
        </w:tabs>
        <w:suppressAutoHyphens/>
        <w:jc w:val="center"/>
        <w:rPr>
          <w:rFonts w:cs="Arial"/>
          <w:b/>
          <w:lang w:val="es-ES_tradnl"/>
        </w:rPr>
      </w:pPr>
      <w:r w:rsidRPr="004746D1">
        <w:rPr>
          <w:rFonts w:cs="Arial"/>
          <w:b/>
          <w:lang w:val="es-ES_tradnl"/>
        </w:rPr>
        <w:t xml:space="preserve">EN SESION DE FECHA </w:t>
      </w:r>
      <w:r>
        <w:rPr>
          <w:rFonts w:cs="Arial"/>
          <w:b/>
          <w:lang w:val="es-ES_tradnl"/>
        </w:rPr>
        <w:t xml:space="preserve">11 </w:t>
      </w:r>
      <w:r w:rsidRPr="00A03CC2">
        <w:rPr>
          <w:rFonts w:cs="Arial"/>
          <w:b/>
          <w:lang w:val="es-ES_tradnl"/>
        </w:rPr>
        <w:t xml:space="preserve">DE </w:t>
      </w:r>
      <w:r>
        <w:rPr>
          <w:rFonts w:cs="Arial"/>
          <w:b/>
          <w:lang w:val="es-ES_tradnl"/>
        </w:rPr>
        <w:t>OCTUBRE DE 2017</w:t>
      </w:r>
    </w:p>
    <w:p w:rsidR="00931CFF" w:rsidRPr="004746D1" w:rsidRDefault="00931CFF" w:rsidP="00931CFF">
      <w:pPr>
        <w:tabs>
          <w:tab w:val="center" w:pos="4253"/>
        </w:tabs>
        <w:suppressAutoHyphens/>
        <w:jc w:val="center"/>
        <w:rPr>
          <w:rFonts w:cs="Arial"/>
          <w:b/>
          <w:lang w:val="es-ES_tradnl"/>
        </w:rPr>
      </w:pPr>
    </w:p>
    <w:p w:rsidR="00931CFF" w:rsidRPr="004746D1" w:rsidRDefault="00931CFF" w:rsidP="00931CFF">
      <w:pPr>
        <w:tabs>
          <w:tab w:val="center" w:pos="4253"/>
        </w:tabs>
        <w:suppressAutoHyphens/>
        <w:jc w:val="center"/>
        <w:rPr>
          <w:rFonts w:cs="Arial"/>
          <w:b/>
          <w:lang w:val="es-ES_tradnl"/>
        </w:rPr>
      </w:pPr>
      <w:r>
        <w:rPr>
          <w:rFonts w:cs="Arial"/>
          <w:b/>
          <w:lang w:val="es-ES_tradnl"/>
        </w:rPr>
        <w:t>(E.</w:t>
      </w:r>
      <w:r w:rsidR="009C1306">
        <w:rPr>
          <w:rFonts w:cs="Arial"/>
          <w:b/>
          <w:lang w:val="es-ES_tradnl"/>
        </w:rPr>
        <w:t xml:space="preserve"> </w:t>
      </w:r>
      <w:r>
        <w:rPr>
          <w:rFonts w:cs="Arial"/>
          <w:b/>
          <w:lang w:val="es-ES_tradnl"/>
        </w:rPr>
        <w:t>E.</w:t>
      </w:r>
      <w:r w:rsidR="009C1306">
        <w:rPr>
          <w:rFonts w:cs="Arial"/>
          <w:b/>
          <w:lang w:val="es-ES_tradnl"/>
        </w:rPr>
        <w:t xml:space="preserve"> </w:t>
      </w:r>
      <w:r>
        <w:rPr>
          <w:rFonts w:cs="Arial"/>
          <w:b/>
          <w:lang w:val="es-ES_tradnl"/>
        </w:rPr>
        <w:t>Nº 2017-17-1-0002109</w:t>
      </w:r>
      <w:r w:rsidRPr="004746D1">
        <w:rPr>
          <w:rFonts w:cs="Arial"/>
          <w:b/>
          <w:lang w:val="es-ES_tradnl"/>
        </w:rPr>
        <w:t xml:space="preserve">, </w:t>
      </w:r>
      <w:proofErr w:type="spellStart"/>
      <w:r w:rsidRPr="004746D1">
        <w:rPr>
          <w:rFonts w:cs="Arial"/>
          <w:b/>
          <w:lang w:val="es-ES_tradnl"/>
        </w:rPr>
        <w:t>E</w:t>
      </w:r>
      <w:r>
        <w:rPr>
          <w:rFonts w:cs="Arial"/>
          <w:b/>
          <w:lang w:val="es-ES_tradnl"/>
        </w:rPr>
        <w:t>nt</w:t>
      </w:r>
      <w:proofErr w:type="spellEnd"/>
      <w:r w:rsidRPr="004746D1">
        <w:rPr>
          <w:rFonts w:cs="Arial"/>
          <w:b/>
          <w:lang w:val="es-ES_tradnl"/>
        </w:rPr>
        <w:t>.</w:t>
      </w:r>
      <w:r w:rsidR="009C1306">
        <w:rPr>
          <w:rFonts w:cs="Arial"/>
          <w:b/>
          <w:lang w:val="es-ES_tradnl"/>
        </w:rPr>
        <w:t xml:space="preserve"> </w:t>
      </w:r>
      <w:r>
        <w:rPr>
          <w:rFonts w:cs="Arial"/>
          <w:b/>
          <w:lang w:val="es-ES_tradnl"/>
        </w:rPr>
        <w:t>N° 1665</w:t>
      </w:r>
      <w:r w:rsidRPr="004746D1">
        <w:rPr>
          <w:rFonts w:cs="Arial"/>
          <w:b/>
          <w:lang w:val="es-ES_tradnl"/>
        </w:rPr>
        <w:t>/</w:t>
      </w:r>
      <w:r>
        <w:rPr>
          <w:rFonts w:cs="Arial"/>
          <w:b/>
          <w:lang w:val="es-ES_tradnl"/>
        </w:rPr>
        <w:t>17</w:t>
      </w:r>
      <w:r w:rsidRPr="004746D1">
        <w:rPr>
          <w:rFonts w:cs="Arial"/>
          <w:b/>
          <w:lang w:val="es-ES_tradnl"/>
        </w:rPr>
        <w:t>)</w:t>
      </w:r>
    </w:p>
    <w:p w:rsidR="00931CFF" w:rsidRPr="004746D1" w:rsidRDefault="00931CFF" w:rsidP="00931CFF">
      <w:pPr>
        <w:tabs>
          <w:tab w:val="center" w:pos="4253"/>
        </w:tabs>
        <w:suppressAutoHyphens/>
        <w:jc w:val="center"/>
        <w:rPr>
          <w:rFonts w:cs="Arial"/>
          <w:spacing w:val="-3"/>
          <w:lang w:val="es-ES_tradnl"/>
        </w:rPr>
      </w:pPr>
    </w:p>
    <w:p w:rsidR="009734DB" w:rsidRDefault="009734DB" w:rsidP="009734DB">
      <w:pPr>
        <w:spacing w:line="360" w:lineRule="auto"/>
        <w:ind w:firstLine="851"/>
        <w:jc w:val="both"/>
      </w:pPr>
      <w:r>
        <w:rPr>
          <w:b/>
          <w:lang w:val="es-ES_tradnl"/>
        </w:rPr>
        <w:t>VISTO:</w:t>
      </w:r>
      <w:r w:rsidR="00931CFF">
        <w:rPr>
          <w:lang w:val="es-ES_tradnl"/>
        </w:rPr>
        <w:t xml:space="preserve"> los Estados F</w:t>
      </w:r>
      <w:r>
        <w:rPr>
          <w:lang w:val="es-ES_tradnl"/>
        </w:rPr>
        <w:t xml:space="preserve">inancieros </w:t>
      </w:r>
      <w:r w:rsidR="00EF08F0" w:rsidRPr="00E0018A">
        <w:rPr>
          <w:rFonts w:cs="Arial"/>
        </w:rPr>
        <w:t>del Instituto Nacional de Colonización (INC)</w:t>
      </w:r>
      <w:r>
        <w:rPr>
          <w:lang w:val="es-ES_tradnl"/>
        </w:rPr>
        <w:t>,</w:t>
      </w:r>
      <w:r>
        <w:t xml:space="preserve"> que comprenden el Estado de Situación </w:t>
      </w:r>
      <w:r w:rsidR="007E3839">
        <w:t>Financiera</w:t>
      </w:r>
      <w:r>
        <w:t xml:space="preserve"> al 31 de diciembre de 201</w:t>
      </w:r>
      <w:r w:rsidR="00EF08F0">
        <w:t>6</w:t>
      </w:r>
      <w:r>
        <w:t>, los correspondientes Estados de Resultados,</w:t>
      </w:r>
      <w:r w:rsidR="007E3839">
        <w:t xml:space="preserve"> de Flujos de Efectivo y </w:t>
      </w:r>
      <w:r>
        <w:t xml:space="preserve"> de </w:t>
      </w:r>
      <w:r w:rsidR="007E3839">
        <w:t xml:space="preserve">Cambios en el </w:t>
      </w:r>
      <w:r w:rsidR="00931CFF">
        <w:t>Patrimonio por el E</w:t>
      </w:r>
      <w:r>
        <w:t>jercici</w:t>
      </w:r>
      <w:r w:rsidR="007E3839">
        <w:t xml:space="preserve">o anual terminado en esa fecha y las </w:t>
      </w:r>
      <w:r w:rsidR="00931CFF">
        <w:t>N</w:t>
      </w:r>
      <w:r>
        <w:t>otas que los acompañan;</w:t>
      </w:r>
    </w:p>
    <w:p w:rsidR="009734DB" w:rsidRDefault="009734DB" w:rsidP="009734DB">
      <w:pPr>
        <w:spacing w:line="360" w:lineRule="auto"/>
        <w:ind w:firstLine="851"/>
        <w:jc w:val="both"/>
        <w:rPr>
          <w:rFonts w:ascii="Times" w:hAnsi="Times" w:cs="Times"/>
        </w:rPr>
      </w:pPr>
      <w:r>
        <w:rPr>
          <w:b/>
          <w:lang w:val="es-ES_tradnl"/>
        </w:rPr>
        <w:t>RESULTANDO:</w:t>
      </w:r>
      <w:r>
        <w:rPr>
          <w:lang w:val="es-ES_tradnl"/>
        </w:rPr>
        <w:t xml:space="preserve"> </w:t>
      </w:r>
      <w:r>
        <w:rPr>
          <w:rFonts w:cs="Arial"/>
          <w:lang w:val="es-ES_tradnl"/>
        </w:rPr>
        <w:t xml:space="preserve">que los exámenes fueron realizados de </w:t>
      </w:r>
      <w:r>
        <w:rPr>
          <w:rFonts w:cs="Arial"/>
        </w:rPr>
        <w:t>acuerdo con los Principios Fundamentales de Auditoría (ISSAI 100 y 200) y las Directrices de Auditoría Financiera de la Organización Internacional de Entidades Fiscalizadoras Superiores (INTOSAI)</w:t>
      </w:r>
      <w:r w:rsidR="009C1306">
        <w:rPr>
          <w:rFonts w:ascii="Times" w:hAnsi="Times" w:cs="Times"/>
        </w:rPr>
        <w:t>;</w:t>
      </w:r>
    </w:p>
    <w:p w:rsidR="009734DB" w:rsidRDefault="009734DB" w:rsidP="009734DB">
      <w:pPr>
        <w:spacing w:line="360" w:lineRule="auto"/>
        <w:ind w:firstLine="851"/>
        <w:jc w:val="both"/>
        <w:rPr>
          <w:lang w:val="es-ES_tradnl"/>
        </w:rPr>
      </w:pPr>
      <w:r>
        <w:rPr>
          <w:b/>
          <w:lang w:val="es-ES_tradnl"/>
        </w:rPr>
        <w:t>CONSIDERANDO:</w:t>
      </w:r>
      <w:r>
        <w:rPr>
          <w:lang w:val="es-ES_tradnl"/>
        </w:rPr>
        <w:t xml:space="preserve"> que las conclusiones y evidencias obtenidas son las que se expresan en el Informe de Auditoría, que incluye Dictamen e Informe a la Administración;</w:t>
      </w:r>
    </w:p>
    <w:p w:rsidR="009734DB" w:rsidRDefault="009734DB" w:rsidP="00931CFF">
      <w:pPr>
        <w:spacing w:line="360" w:lineRule="auto"/>
        <w:ind w:firstLine="851"/>
        <w:jc w:val="both"/>
        <w:rPr>
          <w:lang w:val="es-ES_tradnl"/>
        </w:rPr>
      </w:pPr>
      <w:r>
        <w:rPr>
          <w:b/>
          <w:lang w:val="es-ES_tradnl"/>
        </w:rPr>
        <w:t>ATENTO:</w:t>
      </w:r>
      <w:r>
        <w:rPr>
          <w:lang w:val="es-ES_tradnl"/>
        </w:rPr>
        <w:t xml:space="preserve"> a lo dispuesto por el Artículo 211 Literal C) de la Constitución de la República;</w:t>
      </w:r>
    </w:p>
    <w:p w:rsidR="007E3839" w:rsidRDefault="007E3839" w:rsidP="00931CFF">
      <w:pPr>
        <w:pStyle w:val="Prrafodelista"/>
        <w:keepNext/>
        <w:widowControl w:val="0"/>
        <w:tabs>
          <w:tab w:val="center" w:pos="4253"/>
        </w:tabs>
        <w:spacing w:line="360" w:lineRule="auto"/>
        <w:ind w:left="0"/>
        <w:jc w:val="center"/>
        <w:rPr>
          <w:rFonts w:cs="Arial"/>
          <w:b/>
        </w:rPr>
      </w:pPr>
      <w:r w:rsidRPr="007E3839">
        <w:rPr>
          <w:rFonts w:cs="Arial"/>
          <w:b/>
        </w:rPr>
        <w:t>EL TRIBUNAL ACUERDA</w:t>
      </w:r>
    </w:p>
    <w:p w:rsidR="007E3839" w:rsidRPr="007E3839" w:rsidRDefault="007E3839" w:rsidP="00931CFF">
      <w:pPr>
        <w:pStyle w:val="Prrafodelista"/>
        <w:keepNext/>
        <w:widowControl w:val="0"/>
        <w:tabs>
          <w:tab w:val="left" w:pos="426"/>
          <w:tab w:val="center" w:pos="4253"/>
        </w:tabs>
        <w:spacing w:line="360" w:lineRule="auto"/>
        <w:ind w:left="0"/>
        <w:rPr>
          <w:rFonts w:cs="Arial"/>
        </w:rPr>
      </w:pPr>
      <w:r>
        <w:rPr>
          <w:rFonts w:cs="Arial"/>
          <w:b/>
        </w:rPr>
        <w:t xml:space="preserve">1)  </w:t>
      </w:r>
      <w:r w:rsidRPr="007E3839">
        <w:rPr>
          <w:rFonts w:cs="Arial"/>
        </w:rPr>
        <w:t>Expedirse en los términos del Informe de Auditoría que se adjunta;</w:t>
      </w:r>
    </w:p>
    <w:p w:rsidR="007E3839" w:rsidRPr="007E3839" w:rsidRDefault="007E3839" w:rsidP="007E3839">
      <w:pPr>
        <w:pStyle w:val="Prrafodelista"/>
        <w:keepNext/>
        <w:widowControl w:val="0"/>
        <w:tabs>
          <w:tab w:val="center" w:pos="4253"/>
        </w:tabs>
        <w:spacing w:line="360" w:lineRule="auto"/>
        <w:ind w:left="426" w:hanging="426"/>
        <w:jc w:val="both"/>
        <w:rPr>
          <w:rFonts w:cs="Arial"/>
        </w:rPr>
      </w:pPr>
      <w:r w:rsidRPr="007E3839">
        <w:rPr>
          <w:rFonts w:cs="Arial"/>
          <w:b/>
        </w:rPr>
        <w:t>2)</w:t>
      </w:r>
      <w:r>
        <w:rPr>
          <w:rFonts w:cs="Arial"/>
        </w:rPr>
        <w:t xml:space="preserve"> </w:t>
      </w:r>
      <w:r w:rsidRPr="007E3839">
        <w:rPr>
          <w:rFonts w:cs="Arial"/>
        </w:rPr>
        <w:t>Señalar que la publicación de los Estados Financieros por parte del Organismo</w:t>
      </w:r>
      <w:r w:rsidR="00931CFF">
        <w:rPr>
          <w:rFonts w:cs="Arial"/>
        </w:rPr>
        <w:t>,</w:t>
      </w:r>
      <w:r w:rsidRPr="007E3839">
        <w:rPr>
          <w:rFonts w:cs="Arial"/>
        </w:rPr>
        <w:t xml:space="preserve"> debe incluir el correspondiente Dictamen del Tribunal de Cuentas de acuerdo a lo dispuesto por el Artículo 1º de la Ley Nº 17.040;</w:t>
      </w:r>
    </w:p>
    <w:p w:rsidR="009734DB" w:rsidRPr="00C06CD2" w:rsidRDefault="009734DB" w:rsidP="007E3839">
      <w:pPr>
        <w:pStyle w:val="Prrafodelista"/>
        <w:numPr>
          <w:ilvl w:val="0"/>
          <w:numId w:val="17"/>
        </w:numPr>
        <w:spacing w:line="360" w:lineRule="auto"/>
        <w:ind w:left="426" w:hanging="426"/>
        <w:jc w:val="both"/>
        <w:rPr>
          <w:lang w:val="es-ES_tradnl"/>
        </w:rPr>
      </w:pPr>
      <w:r w:rsidRPr="00C06CD2">
        <w:rPr>
          <w:lang w:val="es-ES_tradnl"/>
        </w:rPr>
        <w:t xml:space="preserve">Comunicar la presente Resolución al Ministerio de </w:t>
      </w:r>
      <w:r w:rsidR="00C06CD2" w:rsidRPr="00C06CD2">
        <w:rPr>
          <w:lang w:val="es-ES_tradnl"/>
        </w:rPr>
        <w:t>Ganadería, Agricultura y Pesca</w:t>
      </w:r>
      <w:r w:rsidRPr="00C06CD2">
        <w:rPr>
          <w:lang w:val="es-ES_tradnl"/>
        </w:rPr>
        <w:t>, al Organismo y a la Oficina de Planeamiento y Presupuesto; y</w:t>
      </w:r>
    </w:p>
    <w:p w:rsidR="009734DB" w:rsidRDefault="009734DB" w:rsidP="007E3839">
      <w:pPr>
        <w:pStyle w:val="Prrafodelista"/>
        <w:numPr>
          <w:ilvl w:val="0"/>
          <w:numId w:val="17"/>
        </w:numPr>
        <w:spacing w:line="360" w:lineRule="auto"/>
        <w:ind w:left="426" w:hanging="426"/>
        <w:jc w:val="both"/>
      </w:pPr>
      <w:r>
        <w:t>Da</w:t>
      </w:r>
      <w:r w:rsidR="00931CFF">
        <w:t>r cuenta a la Asamblea General.</w:t>
      </w:r>
    </w:p>
    <w:p w:rsidR="00931CFF" w:rsidRDefault="00931CFF" w:rsidP="00931CFF">
      <w:pPr>
        <w:spacing w:line="360" w:lineRule="auto"/>
        <w:jc w:val="both"/>
      </w:pPr>
    </w:p>
    <w:p w:rsidR="00931CFF" w:rsidRDefault="008C6D06" w:rsidP="00931CFF">
      <w:pPr>
        <w:spacing w:line="360" w:lineRule="auto"/>
        <w:jc w:val="both"/>
      </w:pPr>
      <w:proofErr w:type="spellStart"/>
      <w:proofErr w:type="gramStart"/>
      <w:r>
        <w:t>l</w:t>
      </w:r>
      <w:r w:rsidR="00931CFF">
        <w:t>c</w:t>
      </w:r>
      <w:proofErr w:type="spellEnd"/>
      <w:proofErr w:type="gramEnd"/>
    </w:p>
    <w:p w:rsidR="00496114" w:rsidRDefault="00496114" w:rsidP="00496114">
      <w:pPr>
        <w:pStyle w:val="Ttulo"/>
        <w:rPr>
          <w:sz w:val="24"/>
        </w:rPr>
      </w:pPr>
      <w:r>
        <w:rPr>
          <w:sz w:val="24"/>
        </w:rPr>
        <w:lastRenderedPageBreak/>
        <w:t>DICTAMEN</w:t>
      </w:r>
    </w:p>
    <w:p w:rsidR="00496114" w:rsidRDefault="00496114" w:rsidP="00496114">
      <w:pPr>
        <w:pStyle w:val="Ttulo"/>
        <w:jc w:val="both"/>
        <w:rPr>
          <w:sz w:val="24"/>
        </w:rPr>
      </w:pPr>
    </w:p>
    <w:p w:rsidR="00496114" w:rsidRDefault="00496114" w:rsidP="00496114">
      <w:pPr>
        <w:widowControl w:val="0"/>
        <w:spacing w:line="360" w:lineRule="auto"/>
        <w:ind w:firstLine="709"/>
        <w:jc w:val="both"/>
        <w:rPr>
          <w:rFonts w:cs="Arial"/>
        </w:rPr>
      </w:pPr>
      <w:r>
        <w:rPr>
          <w:rFonts w:cs="Arial"/>
        </w:rPr>
        <w:t>El Tribunal de Cuentas ha examinado los Estados Financieros del Instituto Nacional de Colonización (INC</w:t>
      </w:r>
      <w:r>
        <w:rPr>
          <w:lang w:val="es-ES_tradnl"/>
        </w:rPr>
        <w:t>)</w:t>
      </w:r>
      <w:r>
        <w:rPr>
          <w:rFonts w:cs="Arial"/>
        </w:rPr>
        <w:t>, que comprenden el Estado de Situación Financiera al 31 de diciembre de 2016, los correspondientes Estados de Resultados, de Flujos de Efectivo y de Cambios en el Patrimonio por el Ejercicio anual finalizado en esa fecha y las notas de políticas contables significativas y otras notas explicativas a los estados financieros.</w:t>
      </w:r>
    </w:p>
    <w:p w:rsidR="00496114" w:rsidRDefault="00496114" w:rsidP="00496114">
      <w:pPr>
        <w:pStyle w:val="Textoindependiente3"/>
        <w:widowControl w:val="0"/>
        <w:spacing w:after="0" w:line="360" w:lineRule="auto"/>
        <w:jc w:val="both"/>
        <w:rPr>
          <w:bCs/>
          <w:sz w:val="24"/>
          <w:szCs w:val="24"/>
        </w:rPr>
      </w:pPr>
      <w:r>
        <w:rPr>
          <w:bCs/>
          <w:sz w:val="24"/>
          <w:szCs w:val="24"/>
        </w:rPr>
        <w:t>También se presentan, en caso de corresponder, los incumplimientos legales constatados por el Tribunal de Cuentas en el curso de la auditoría efectuada.</w:t>
      </w:r>
    </w:p>
    <w:p w:rsidR="00496114" w:rsidRPr="00C61A21" w:rsidRDefault="00496114" w:rsidP="00496114">
      <w:pPr>
        <w:widowControl w:val="0"/>
        <w:spacing w:line="360" w:lineRule="auto"/>
        <w:jc w:val="both"/>
        <w:rPr>
          <w:rFonts w:cs="Arial"/>
          <w:b/>
        </w:rPr>
      </w:pPr>
      <w:r>
        <w:rPr>
          <w:rFonts w:cs="Arial"/>
          <w:b/>
        </w:rPr>
        <w:t xml:space="preserve">- </w:t>
      </w:r>
      <w:r w:rsidRPr="00C61A21">
        <w:rPr>
          <w:rFonts w:cs="Arial"/>
          <w:b/>
        </w:rPr>
        <w:t>Responsab</w:t>
      </w:r>
      <w:r w:rsidR="008C6D06">
        <w:rPr>
          <w:rFonts w:cs="Arial"/>
          <w:b/>
        </w:rPr>
        <w:t>ilidad de la Dirección por los Estados F</w:t>
      </w:r>
      <w:r w:rsidRPr="00C61A21">
        <w:rPr>
          <w:rFonts w:cs="Arial"/>
          <w:b/>
        </w:rPr>
        <w:t>inancieros</w:t>
      </w:r>
    </w:p>
    <w:p w:rsidR="00496114" w:rsidRDefault="00496114" w:rsidP="00496114">
      <w:pPr>
        <w:widowControl w:val="0"/>
        <w:spacing w:line="360" w:lineRule="auto"/>
        <w:ind w:firstLine="709"/>
        <w:jc w:val="both"/>
        <w:rPr>
          <w:rFonts w:cs="Arial"/>
        </w:rPr>
      </w:pPr>
      <w:r>
        <w:rPr>
          <w:rFonts w:cs="Arial"/>
        </w:rPr>
        <w:t>La Dirección del INC es responsable por la preparación y la razonable presentación de estos Estados Financieros de acuerdo con las normas contables adecuadas en el Uruguay y la Ordenanza Nº 81 del Tribunal de Cuentas.</w:t>
      </w:r>
    </w:p>
    <w:p w:rsidR="00496114" w:rsidRDefault="00496114" w:rsidP="00496114">
      <w:pPr>
        <w:spacing w:line="360" w:lineRule="auto"/>
        <w:ind w:firstLine="709"/>
        <w:jc w:val="both"/>
        <w:rPr>
          <w:rFonts w:cs="Arial"/>
        </w:rPr>
      </w:pPr>
      <w:r>
        <w:rPr>
          <w:rFonts w:cs="Arial"/>
        </w:rPr>
        <w:t>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496114" w:rsidRDefault="00496114" w:rsidP="00496114">
      <w:pPr>
        <w:widowControl w:val="0"/>
        <w:spacing w:line="360" w:lineRule="auto"/>
        <w:jc w:val="both"/>
        <w:rPr>
          <w:rFonts w:cs="Arial"/>
          <w:b/>
        </w:rPr>
      </w:pPr>
      <w:r>
        <w:rPr>
          <w:rFonts w:cs="Arial"/>
          <w:b/>
        </w:rPr>
        <w:t>- Responsabilidad del auditor</w:t>
      </w:r>
    </w:p>
    <w:p w:rsidR="00496114" w:rsidRDefault="00496114" w:rsidP="00496114">
      <w:pPr>
        <w:widowControl w:val="0"/>
        <w:spacing w:line="360" w:lineRule="auto"/>
        <w:ind w:firstLine="709"/>
        <w:jc w:val="both"/>
      </w:pPr>
      <w:r>
        <w:rPr>
          <w:rFonts w:cs="Arial"/>
          <w:bCs/>
        </w:rPr>
        <w:t>La responsabilidad del Tribunal</w:t>
      </w:r>
      <w:r>
        <w:t xml:space="preserve"> de Cuentas es expresar una opinión sobre dichos Estados Financieros basada en la auditoría. Esta auditoría fue practicada de acuerdo con los Principios Fundamentales de Auditoría (ISSAI 100 y 200) y las Directrices de Auditoría Financiera de la Organización Internacional de Entidades Fiscalizadoras Superiores (INTOSAI).</w:t>
      </w:r>
    </w:p>
    <w:p w:rsidR="00496114" w:rsidRDefault="00496114" w:rsidP="00496114">
      <w:pPr>
        <w:widowControl w:val="0"/>
        <w:spacing w:line="360" w:lineRule="auto"/>
        <w:ind w:firstLine="709"/>
        <w:jc w:val="both"/>
      </w:pPr>
      <w:r>
        <w:t>Estas normas requieren que se cumpla con requisitos éticos, se planifique y se realice la auditoría para obtener seguridad razonable acerca de si los Estados Financieros están libres de errores significativos.</w:t>
      </w:r>
    </w:p>
    <w:p w:rsidR="009C1306" w:rsidRDefault="009C1306" w:rsidP="00496114">
      <w:pPr>
        <w:widowControl w:val="0"/>
        <w:spacing w:line="360" w:lineRule="auto"/>
        <w:ind w:firstLine="709"/>
        <w:jc w:val="both"/>
      </w:pPr>
    </w:p>
    <w:p w:rsidR="009C1306" w:rsidRDefault="009C1306" w:rsidP="00496114">
      <w:pPr>
        <w:widowControl w:val="0"/>
        <w:spacing w:line="360" w:lineRule="auto"/>
        <w:ind w:firstLine="709"/>
        <w:jc w:val="both"/>
      </w:pPr>
    </w:p>
    <w:p w:rsidR="00496114" w:rsidRDefault="00496114" w:rsidP="00496114">
      <w:pPr>
        <w:widowControl w:val="0"/>
        <w:spacing w:line="360" w:lineRule="auto"/>
        <w:ind w:firstLine="709"/>
        <w:jc w:val="both"/>
      </w:pPr>
      <w: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Estados Financieros.</w:t>
      </w:r>
    </w:p>
    <w:p w:rsidR="00496114" w:rsidRDefault="00496114" w:rsidP="00496114">
      <w:pPr>
        <w:spacing w:line="360" w:lineRule="auto"/>
        <w:ind w:firstLine="709"/>
        <w:jc w:val="both"/>
      </w:pPr>
      <w:r>
        <w:t>Se considera que la evidencia de auditoría obtenida brinda una base suficiente y apropiada para sustentar la opinión.</w:t>
      </w:r>
    </w:p>
    <w:p w:rsidR="00496114" w:rsidRDefault="00496114" w:rsidP="00496114">
      <w:pPr>
        <w:pStyle w:val="Ttulo1"/>
        <w:spacing w:after="0"/>
      </w:pPr>
      <w:r>
        <w:t>- Opinión</w:t>
      </w:r>
    </w:p>
    <w:p w:rsidR="00496114" w:rsidRDefault="00496114" w:rsidP="00496114">
      <w:pPr>
        <w:widowControl w:val="0"/>
        <w:spacing w:line="360" w:lineRule="auto"/>
        <w:ind w:firstLine="709"/>
        <w:jc w:val="both"/>
        <w:rPr>
          <w:rFonts w:cs="Arial"/>
        </w:rPr>
      </w:pPr>
      <w:r>
        <w:t xml:space="preserve">En opinión del Tribunal de Cuentas, los Estados Financieros referidos precedentemente, presentan razonablemente en todos sus aspectos importantes, la situación financiera del Instituto Nacional de Colonización al 31 de diciembre de 2016, los resultados de sus operaciones y los flujos de efectivo correspondientes al ejercicio anual terminado en esa fecha, de acuerdo con normas contables adecuadas en el Uruguay y la Ordenanza Nº 81 </w:t>
      </w:r>
      <w:r>
        <w:rPr>
          <w:rFonts w:cs="Arial"/>
        </w:rPr>
        <w:t>del Tribunal de Cuentas.</w:t>
      </w:r>
    </w:p>
    <w:p w:rsidR="00496114" w:rsidRDefault="00496114" w:rsidP="00496114">
      <w:pPr>
        <w:pStyle w:val="Textoindependiente"/>
        <w:keepNext/>
        <w:widowControl w:val="0"/>
        <w:spacing w:line="360" w:lineRule="auto"/>
        <w:ind w:firstLine="709"/>
        <w:jc w:val="both"/>
        <w:rPr>
          <w:rFonts w:ascii="Arial" w:hAnsi="Arial"/>
        </w:rPr>
      </w:pPr>
      <w:r>
        <w:rPr>
          <w:rFonts w:ascii="Arial" w:hAnsi="Arial"/>
        </w:rPr>
        <w:t>Con relación a las disposiciones legales y reglamentarias vigentes relacionadas con los Estados Financieros que fueron objeto de examen, se expresa que no se han constatado incumplimientos.</w:t>
      </w:r>
    </w:p>
    <w:p w:rsidR="00496114" w:rsidRDefault="00496114" w:rsidP="008C6D06">
      <w:pPr>
        <w:pStyle w:val="Sangradetextonormal"/>
        <w:ind w:left="0"/>
        <w:jc w:val="right"/>
      </w:pPr>
      <w:r>
        <w:t>Montevideo, 29 de setiembre de 2017</w:t>
      </w:r>
    </w:p>
    <w:p w:rsidR="00496114" w:rsidRDefault="00496114" w:rsidP="008C6D06">
      <w:pPr>
        <w:pStyle w:val="Sangradetextonormal"/>
        <w:ind w:left="0"/>
        <w:jc w:val="right"/>
      </w:pPr>
    </w:p>
    <w:p w:rsidR="00496114" w:rsidRDefault="00496114" w:rsidP="008C6D06">
      <w:pPr>
        <w:pStyle w:val="Sangradetextonormal"/>
        <w:ind w:left="0"/>
      </w:pPr>
      <w:proofErr w:type="spellStart"/>
      <w:proofErr w:type="gramStart"/>
      <w:r>
        <w:t>lc</w:t>
      </w:r>
      <w:proofErr w:type="spellEnd"/>
      <w:proofErr w:type="gramEnd"/>
    </w:p>
    <w:p w:rsidR="00496114" w:rsidRDefault="00496114" w:rsidP="008C6D06">
      <w:pPr>
        <w:jc w:val="both"/>
      </w:pPr>
    </w:p>
    <w:p w:rsidR="008C6D06" w:rsidRDefault="008C6D06" w:rsidP="008C6D06">
      <w:pPr>
        <w:jc w:val="both"/>
      </w:pPr>
    </w:p>
    <w:p w:rsidR="008C6D06" w:rsidRDefault="008C6D06" w:rsidP="008C6D06">
      <w:pPr>
        <w:pStyle w:val="Ttulo2"/>
        <w:spacing w:line="240" w:lineRule="auto"/>
      </w:pPr>
      <w:r>
        <w:t>INFORME A LA ADMINISTRACION</w:t>
      </w:r>
    </w:p>
    <w:p w:rsidR="008C6D06" w:rsidRPr="006F5765" w:rsidRDefault="008C6D06" w:rsidP="008C6D06"/>
    <w:p w:rsidR="008C6D06" w:rsidRPr="00E0018A" w:rsidRDefault="008C6D06" w:rsidP="008C6D06">
      <w:pPr>
        <w:pStyle w:val="Textoindependiente"/>
        <w:spacing w:line="360" w:lineRule="auto"/>
        <w:ind w:firstLine="709"/>
        <w:jc w:val="both"/>
        <w:rPr>
          <w:rFonts w:ascii="Arial" w:hAnsi="Arial" w:cs="Arial"/>
          <w:szCs w:val="24"/>
          <w:lang w:val="es-ES"/>
        </w:rPr>
      </w:pPr>
      <w:r w:rsidRPr="00E0018A">
        <w:rPr>
          <w:rFonts w:ascii="Arial" w:hAnsi="Arial" w:cs="Arial"/>
          <w:szCs w:val="24"/>
          <w:lang w:val="es-ES"/>
        </w:rPr>
        <w:t>El Tribun</w:t>
      </w:r>
      <w:r>
        <w:rPr>
          <w:rFonts w:ascii="Arial" w:hAnsi="Arial" w:cs="Arial"/>
          <w:szCs w:val="24"/>
          <w:lang w:val="es-ES"/>
        </w:rPr>
        <w:t>al de Cuentas ha examinado los E</w:t>
      </w:r>
      <w:r w:rsidRPr="00E0018A">
        <w:rPr>
          <w:rFonts w:ascii="Arial" w:hAnsi="Arial" w:cs="Arial"/>
          <w:szCs w:val="24"/>
          <w:lang w:val="es-ES"/>
        </w:rPr>
        <w:t xml:space="preserve">stados </w:t>
      </w:r>
      <w:r>
        <w:rPr>
          <w:rFonts w:ascii="Arial" w:hAnsi="Arial" w:cs="Arial"/>
          <w:szCs w:val="24"/>
          <w:lang w:val="es-ES"/>
        </w:rPr>
        <w:t>F</w:t>
      </w:r>
      <w:r w:rsidRPr="00E0018A">
        <w:rPr>
          <w:rFonts w:ascii="Arial" w:hAnsi="Arial" w:cs="Arial"/>
          <w:szCs w:val="24"/>
          <w:lang w:val="es-ES"/>
        </w:rPr>
        <w:t xml:space="preserve">inancieros del Instituto Nacional de Colonización (INC), por el </w:t>
      </w:r>
      <w:r>
        <w:rPr>
          <w:rFonts w:ascii="Arial" w:hAnsi="Arial" w:cs="Arial"/>
          <w:szCs w:val="24"/>
          <w:lang w:val="es-ES"/>
        </w:rPr>
        <w:t>E</w:t>
      </w:r>
      <w:r w:rsidRPr="00E0018A">
        <w:rPr>
          <w:rFonts w:ascii="Arial" w:hAnsi="Arial" w:cs="Arial"/>
          <w:szCs w:val="24"/>
          <w:lang w:val="es-ES"/>
        </w:rPr>
        <w:t>jerc</w:t>
      </w:r>
      <w:r>
        <w:rPr>
          <w:rFonts w:ascii="Arial" w:hAnsi="Arial" w:cs="Arial"/>
          <w:szCs w:val="24"/>
          <w:lang w:val="es-ES"/>
        </w:rPr>
        <w:t>icio anual terminado el 31/12/2016,</w:t>
      </w:r>
      <w:r w:rsidRPr="00E0018A">
        <w:rPr>
          <w:rFonts w:ascii="Arial" w:hAnsi="Arial" w:cs="Arial"/>
          <w:szCs w:val="24"/>
          <w:lang w:val="es-ES"/>
        </w:rPr>
        <w:t xml:space="preserve"> y ha emitido su Dictamen.</w:t>
      </w:r>
    </w:p>
    <w:p w:rsidR="008C6D06" w:rsidRDefault="008C6D06" w:rsidP="008C6D06">
      <w:pPr>
        <w:pStyle w:val="Textoindependiente2"/>
        <w:ind w:firstLine="709"/>
        <w:rPr>
          <w:rFonts w:cs="Arial"/>
          <w:lang w:val="es-ES"/>
        </w:rPr>
      </w:pPr>
      <w:r>
        <w:rPr>
          <w:rFonts w:cs="Arial"/>
          <w:lang w:val="es-ES"/>
        </w:rPr>
        <w:t>Este informe contiene consideraciones relativas a la evaluación de control interno. Se incluyen, además, comentarios que se ha entendido conveniente exponer, relacionados con la situación de determinados capítulos y rubros de los Estados examinados y con disposiciones legales vigentes.</w:t>
      </w:r>
    </w:p>
    <w:p w:rsidR="008C6D06" w:rsidRDefault="008C6D06" w:rsidP="008C6D06">
      <w:pPr>
        <w:pStyle w:val="Textoindependiente2"/>
        <w:ind w:firstLine="709"/>
        <w:rPr>
          <w:rFonts w:cs="Arial"/>
          <w:lang w:val="es-ES"/>
        </w:rPr>
      </w:pPr>
      <w:r>
        <w:rPr>
          <w:rFonts w:cs="Arial"/>
          <w:lang w:val="es-ES"/>
        </w:rPr>
        <w:t xml:space="preserve">También se agregan las principales recomendaciones que </w:t>
      </w:r>
      <w:proofErr w:type="gramStart"/>
      <w:r>
        <w:rPr>
          <w:rFonts w:cs="Arial"/>
          <w:lang w:val="es-ES"/>
        </w:rPr>
        <w:t>deberá</w:t>
      </w:r>
      <w:proofErr w:type="gramEnd"/>
      <w:r>
        <w:rPr>
          <w:rFonts w:cs="Arial"/>
          <w:lang w:val="es-ES"/>
        </w:rPr>
        <w:t xml:space="preserve"> atender el Organismo y una evaluación del cumplimiento de las recomendaciones presentadas en el Informe de Auditoría del Ejercicio anterior.</w:t>
      </w:r>
    </w:p>
    <w:p w:rsidR="008C6D06" w:rsidRPr="005D62B6" w:rsidRDefault="008C6D06" w:rsidP="008C6D06">
      <w:pPr>
        <w:widowControl w:val="0"/>
        <w:spacing w:line="360" w:lineRule="auto"/>
        <w:jc w:val="both"/>
        <w:rPr>
          <w:rFonts w:cs="Arial"/>
          <w:b/>
          <w:lang w:val="es-ES_tradnl"/>
        </w:rPr>
      </w:pPr>
      <w:r>
        <w:rPr>
          <w:rFonts w:cs="Arial"/>
          <w:b/>
          <w:lang w:val="es-ES_tradnl"/>
        </w:rPr>
        <w:t xml:space="preserve">1 - </w:t>
      </w:r>
      <w:r w:rsidR="009C1306">
        <w:rPr>
          <w:rFonts w:cs="Arial"/>
          <w:b/>
          <w:lang w:val="es-ES_tradnl"/>
        </w:rPr>
        <w:t>Presentación de los Estados</w:t>
      </w:r>
    </w:p>
    <w:p w:rsidR="008C6D06" w:rsidRDefault="008C6D06" w:rsidP="008C6D06">
      <w:pPr>
        <w:widowControl w:val="0"/>
        <w:tabs>
          <w:tab w:val="left" w:pos="0"/>
        </w:tabs>
        <w:spacing w:line="360" w:lineRule="auto"/>
        <w:ind w:firstLine="709"/>
        <w:jc w:val="both"/>
        <w:rPr>
          <w:rFonts w:cs="Arial"/>
        </w:rPr>
      </w:pPr>
      <w:r>
        <w:rPr>
          <w:rFonts w:cs="Arial"/>
          <w:lang w:val="es-ES_tradnl"/>
        </w:rPr>
        <w:t xml:space="preserve">Los Estados Financieros del INC correspondientes al Ejercicio finalizado el 31 de diciembre de 2016, fueron aprobados por Resolución de Directorio     </w:t>
      </w:r>
      <w:r>
        <w:rPr>
          <w:lang w:val="es-ES_tradnl"/>
        </w:rPr>
        <w:t>Nº 1 Acta N° 5347, de fecha 27/03/2017</w:t>
      </w:r>
      <w:r w:rsidRPr="00A77901">
        <w:rPr>
          <w:rFonts w:cs="Arial"/>
        </w:rPr>
        <w:t xml:space="preserve"> </w:t>
      </w:r>
      <w:r>
        <w:rPr>
          <w:rFonts w:cs="Arial"/>
        </w:rPr>
        <w:t>y remitidos para su examen a este Tribunal.</w:t>
      </w:r>
    </w:p>
    <w:p w:rsidR="008C6D06" w:rsidRDefault="008C6D06" w:rsidP="008C6D06">
      <w:pPr>
        <w:widowControl w:val="0"/>
        <w:tabs>
          <w:tab w:val="left" w:pos="0"/>
        </w:tabs>
        <w:spacing w:line="360" w:lineRule="auto"/>
        <w:ind w:firstLine="709"/>
        <w:jc w:val="both"/>
      </w:pPr>
      <w:r>
        <w:t>Dichos Estados se confeccionaron siguiendo las normas contables adecuadas en el Uruguay y los criterios establecidos en la Ordenanza Nº 81 del Tribunal de Cuentas.</w:t>
      </w:r>
    </w:p>
    <w:p w:rsidR="008C6D06" w:rsidRPr="005D62B6" w:rsidRDefault="008C6D06" w:rsidP="008C6D06">
      <w:pPr>
        <w:spacing w:line="360" w:lineRule="auto"/>
        <w:jc w:val="both"/>
        <w:rPr>
          <w:rFonts w:cs="Arial"/>
          <w:b/>
        </w:rPr>
      </w:pPr>
      <w:r>
        <w:rPr>
          <w:rFonts w:cs="Arial"/>
          <w:b/>
        </w:rPr>
        <w:t xml:space="preserve">2 </w:t>
      </w:r>
      <w:r w:rsidRPr="005D62B6">
        <w:rPr>
          <w:rFonts w:cs="Arial"/>
          <w:b/>
        </w:rPr>
        <w:t>- Evaluación de Control Interno</w:t>
      </w:r>
    </w:p>
    <w:p w:rsidR="008C6D06" w:rsidRDefault="008C6D06" w:rsidP="008C6D06">
      <w:pPr>
        <w:spacing w:line="360" w:lineRule="auto"/>
        <w:ind w:firstLine="709"/>
        <w:jc w:val="both"/>
        <w:rPr>
          <w:rFonts w:cs="Arial"/>
          <w:bCs/>
          <w:szCs w:val="20"/>
          <w:lang w:val="es-UY"/>
        </w:rPr>
      </w:pPr>
      <w:r>
        <w:rPr>
          <w:rFonts w:cs="Arial"/>
          <w:bCs/>
          <w:szCs w:val="20"/>
        </w:rPr>
        <w:t>La evaluación de control interno fue realizada para establecer los procedimientos de auditoría que debían aplicarse como prueba de la eficacia de los controles implementados en relación con el objetivo de la auditoría practicada y no para emitir una opinión respecto del mismo.</w:t>
      </w:r>
    </w:p>
    <w:p w:rsidR="008C6D06" w:rsidRPr="00C93E6D" w:rsidRDefault="008C6D06" w:rsidP="008C6D06">
      <w:pPr>
        <w:pStyle w:val="Textoindependiente"/>
        <w:keepNext/>
        <w:widowControl w:val="0"/>
        <w:spacing w:line="360" w:lineRule="auto"/>
        <w:ind w:firstLine="709"/>
        <w:jc w:val="both"/>
        <w:rPr>
          <w:rFonts w:ascii="Arial" w:hAnsi="Arial" w:cs="Arial"/>
        </w:rPr>
      </w:pPr>
      <w:r w:rsidRPr="00C93E6D">
        <w:rPr>
          <w:rFonts w:ascii="Arial" w:hAnsi="Arial" w:cs="Arial"/>
          <w:bCs/>
        </w:rPr>
        <w:t xml:space="preserve">Su evaluación </w:t>
      </w:r>
      <w:r w:rsidRPr="00C93E6D">
        <w:rPr>
          <w:rFonts w:ascii="Arial" w:hAnsi="Arial" w:cs="Arial"/>
        </w:rPr>
        <w:t>permitió constatar las siguientes debilidades en relación a las actividades de control e información:</w:t>
      </w:r>
    </w:p>
    <w:p w:rsidR="008C6D06" w:rsidRDefault="008C6D06" w:rsidP="008C6D06">
      <w:pPr>
        <w:pStyle w:val="Bodyby"/>
        <w:tabs>
          <w:tab w:val="left" w:pos="567"/>
        </w:tabs>
        <w:spacing w:after="0" w:line="360" w:lineRule="auto"/>
        <w:jc w:val="both"/>
        <w:rPr>
          <w:rFonts w:ascii="Arial" w:hAnsi="Arial" w:cs="Arial"/>
          <w:sz w:val="24"/>
          <w:szCs w:val="24"/>
          <w:lang w:val="es-UY"/>
        </w:rPr>
      </w:pPr>
      <w:r>
        <w:rPr>
          <w:rFonts w:ascii="Arial" w:hAnsi="Arial" w:cs="Arial"/>
          <w:b/>
          <w:sz w:val="24"/>
          <w:szCs w:val="24"/>
          <w:lang w:val="es-ES_tradnl"/>
        </w:rPr>
        <w:t xml:space="preserve">2.1 - </w:t>
      </w:r>
      <w:r w:rsidRPr="00E714D9">
        <w:rPr>
          <w:rFonts w:ascii="Arial" w:hAnsi="Arial" w:cs="Arial"/>
          <w:sz w:val="24"/>
          <w:szCs w:val="24"/>
          <w:lang w:val="es-UY"/>
        </w:rPr>
        <w:t xml:space="preserve">El INC manifiesta la aplicación del Decreto Nº 291/14 entre otros, por tal motivo al realizar la auditoría sobre los </w:t>
      </w:r>
      <w:r>
        <w:rPr>
          <w:rFonts w:ascii="Arial" w:hAnsi="Arial" w:cs="Arial"/>
          <w:sz w:val="24"/>
          <w:szCs w:val="24"/>
          <w:lang w:val="es-UY"/>
        </w:rPr>
        <w:t>Estados F</w:t>
      </w:r>
      <w:r w:rsidRPr="00E714D9">
        <w:rPr>
          <w:rFonts w:ascii="Arial" w:hAnsi="Arial" w:cs="Arial"/>
          <w:sz w:val="24"/>
          <w:szCs w:val="24"/>
          <w:lang w:val="es-UY"/>
        </w:rPr>
        <w:t xml:space="preserve">inancieros del </w:t>
      </w:r>
      <w:r>
        <w:rPr>
          <w:rFonts w:ascii="Arial" w:hAnsi="Arial" w:cs="Arial"/>
          <w:sz w:val="24"/>
          <w:szCs w:val="24"/>
          <w:lang w:val="es-UY"/>
        </w:rPr>
        <w:t>E</w:t>
      </w:r>
      <w:r w:rsidRPr="00E714D9">
        <w:rPr>
          <w:rFonts w:ascii="Arial" w:hAnsi="Arial" w:cs="Arial"/>
          <w:sz w:val="24"/>
          <w:szCs w:val="24"/>
          <w:lang w:val="es-UY"/>
        </w:rPr>
        <w:t xml:space="preserve">jercicio 2016 nos basamos en lo expresado por el citado decreto en su </w:t>
      </w:r>
      <w:r>
        <w:rPr>
          <w:rFonts w:ascii="Arial" w:hAnsi="Arial" w:cs="Arial"/>
          <w:sz w:val="24"/>
          <w:szCs w:val="24"/>
          <w:lang w:val="es-UY"/>
        </w:rPr>
        <w:t>A</w:t>
      </w:r>
      <w:r w:rsidRPr="00E714D9">
        <w:rPr>
          <w:rFonts w:ascii="Arial" w:hAnsi="Arial" w:cs="Arial"/>
          <w:sz w:val="24"/>
          <w:szCs w:val="24"/>
          <w:lang w:val="es-UY"/>
        </w:rPr>
        <w:t>rtículo 1</w:t>
      </w:r>
      <w:r>
        <w:rPr>
          <w:rFonts w:ascii="Arial" w:hAnsi="Arial" w:cs="Arial"/>
          <w:sz w:val="24"/>
          <w:szCs w:val="24"/>
          <w:lang w:val="es-UY"/>
        </w:rPr>
        <w:t>º</w:t>
      </w:r>
      <w:r w:rsidRPr="00E714D9">
        <w:rPr>
          <w:rFonts w:ascii="Arial" w:hAnsi="Arial" w:cs="Arial"/>
          <w:sz w:val="24"/>
          <w:szCs w:val="24"/>
          <w:lang w:val="es-UY"/>
        </w:rPr>
        <w:t>, que aprueba como norma contable adecuada de aplicación obligatoria la</w:t>
      </w:r>
      <w:r>
        <w:rPr>
          <w:rFonts w:ascii="Arial" w:hAnsi="Arial" w:cs="Arial"/>
          <w:sz w:val="24"/>
          <w:szCs w:val="24"/>
          <w:lang w:val="es-UY"/>
        </w:rPr>
        <w:t xml:space="preserve"> </w:t>
      </w:r>
      <w:r w:rsidRPr="00E714D9">
        <w:rPr>
          <w:rFonts w:ascii="Arial" w:hAnsi="Arial" w:cs="Arial"/>
          <w:sz w:val="24"/>
          <w:szCs w:val="24"/>
          <w:lang w:val="es-UY"/>
        </w:rPr>
        <w:t>Norma Internacional de Información Financiera para Pequeñas y Medianas</w:t>
      </w:r>
      <w:r>
        <w:rPr>
          <w:rFonts w:ascii="Arial" w:hAnsi="Arial" w:cs="Arial"/>
          <w:sz w:val="24"/>
          <w:szCs w:val="24"/>
          <w:lang w:val="es-UY"/>
        </w:rPr>
        <w:t xml:space="preserve"> Entidades (NIIF para PYMES).</w:t>
      </w:r>
    </w:p>
    <w:p w:rsidR="008C6D06" w:rsidRPr="0061498B" w:rsidRDefault="008C6D06" w:rsidP="008C6D06">
      <w:pPr>
        <w:pStyle w:val="Bodyby"/>
        <w:tabs>
          <w:tab w:val="left" w:pos="567"/>
        </w:tabs>
        <w:spacing w:after="0" w:line="360" w:lineRule="auto"/>
        <w:jc w:val="both"/>
        <w:rPr>
          <w:rFonts w:ascii="Arial" w:hAnsi="Arial" w:cs="Arial"/>
          <w:sz w:val="24"/>
          <w:szCs w:val="24"/>
          <w:lang w:val="es-UY"/>
        </w:rPr>
      </w:pPr>
      <w:r>
        <w:rPr>
          <w:rFonts w:ascii="Arial" w:hAnsi="Arial" w:cs="Arial"/>
          <w:b/>
          <w:sz w:val="24"/>
          <w:szCs w:val="24"/>
          <w:lang w:val="es-UY"/>
        </w:rPr>
        <w:t xml:space="preserve">2.2 - </w:t>
      </w:r>
      <w:r>
        <w:rPr>
          <w:rFonts w:ascii="Arial" w:hAnsi="Arial" w:cs="Arial"/>
          <w:sz w:val="24"/>
          <w:lang w:val="es-ES_tradnl"/>
        </w:rPr>
        <w:t>Las N</w:t>
      </w:r>
      <w:r w:rsidRPr="00A64A40">
        <w:rPr>
          <w:rFonts w:ascii="Arial" w:hAnsi="Arial" w:cs="Arial"/>
          <w:sz w:val="24"/>
          <w:lang w:val="es-ES_tradnl"/>
        </w:rPr>
        <w:t xml:space="preserve">otas a los </w:t>
      </w:r>
      <w:r>
        <w:rPr>
          <w:rFonts w:ascii="Arial" w:hAnsi="Arial" w:cs="Arial"/>
          <w:sz w:val="24"/>
          <w:lang w:val="es-ES_tradnl"/>
        </w:rPr>
        <w:t>Estados F</w:t>
      </w:r>
      <w:r w:rsidRPr="00A64A40">
        <w:rPr>
          <w:rFonts w:ascii="Arial" w:hAnsi="Arial" w:cs="Arial"/>
          <w:sz w:val="24"/>
          <w:lang w:val="es-ES_tradnl"/>
        </w:rPr>
        <w:t>inancieros del INC no se encuentran relacionadas mediante referencias cruzadas con las partidas</w:t>
      </w:r>
      <w:r>
        <w:rPr>
          <w:rFonts w:ascii="Arial" w:hAnsi="Arial" w:cs="Arial"/>
          <w:sz w:val="24"/>
          <w:lang w:val="es-ES_tradnl"/>
        </w:rPr>
        <w:t xml:space="preserve"> incluidas en el cuerpo de los E</w:t>
      </w:r>
      <w:r w:rsidRPr="00A64A40">
        <w:rPr>
          <w:rFonts w:ascii="Arial" w:hAnsi="Arial" w:cs="Arial"/>
          <w:sz w:val="24"/>
          <w:lang w:val="es-ES_tradnl"/>
        </w:rPr>
        <w:t xml:space="preserve">stados </w:t>
      </w:r>
      <w:r>
        <w:rPr>
          <w:rFonts w:ascii="Arial" w:hAnsi="Arial" w:cs="Arial"/>
          <w:sz w:val="24"/>
          <w:lang w:val="es-ES_tradnl"/>
        </w:rPr>
        <w:t>F</w:t>
      </w:r>
      <w:r w:rsidRPr="00A64A40">
        <w:rPr>
          <w:rFonts w:ascii="Arial" w:hAnsi="Arial" w:cs="Arial"/>
          <w:sz w:val="24"/>
          <w:lang w:val="es-ES_tradnl"/>
        </w:rPr>
        <w:t xml:space="preserve">inancieros. Por tal motivo se </w:t>
      </w:r>
      <w:r>
        <w:rPr>
          <w:rFonts w:ascii="Arial" w:hAnsi="Arial" w:cs="Arial"/>
          <w:sz w:val="24"/>
          <w:lang w:val="es-ES_tradnl"/>
        </w:rPr>
        <w:t>observa la presentación de los E</w:t>
      </w:r>
      <w:r w:rsidRPr="00A64A40">
        <w:rPr>
          <w:rFonts w:ascii="Arial" w:hAnsi="Arial" w:cs="Arial"/>
          <w:sz w:val="24"/>
          <w:lang w:val="es-ES_tradnl"/>
        </w:rPr>
        <w:t xml:space="preserve">stados </w:t>
      </w:r>
      <w:r>
        <w:rPr>
          <w:rFonts w:ascii="Arial" w:hAnsi="Arial" w:cs="Arial"/>
          <w:sz w:val="24"/>
          <w:lang w:val="es-ES_tradnl"/>
        </w:rPr>
        <w:t>F</w:t>
      </w:r>
      <w:r w:rsidRPr="00A64A40">
        <w:rPr>
          <w:rFonts w:ascii="Arial" w:hAnsi="Arial" w:cs="Arial"/>
          <w:sz w:val="24"/>
          <w:lang w:val="es-ES_tradnl"/>
        </w:rPr>
        <w:t xml:space="preserve">inancieros, al incumplir </w:t>
      </w:r>
      <w:r>
        <w:rPr>
          <w:rFonts w:ascii="Arial" w:hAnsi="Arial" w:cs="Arial"/>
          <w:sz w:val="24"/>
          <w:lang w:val="es-ES_tradnl"/>
        </w:rPr>
        <w:t>lo dispuesto por el Párrafo</w:t>
      </w:r>
      <w:r w:rsidRPr="00A64A40">
        <w:rPr>
          <w:rFonts w:ascii="Arial" w:hAnsi="Arial" w:cs="Arial"/>
          <w:sz w:val="24"/>
          <w:lang w:val="es-ES_tradnl"/>
        </w:rPr>
        <w:t xml:space="preserve"> 8.3 de la NIIF PYMES.</w:t>
      </w:r>
    </w:p>
    <w:p w:rsidR="008C6D06" w:rsidRDefault="008C6D06" w:rsidP="008C6D06">
      <w:pPr>
        <w:spacing w:line="360" w:lineRule="auto"/>
        <w:jc w:val="both"/>
        <w:rPr>
          <w:rFonts w:cs="Arial"/>
          <w:lang w:val="es-ES_tradnl"/>
        </w:rPr>
      </w:pPr>
      <w:r>
        <w:rPr>
          <w:rFonts w:cs="Arial"/>
          <w:b/>
          <w:lang w:val="es-ES_tradnl"/>
        </w:rPr>
        <w:t xml:space="preserve">2.3 - </w:t>
      </w:r>
      <w:r>
        <w:rPr>
          <w:rFonts w:cs="Arial"/>
          <w:lang w:val="es-ES_tradnl"/>
        </w:rPr>
        <w:t>E</w:t>
      </w:r>
      <w:r w:rsidRPr="00312FB2">
        <w:rPr>
          <w:rFonts w:cs="Arial"/>
          <w:lang w:val="es-ES_tradnl"/>
        </w:rPr>
        <w:t xml:space="preserve">l </w:t>
      </w:r>
      <w:r>
        <w:rPr>
          <w:rFonts w:cs="Arial"/>
          <w:lang w:val="es-ES_tradnl"/>
        </w:rPr>
        <w:t>Ente no ha revelado en sus N</w:t>
      </w:r>
      <w:r w:rsidRPr="00312FB2">
        <w:rPr>
          <w:rFonts w:cs="Arial"/>
          <w:lang w:val="es-ES_tradnl"/>
        </w:rPr>
        <w:t xml:space="preserve">otas a los </w:t>
      </w:r>
      <w:r>
        <w:rPr>
          <w:rFonts w:cs="Arial"/>
          <w:lang w:val="es-ES_tradnl"/>
        </w:rPr>
        <w:t>E</w:t>
      </w:r>
      <w:r w:rsidRPr="00312FB2">
        <w:rPr>
          <w:rFonts w:cs="Arial"/>
          <w:lang w:val="es-ES_tradnl"/>
        </w:rPr>
        <w:t xml:space="preserve">stados </w:t>
      </w:r>
      <w:r>
        <w:rPr>
          <w:rFonts w:cs="Arial"/>
          <w:lang w:val="es-ES_tradnl"/>
        </w:rPr>
        <w:t>Financieros por el E</w:t>
      </w:r>
      <w:r w:rsidRPr="00312FB2">
        <w:rPr>
          <w:rFonts w:cs="Arial"/>
          <w:lang w:val="es-ES_tradnl"/>
        </w:rPr>
        <w:t>jercicio cerrado el 31/12/2016</w:t>
      </w:r>
      <w:r>
        <w:rPr>
          <w:rFonts w:cs="Arial"/>
          <w:lang w:val="es-ES_tradnl"/>
        </w:rPr>
        <w:t>,</w:t>
      </w:r>
      <w:r w:rsidRPr="00312FB2">
        <w:rPr>
          <w:rFonts w:cs="Arial"/>
          <w:lang w:val="es-ES_tradnl"/>
        </w:rPr>
        <w:t xml:space="preserve"> los criterios técnicos empleados referentes a la fijación de la vida útil y el método de amortización utilizado para cada categoría de elementos de propiedad, planta y equipo, conforme lo di</w:t>
      </w:r>
      <w:r>
        <w:rPr>
          <w:rFonts w:cs="Arial"/>
          <w:lang w:val="es-ES_tradnl"/>
        </w:rPr>
        <w:t>spone la NIIF para PYMES en su P</w:t>
      </w:r>
      <w:r w:rsidRPr="00312FB2">
        <w:rPr>
          <w:rFonts w:cs="Arial"/>
          <w:lang w:val="es-ES_tradnl"/>
        </w:rPr>
        <w:t>árrafo 17.31 (Información a revelar).</w:t>
      </w:r>
    </w:p>
    <w:p w:rsidR="008C6D06" w:rsidRDefault="008C6D06" w:rsidP="008C6D06">
      <w:pPr>
        <w:spacing w:line="360" w:lineRule="auto"/>
        <w:jc w:val="both"/>
        <w:rPr>
          <w:rFonts w:cs="Arial"/>
          <w:lang w:val="es-ES_tradnl"/>
        </w:rPr>
      </w:pPr>
      <w:r>
        <w:rPr>
          <w:rFonts w:cs="Arial"/>
          <w:b/>
          <w:lang w:val="es-ES_tradnl"/>
        </w:rPr>
        <w:t xml:space="preserve">2.4 - </w:t>
      </w:r>
      <w:r>
        <w:rPr>
          <w:rFonts w:cs="Arial"/>
          <w:lang w:val="es-ES_tradnl"/>
        </w:rPr>
        <w:t>El E</w:t>
      </w:r>
      <w:r w:rsidRPr="00312FB2">
        <w:rPr>
          <w:rFonts w:cs="Arial"/>
          <w:lang w:val="es-ES_tradnl"/>
        </w:rPr>
        <w:t xml:space="preserve">nte no efectúa Arqueos de Caja y Valores con la periodicidad adecuada de acuerdo a lo dispuesto </w:t>
      </w:r>
      <w:r>
        <w:rPr>
          <w:rFonts w:cs="Arial"/>
          <w:lang w:val="es-ES_tradnl"/>
        </w:rPr>
        <w:t>en el Artículo 119 del TOCAF y</w:t>
      </w:r>
      <w:r w:rsidRPr="00312FB2">
        <w:rPr>
          <w:rFonts w:cs="Arial"/>
          <w:lang w:val="es-ES_tradnl"/>
        </w:rPr>
        <w:t xml:space="preserve"> la Ordenanza Nº 29 del Tribunal de Cuentas.</w:t>
      </w:r>
    </w:p>
    <w:p w:rsidR="008C6D06" w:rsidRDefault="008C6D06" w:rsidP="008C6D06">
      <w:pPr>
        <w:spacing w:line="360" w:lineRule="auto"/>
        <w:jc w:val="both"/>
        <w:rPr>
          <w:rFonts w:cs="Arial"/>
          <w:lang w:val="es-ES_tradnl"/>
        </w:rPr>
      </w:pPr>
      <w:r w:rsidRPr="0061498B">
        <w:rPr>
          <w:rFonts w:cs="Arial"/>
          <w:b/>
          <w:lang w:val="es-ES_tradnl"/>
        </w:rPr>
        <w:t>2.5 -</w:t>
      </w:r>
      <w:r>
        <w:rPr>
          <w:rFonts w:cs="Arial"/>
          <w:lang w:val="es-ES_tradnl"/>
        </w:rPr>
        <w:t xml:space="preserve"> </w:t>
      </w:r>
      <w:r w:rsidRPr="0061498B">
        <w:rPr>
          <w:rFonts w:cs="Arial"/>
          <w:lang w:val="es-ES_tradnl"/>
        </w:rPr>
        <w:t>El ente no ha previsto un cronograma de revisión integral de los manuales de procedimientos. Por tal motivo desde su elaboración (2009-2010) no han sido actualizados, no pudiendo asegurar la aplicabilidad del contenido de los mismos, a excepción de los procesos de ruta fija que fueron incorporados en el SGDC. Se ha constatado el desconocimiento de los mismos por parte del personal. Adicionalmente no fueron incorporados en la intranet del ente todos los procedimientos detallados en los manuales a efectos de facilitar su difusión.</w:t>
      </w:r>
    </w:p>
    <w:p w:rsidR="008C6D06" w:rsidRDefault="008C6D06" w:rsidP="008C6D06">
      <w:pPr>
        <w:spacing w:line="360" w:lineRule="auto"/>
        <w:jc w:val="both"/>
        <w:rPr>
          <w:rFonts w:cs="Arial"/>
          <w:lang w:val="es-ES_tradnl"/>
        </w:rPr>
      </w:pPr>
      <w:r>
        <w:rPr>
          <w:rFonts w:cs="Arial"/>
          <w:b/>
          <w:lang w:val="es-ES_tradnl"/>
        </w:rPr>
        <w:t xml:space="preserve">2.6 - </w:t>
      </w:r>
      <w:r>
        <w:rPr>
          <w:rFonts w:cs="Arial"/>
          <w:lang w:val="es-ES_tradnl"/>
        </w:rPr>
        <w:t>A</w:t>
      </w:r>
      <w:r w:rsidRPr="00312FB2">
        <w:rPr>
          <w:rFonts w:cs="Arial"/>
          <w:lang w:val="es-ES_tradnl"/>
        </w:rPr>
        <w:t>l ci</w:t>
      </w:r>
      <w:r>
        <w:rPr>
          <w:rFonts w:cs="Arial"/>
          <w:lang w:val="es-ES_tradnl"/>
        </w:rPr>
        <w:t>erre del Ejercicio 2016 el INC ha</w:t>
      </w:r>
      <w:r w:rsidRPr="00312FB2">
        <w:rPr>
          <w:rFonts w:cs="Arial"/>
          <w:lang w:val="es-ES_tradnl"/>
        </w:rPr>
        <w:t xml:space="preserve"> conciliado el 44% de la información sobre fracciones propiedad del </w:t>
      </w:r>
      <w:r>
        <w:rPr>
          <w:rFonts w:cs="Arial"/>
          <w:lang w:val="es-ES_tradnl"/>
        </w:rPr>
        <w:t>Ente</w:t>
      </w:r>
      <w:r w:rsidRPr="00312FB2">
        <w:rPr>
          <w:rFonts w:cs="Arial"/>
          <w:lang w:val="es-ES_tradnl"/>
        </w:rPr>
        <w:t xml:space="preserve"> que dispone el Departamento de Agrimensura y la División Contaduría con los títulos de propiedad en poder de la División Notarial.</w:t>
      </w:r>
    </w:p>
    <w:p w:rsidR="008C6D06" w:rsidRPr="0061498B" w:rsidRDefault="008C6D06" w:rsidP="008C6D06">
      <w:pPr>
        <w:spacing w:line="360" w:lineRule="auto"/>
        <w:jc w:val="both"/>
        <w:rPr>
          <w:rFonts w:cs="Arial"/>
          <w:lang w:val="es-ES_tradnl"/>
        </w:rPr>
      </w:pPr>
      <w:r>
        <w:rPr>
          <w:rFonts w:cs="Arial"/>
          <w:b/>
          <w:lang w:val="es-ES_tradnl"/>
        </w:rPr>
        <w:t xml:space="preserve">2.7 - </w:t>
      </w:r>
      <w:r w:rsidRPr="0061498B">
        <w:rPr>
          <w:rFonts w:cs="Arial"/>
          <w:lang w:val="es-ES_tradnl"/>
        </w:rPr>
        <w:t>Al analizar las registraciones contables efectuadas relativas a las deudas financieras que mantiene el INC con el BROU, se pudo constatar que por error se duplicó el cargo por intereses (U$S 81.267,73) correspondientes al préstamo de largo plazo contraído el 26/03/12 con amortizaciones semestrales.</w:t>
      </w:r>
    </w:p>
    <w:p w:rsidR="008C6D06" w:rsidRPr="0061498B" w:rsidRDefault="008C6D06" w:rsidP="008C6D06">
      <w:pPr>
        <w:spacing w:line="360" w:lineRule="auto"/>
        <w:jc w:val="both"/>
        <w:rPr>
          <w:rFonts w:cs="Arial"/>
          <w:lang w:val="es-ES_tradnl"/>
        </w:rPr>
      </w:pPr>
      <w:r>
        <w:rPr>
          <w:rFonts w:cs="Arial"/>
          <w:b/>
          <w:lang w:val="es-ES_tradnl"/>
        </w:rPr>
        <w:t xml:space="preserve">2.8 - </w:t>
      </w:r>
      <w:r w:rsidRPr="0061498B">
        <w:rPr>
          <w:rFonts w:cs="Arial"/>
          <w:lang w:val="es-ES_tradnl"/>
        </w:rPr>
        <w:t xml:space="preserve">Por error al confeccionar el Cuadro de Revaluación y Amortización de los Bienes de Uso, Intangibles e Inversiones del INC al 31/12/2016, el ajuste al valor de los inmuebles intransferibles, se colocó como un alta del </w:t>
      </w:r>
      <w:r>
        <w:rPr>
          <w:rFonts w:cs="Arial"/>
          <w:lang w:val="es-ES_tradnl"/>
        </w:rPr>
        <w:t>e</w:t>
      </w:r>
      <w:r w:rsidRPr="0061498B">
        <w:rPr>
          <w:rFonts w:cs="Arial"/>
          <w:lang w:val="es-ES_tradnl"/>
        </w:rPr>
        <w:t>jercicio y no en la columna prevista a sus efectos (de revaluaciones).</w:t>
      </w:r>
    </w:p>
    <w:p w:rsidR="008C6D06" w:rsidRDefault="008C6D06" w:rsidP="008C6D06">
      <w:pPr>
        <w:spacing w:line="360" w:lineRule="auto"/>
        <w:jc w:val="both"/>
        <w:rPr>
          <w:rFonts w:cs="Arial"/>
          <w:lang w:val="es-ES_tradnl"/>
        </w:rPr>
      </w:pPr>
      <w:r>
        <w:rPr>
          <w:rFonts w:cs="Arial"/>
          <w:b/>
          <w:lang w:val="es-ES_tradnl"/>
        </w:rPr>
        <w:t xml:space="preserve">2.9 - </w:t>
      </w:r>
      <w:r>
        <w:rPr>
          <w:rFonts w:cs="Arial"/>
          <w:lang w:val="es-ES_tradnl"/>
        </w:rPr>
        <w:t>El INC no ha presentado los Estados F</w:t>
      </w:r>
      <w:r w:rsidRPr="0061498B">
        <w:rPr>
          <w:rFonts w:cs="Arial"/>
          <w:lang w:val="es-ES_tradnl"/>
        </w:rPr>
        <w:t xml:space="preserve">inancieros completos, al no presentar el </w:t>
      </w:r>
      <w:r>
        <w:rPr>
          <w:rFonts w:cs="Arial"/>
          <w:lang w:val="es-ES_tradnl"/>
        </w:rPr>
        <w:t>E</w:t>
      </w:r>
      <w:r w:rsidRPr="0061498B">
        <w:rPr>
          <w:rFonts w:cs="Arial"/>
          <w:lang w:val="es-ES_tradnl"/>
        </w:rPr>
        <w:t xml:space="preserve">stado de resultado integral por el </w:t>
      </w:r>
      <w:r>
        <w:rPr>
          <w:rFonts w:cs="Arial"/>
          <w:lang w:val="es-ES_tradnl"/>
        </w:rPr>
        <w:t>E</w:t>
      </w:r>
      <w:r w:rsidRPr="0061498B">
        <w:rPr>
          <w:rFonts w:cs="Arial"/>
          <w:lang w:val="es-ES_tradnl"/>
        </w:rPr>
        <w:t xml:space="preserve">jercicio 2016, conforme lo dispone la NIIF para Pymes en </w:t>
      </w:r>
      <w:r>
        <w:rPr>
          <w:rFonts w:cs="Arial"/>
          <w:lang w:val="es-ES_tradnl"/>
        </w:rPr>
        <w:t>el P</w:t>
      </w:r>
      <w:r w:rsidRPr="0061498B">
        <w:rPr>
          <w:rFonts w:cs="Arial"/>
          <w:lang w:val="es-ES_tradnl"/>
        </w:rPr>
        <w:t xml:space="preserve">árrafo 3.17. El INC ha omitido reflejar los componentes de Otro Resultado Integral (ORI), como ser el incremento patrimonial por la revaluación ocurrido en el INC en el </w:t>
      </w:r>
      <w:r>
        <w:rPr>
          <w:rFonts w:cs="Arial"/>
          <w:lang w:val="es-ES_tradnl"/>
        </w:rPr>
        <w:t>E</w:t>
      </w:r>
      <w:r w:rsidRPr="0061498B">
        <w:rPr>
          <w:rFonts w:cs="Arial"/>
          <w:lang w:val="es-ES_tradnl"/>
        </w:rPr>
        <w:t>jercicio 2016.</w:t>
      </w:r>
    </w:p>
    <w:p w:rsidR="008C6D06" w:rsidRPr="009E130F" w:rsidRDefault="008C6D06" w:rsidP="008C6D06">
      <w:pPr>
        <w:spacing w:line="360" w:lineRule="auto"/>
        <w:jc w:val="both"/>
        <w:rPr>
          <w:rFonts w:cs="Arial"/>
          <w:lang w:val="es-ES_tradnl"/>
        </w:rPr>
      </w:pPr>
      <w:r>
        <w:rPr>
          <w:rFonts w:cs="Arial"/>
          <w:b/>
          <w:lang w:val="es-ES_tradnl"/>
        </w:rPr>
        <w:t xml:space="preserve">2.10 - </w:t>
      </w:r>
      <w:r>
        <w:rPr>
          <w:rFonts w:cs="Arial"/>
          <w:lang w:val="es-ES_tradnl"/>
        </w:rPr>
        <w:t>E</w:t>
      </w:r>
      <w:r w:rsidRPr="006350F2">
        <w:rPr>
          <w:rFonts w:cs="Arial"/>
          <w:lang w:val="es-UY"/>
        </w:rPr>
        <w:t>l Instituto Nacion</w:t>
      </w:r>
      <w:r>
        <w:rPr>
          <w:rFonts w:cs="Arial"/>
          <w:lang w:val="es-UY"/>
        </w:rPr>
        <w:t>al de Colonización presentó el E</w:t>
      </w:r>
      <w:r w:rsidRPr="006350F2">
        <w:rPr>
          <w:rFonts w:cs="Arial"/>
          <w:lang w:val="es-UY"/>
        </w:rPr>
        <w:t>stado de flujos de efectivo de las operaciones por el método indirecto</w:t>
      </w:r>
      <w:r>
        <w:rPr>
          <w:rFonts w:cs="Arial"/>
          <w:lang w:val="es-UY"/>
        </w:rPr>
        <w:t xml:space="preserve"> conforme a lo dispuesto en el P</w:t>
      </w:r>
      <w:r w:rsidRPr="006350F2">
        <w:rPr>
          <w:rFonts w:cs="Arial"/>
          <w:lang w:val="es-UY"/>
        </w:rPr>
        <w:t xml:space="preserve">árrafo 7.8 de la NIIF para Pymes, ajustando el resultado neto del </w:t>
      </w:r>
      <w:r>
        <w:rPr>
          <w:rFonts w:cs="Arial"/>
          <w:lang w:val="es-UY"/>
        </w:rPr>
        <w:t>E</w:t>
      </w:r>
      <w:r w:rsidRPr="006350F2">
        <w:rPr>
          <w:rFonts w:cs="Arial"/>
          <w:lang w:val="es-UY"/>
        </w:rPr>
        <w:t>jercicio por los efectos de los cambios en los activos y pasivos operativos y las partidas sin reflejo en el efectivo (movimientos de no fondos), informando adicionalmente p</w:t>
      </w:r>
      <w:proofErr w:type="spellStart"/>
      <w:r w:rsidRPr="006350F2">
        <w:rPr>
          <w:rFonts w:cs="Arial"/>
          <w:sz w:val="25"/>
          <w:szCs w:val="25"/>
        </w:rPr>
        <w:t>or</w:t>
      </w:r>
      <w:proofErr w:type="spellEnd"/>
      <w:r w:rsidRPr="006350F2">
        <w:rPr>
          <w:rFonts w:cs="Arial"/>
          <w:sz w:val="25"/>
          <w:szCs w:val="25"/>
        </w:rPr>
        <w:t xml:space="preserve"> separado las principales categorías de cobros y pagos brutos procedentes de actividades de inversión y financiación.</w:t>
      </w:r>
    </w:p>
    <w:p w:rsidR="008C6D06" w:rsidRDefault="008C6D06" w:rsidP="008C6D06">
      <w:pPr>
        <w:pStyle w:val="Indent1"/>
        <w:keepNext/>
        <w:tabs>
          <w:tab w:val="left" w:pos="0"/>
        </w:tabs>
        <w:spacing w:after="0" w:line="360" w:lineRule="auto"/>
        <w:ind w:left="0" w:firstLine="709"/>
        <w:rPr>
          <w:rFonts w:ascii="Arial" w:eastAsia="Times New Roman" w:hAnsi="Arial" w:cs="Arial"/>
          <w:sz w:val="25"/>
          <w:szCs w:val="25"/>
          <w:lang w:eastAsia="es-ES"/>
        </w:rPr>
      </w:pPr>
      <w:r>
        <w:rPr>
          <w:rFonts w:ascii="Arial" w:eastAsia="Times New Roman" w:hAnsi="Arial" w:cs="Arial"/>
          <w:sz w:val="25"/>
          <w:szCs w:val="25"/>
          <w:lang w:eastAsia="es-ES"/>
        </w:rPr>
        <w:t>Sin embargo, por error quedaron incluidas dentro de movimientos de fondos provenientes de actividades de</w:t>
      </w:r>
      <w:r w:rsidRPr="006350F2">
        <w:rPr>
          <w:rFonts w:ascii="Arial" w:eastAsia="Times New Roman" w:hAnsi="Arial" w:cs="Arial"/>
          <w:sz w:val="25"/>
          <w:szCs w:val="25"/>
          <w:lang w:eastAsia="es-ES"/>
        </w:rPr>
        <w:t xml:space="preserve"> inversión y de financiación,</w:t>
      </w:r>
      <w:r>
        <w:rPr>
          <w:rFonts w:ascii="Arial" w:eastAsia="Times New Roman" w:hAnsi="Arial" w:cs="Arial"/>
          <w:sz w:val="25"/>
          <w:szCs w:val="25"/>
          <w:lang w:eastAsia="es-ES"/>
        </w:rPr>
        <w:t xml:space="preserve"> partidas sin reflejo de efectivo, las cuales debieron ser ajustadas como movimientos de no fondos.</w:t>
      </w:r>
    </w:p>
    <w:p w:rsidR="008C6D06" w:rsidRDefault="009C1306" w:rsidP="008C6D06">
      <w:pPr>
        <w:tabs>
          <w:tab w:val="left" w:pos="426"/>
          <w:tab w:val="left" w:pos="709"/>
        </w:tabs>
        <w:spacing w:line="360" w:lineRule="auto"/>
        <w:jc w:val="both"/>
        <w:rPr>
          <w:b/>
          <w:bCs/>
        </w:rPr>
      </w:pPr>
      <w:r>
        <w:rPr>
          <w:b/>
          <w:bCs/>
        </w:rPr>
        <w:t>3 - Recomendaciones</w:t>
      </w:r>
    </w:p>
    <w:p w:rsidR="008C6D06" w:rsidRPr="006F5765" w:rsidRDefault="008C6D06" w:rsidP="008C6D06">
      <w:pPr>
        <w:pStyle w:val="Prrafodelista"/>
        <w:numPr>
          <w:ilvl w:val="1"/>
          <w:numId w:val="24"/>
        </w:numPr>
        <w:tabs>
          <w:tab w:val="left" w:pos="426"/>
        </w:tabs>
        <w:spacing w:line="360" w:lineRule="auto"/>
        <w:jc w:val="both"/>
        <w:rPr>
          <w:rFonts w:cs="Arial"/>
          <w:b/>
        </w:rPr>
      </w:pPr>
      <w:r>
        <w:rPr>
          <w:rFonts w:cs="Arial"/>
          <w:b/>
        </w:rPr>
        <w:t xml:space="preserve">- </w:t>
      </w:r>
      <w:r w:rsidRPr="006F5765">
        <w:rPr>
          <w:rFonts w:cs="Arial"/>
          <w:b/>
        </w:rPr>
        <w:t xml:space="preserve">Recomendaciones de </w:t>
      </w:r>
      <w:r>
        <w:rPr>
          <w:rFonts w:cs="Arial"/>
          <w:b/>
        </w:rPr>
        <w:t>E</w:t>
      </w:r>
      <w:r w:rsidRPr="006F5765">
        <w:rPr>
          <w:rFonts w:cs="Arial"/>
          <w:b/>
        </w:rPr>
        <w:t>jercicios anteriores</w:t>
      </w:r>
    </w:p>
    <w:p w:rsidR="008C6D06" w:rsidRPr="006F5765" w:rsidRDefault="008C6D06" w:rsidP="008C6D06">
      <w:pPr>
        <w:spacing w:line="360" w:lineRule="auto"/>
        <w:jc w:val="both"/>
        <w:rPr>
          <w:rFonts w:cs="Arial"/>
          <w:b/>
        </w:rPr>
      </w:pPr>
      <w:r>
        <w:rPr>
          <w:rFonts w:cs="Arial"/>
          <w:b/>
        </w:rPr>
        <w:t xml:space="preserve">3.1.1 - </w:t>
      </w:r>
      <w:r w:rsidRPr="006F5765">
        <w:rPr>
          <w:rFonts w:cs="Arial"/>
          <w:b/>
        </w:rPr>
        <w:t>Cumplidas</w:t>
      </w:r>
    </w:p>
    <w:p w:rsidR="008C6D06" w:rsidRPr="00880644" w:rsidRDefault="008C6D06" w:rsidP="008C6D0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Courier New"/>
          <w:color w:val="000000"/>
          <w:szCs w:val="20"/>
        </w:rPr>
      </w:pPr>
      <w:r>
        <w:rPr>
          <w:rFonts w:cs="Courier New"/>
          <w:b/>
          <w:color w:val="000000"/>
          <w:szCs w:val="20"/>
        </w:rPr>
        <w:t>3</w:t>
      </w:r>
      <w:r w:rsidRPr="00880644">
        <w:rPr>
          <w:rFonts w:cs="Courier New"/>
          <w:b/>
          <w:color w:val="000000"/>
          <w:szCs w:val="20"/>
        </w:rPr>
        <w:t>.1.1.1</w:t>
      </w:r>
      <w:r>
        <w:rPr>
          <w:rFonts w:cs="Courier New"/>
          <w:color w:val="000000"/>
          <w:szCs w:val="20"/>
        </w:rPr>
        <w:t xml:space="preserve"> - </w:t>
      </w:r>
      <w:r w:rsidRPr="00880644">
        <w:rPr>
          <w:rFonts w:cs="Courier New"/>
          <w:color w:val="000000"/>
          <w:szCs w:val="20"/>
        </w:rPr>
        <w:t>El inventario de inmuebles y mejoras propiedad del INC que in</w:t>
      </w:r>
      <w:r>
        <w:rPr>
          <w:rFonts w:cs="Courier New"/>
          <w:color w:val="000000"/>
          <w:szCs w:val="20"/>
        </w:rPr>
        <w:t xml:space="preserve">ició en el 2014, culminó en el Ejercicio 2016, siendo reflejada su valoración </w:t>
      </w:r>
      <w:r w:rsidRPr="00880644">
        <w:rPr>
          <w:rFonts w:cs="Courier New"/>
          <w:color w:val="000000"/>
          <w:szCs w:val="20"/>
        </w:rPr>
        <w:t xml:space="preserve">en los </w:t>
      </w:r>
      <w:r>
        <w:rPr>
          <w:rFonts w:cs="Courier New"/>
          <w:color w:val="000000"/>
          <w:szCs w:val="20"/>
        </w:rPr>
        <w:t>E</w:t>
      </w:r>
      <w:r w:rsidRPr="00880644">
        <w:rPr>
          <w:rFonts w:cs="Courier New"/>
          <w:color w:val="000000"/>
          <w:szCs w:val="20"/>
        </w:rPr>
        <w:t xml:space="preserve">stados </w:t>
      </w:r>
      <w:r>
        <w:rPr>
          <w:rFonts w:cs="Courier New"/>
          <w:color w:val="000000"/>
          <w:szCs w:val="20"/>
        </w:rPr>
        <w:t>F</w:t>
      </w:r>
      <w:r w:rsidRPr="00880644">
        <w:rPr>
          <w:rFonts w:cs="Courier New"/>
          <w:color w:val="000000"/>
          <w:szCs w:val="20"/>
        </w:rPr>
        <w:t>inancieros cerrados al 31/12/2016.</w:t>
      </w:r>
    </w:p>
    <w:p w:rsidR="008C6D06" w:rsidRDefault="008C6D06" w:rsidP="008C6D06">
      <w:pPr>
        <w:pStyle w:val="Bodyby"/>
        <w:tabs>
          <w:tab w:val="left" w:pos="851"/>
        </w:tabs>
        <w:spacing w:after="0" w:line="360" w:lineRule="auto"/>
        <w:jc w:val="both"/>
        <w:rPr>
          <w:rFonts w:ascii="Arial" w:hAnsi="Arial" w:cs="Arial"/>
          <w:sz w:val="24"/>
          <w:szCs w:val="24"/>
        </w:rPr>
      </w:pPr>
      <w:r w:rsidRPr="009E130F">
        <w:rPr>
          <w:rFonts w:ascii="Arial" w:hAnsi="Arial" w:cs="Arial"/>
          <w:b/>
          <w:sz w:val="24"/>
          <w:szCs w:val="24"/>
        </w:rPr>
        <w:t>3.1.1.2</w:t>
      </w:r>
      <w:r>
        <w:rPr>
          <w:rFonts w:ascii="Arial" w:hAnsi="Arial" w:cs="Arial"/>
          <w:b/>
          <w:sz w:val="24"/>
          <w:szCs w:val="24"/>
        </w:rPr>
        <w:t xml:space="preserve"> - </w:t>
      </w:r>
      <w:r>
        <w:rPr>
          <w:rFonts w:ascii="Arial" w:hAnsi="Arial" w:cs="Arial"/>
          <w:sz w:val="24"/>
          <w:szCs w:val="24"/>
        </w:rPr>
        <w:t>La Jefatura de Contralor y Gestión de Cobros a partir del Ejercicio 2016 eleva al Directorio todos aquellos casos en los que el colono arrendatario se encuentra adeudando más de dos años de renta, solicitando la rescisión de contrato y la adopción de medidas judiciales en caso de corresponder, tal como establece el Artículo 101 de la Ley Nº 11.029.</w:t>
      </w:r>
    </w:p>
    <w:p w:rsidR="008C6D06" w:rsidRPr="00880644" w:rsidRDefault="008C6D06" w:rsidP="008C6D06">
      <w:pPr>
        <w:pStyle w:val="Bodyby"/>
        <w:tabs>
          <w:tab w:val="left" w:pos="851"/>
        </w:tabs>
        <w:spacing w:after="0" w:line="360" w:lineRule="auto"/>
        <w:ind w:firstLine="709"/>
        <w:jc w:val="both"/>
        <w:rPr>
          <w:rFonts w:ascii="Arial" w:hAnsi="Arial" w:cs="Arial"/>
          <w:sz w:val="24"/>
          <w:szCs w:val="24"/>
        </w:rPr>
      </w:pPr>
      <w:r>
        <w:rPr>
          <w:rFonts w:ascii="Arial" w:hAnsi="Arial" w:cs="Arial"/>
          <w:sz w:val="24"/>
          <w:szCs w:val="24"/>
        </w:rPr>
        <w:t>A</w:t>
      </w:r>
      <w:r w:rsidRPr="00880644">
        <w:rPr>
          <w:rFonts w:ascii="Arial" w:hAnsi="Arial" w:cs="Arial"/>
          <w:sz w:val="24"/>
          <w:szCs w:val="24"/>
        </w:rPr>
        <w:t xml:space="preserve"> partir del mes de noviembre de 2016 los pagos de las Regionales fueron centralizados en Casa Central</w:t>
      </w:r>
      <w:r>
        <w:rPr>
          <w:rFonts w:ascii="Arial" w:hAnsi="Arial" w:cs="Arial"/>
          <w:sz w:val="24"/>
          <w:szCs w:val="24"/>
        </w:rPr>
        <w:t xml:space="preserve"> evitando los pagos con cheques a sola firma</w:t>
      </w:r>
      <w:r w:rsidRPr="00880644">
        <w:rPr>
          <w:rFonts w:ascii="Arial" w:hAnsi="Arial" w:cs="Arial"/>
          <w:sz w:val="24"/>
          <w:szCs w:val="24"/>
        </w:rPr>
        <w:t>, para ello se instruyó un procedimiento por parte del Departamento de Liquidaciones del INC. En tanto los gastos de menor cuantía continuaron siendo atendidos por los fondos fijos de las Regionales tales como están dispuestos.</w:t>
      </w:r>
    </w:p>
    <w:p w:rsidR="008C6D06" w:rsidRDefault="008C6D06" w:rsidP="008C6D06">
      <w:pPr>
        <w:spacing w:line="360" w:lineRule="auto"/>
        <w:jc w:val="both"/>
        <w:rPr>
          <w:b/>
        </w:rPr>
      </w:pPr>
      <w:r>
        <w:rPr>
          <w:b/>
          <w:bCs/>
          <w:lang w:val="es-ES_tradnl"/>
        </w:rPr>
        <w:t>3</w:t>
      </w:r>
      <w:r w:rsidRPr="00B06179">
        <w:rPr>
          <w:b/>
          <w:bCs/>
          <w:lang w:val="es-ES_tradnl"/>
        </w:rPr>
        <w:t>.1.2</w:t>
      </w:r>
      <w:r>
        <w:rPr>
          <w:b/>
          <w:bCs/>
          <w:lang w:val="es-ES_tradnl"/>
        </w:rPr>
        <w:t xml:space="preserve"> - </w:t>
      </w:r>
      <w:r>
        <w:rPr>
          <w:b/>
        </w:rPr>
        <w:t>No cumplidas</w:t>
      </w:r>
    </w:p>
    <w:p w:rsidR="008C6D06" w:rsidRPr="009E130F" w:rsidRDefault="008C6D06" w:rsidP="008C6D06">
      <w:pPr>
        <w:spacing w:line="360" w:lineRule="auto"/>
        <w:ind w:firstLine="709"/>
        <w:jc w:val="both"/>
        <w:rPr>
          <w:b/>
        </w:rPr>
      </w:pPr>
      <w:r w:rsidRPr="00880644">
        <w:t xml:space="preserve">El </w:t>
      </w:r>
      <w:r>
        <w:t>INC no dio cumplimiento a:</w:t>
      </w:r>
    </w:p>
    <w:p w:rsidR="008C6D06" w:rsidRDefault="008C6D06" w:rsidP="008C6D06">
      <w:pPr>
        <w:pStyle w:val="Bodyby"/>
        <w:tabs>
          <w:tab w:val="left" w:pos="-284"/>
        </w:tabs>
        <w:spacing w:after="120" w:line="360" w:lineRule="auto"/>
        <w:rPr>
          <w:rFonts w:ascii="Arial" w:hAnsi="Arial" w:cs="Arial"/>
          <w:sz w:val="24"/>
          <w:szCs w:val="24"/>
          <w:lang w:val="es-UY"/>
        </w:rPr>
      </w:pPr>
      <w:r>
        <w:rPr>
          <w:rFonts w:ascii="Arial" w:hAnsi="Arial" w:cs="Arial"/>
          <w:b/>
          <w:sz w:val="24"/>
        </w:rPr>
        <w:t>3</w:t>
      </w:r>
      <w:r w:rsidRPr="00880644">
        <w:rPr>
          <w:rFonts w:ascii="Arial" w:hAnsi="Arial" w:cs="Arial"/>
          <w:b/>
          <w:sz w:val="24"/>
        </w:rPr>
        <w:t>.1.2.1</w:t>
      </w:r>
      <w:r>
        <w:rPr>
          <w:rFonts w:ascii="Arial" w:hAnsi="Arial" w:cs="Arial"/>
          <w:b/>
          <w:sz w:val="24"/>
        </w:rPr>
        <w:t xml:space="preserve"> -</w:t>
      </w:r>
      <w:r>
        <w:rPr>
          <w:rFonts w:ascii="Arial" w:hAnsi="Arial" w:cs="Arial"/>
          <w:sz w:val="24"/>
        </w:rPr>
        <w:t xml:space="preserve"> </w:t>
      </w:r>
      <w:r>
        <w:rPr>
          <w:rFonts w:ascii="Arial" w:hAnsi="Arial" w:cs="Arial"/>
          <w:sz w:val="24"/>
          <w:szCs w:val="24"/>
          <w:lang w:val="es-UY"/>
        </w:rPr>
        <w:t>El INC no ha podido identificar  partidas conciliatorias que datan de los siguientes Ejercicios:</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2279"/>
        <w:gridCol w:w="2268"/>
      </w:tblGrid>
      <w:tr w:rsidR="008C6D06" w:rsidTr="008C6D06">
        <w:trPr>
          <w:trHeight w:val="407"/>
        </w:trPr>
        <w:tc>
          <w:tcPr>
            <w:tcW w:w="1123" w:type="dxa"/>
            <w:shd w:val="clear" w:color="auto" w:fill="auto"/>
          </w:tcPr>
          <w:p w:rsidR="008C6D06" w:rsidRPr="006458D2" w:rsidRDefault="008C6D06" w:rsidP="008C6D06">
            <w:pPr>
              <w:pStyle w:val="Bodyby"/>
              <w:spacing w:after="0" w:line="240" w:lineRule="auto"/>
              <w:jc w:val="center"/>
              <w:rPr>
                <w:rFonts w:ascii="Arial" w:hAnsi="Arial" w:cs="Arial"/>
                <w:sz w:val="24"/>
                <w:szCs w:val="24"/>
                <w:lang w:val="es-UY"/>
              </w:rPr>
            </w:pPr>
            <w:r w:rsidRPr="006458D2">
              <w:rPr>
                <w:rFonts w:ascii="Arial" w:hAnsi="Arial" w:cs="Arial"/>
                <w:sz w:val="24"/>
                <w:szCs w:val="24"/>
                <w:lang w:val="es-UY"/>
              </w:rPr>
              <w:t>Ejercicio</w:t>
            </w:r>
          </w:p>
        </w:tc>
        <w:tc>
          <w:tcPr>
            <w:tcW w:w="2279" w:type="dxa"/>
            <w:shd w:val="clear" w:color="auto" w:fill="auto"/>
          </w:tcPr>
          <w:p w:rsidR="008C6D06" w:rsidRPr="006458D2" w:rsidRDefault="008C6D06" w:rsidP="008C6D06">
            <w:pPr>
              <w:pStyle w:val="Bodyby"/>
              <w:spacing w:after="0" w:line="240" w:lineRule="auto"/>
              <w:jc w:val="center"/>
              <w:rPr>
                <w:rFonts w:ascii="Arial" w:hAnsi="Arial" w:cs="Arial"/>
                <w:sz w:val="24"/>
                <w:szCs w:val="24"/>
                <w:lang w:val="es-UY"/>
              </w:rPr>
            </w:pPr>
            <w:r w:rsidRPr="006458D2">
              <w:rPr>
                <w:rFonts w:ascii="Arial" w:hAnsi="Arial" w:cs="Arial"/>
                <w:sz w:val="24"/>
                <w:szCs w:val="24"/>
                <w:lang w:val="es-UY"/>
              </w:rPr>
              <w:t>Pesos</w:t>
            </w:r>
          </w:p>
        </w:tc>
        <w:tc>
          <w:tcPr>
            <w:tcW w:w="2268" w:type="dxa"/>
            <w:shd w:val="clear" w:color="auto" w:fill="auto"/>
          </w:tcPr>
          <w:p w:rsidR="008C6D06" w:rsidRPr="006458D2" w:rsidRDefault="008C6D06" w:rsidP="008C6D06">
            <w:pPr>
              <w:pStyle w:val="Bodyby"/>
              <w:spacing w:after="0" w:line="240" w:lineRule="auto"/>
              <w:jc w:val="center"/>
              <w:rPr>
                <w:rFonts w:ascii="Arial" w:hAnsi="Arial" w:cs="Arial"/>
                <w:sz w:val="24"/>
                <w:szCs w:val="24"/>
                <w:lang w:val="es-UY"/>
              </w:rPr>
            </w:pPr>
            <w:r w:rsidRPr="006458D2">
              <w:rPr>
                <w:rFonts w:ascii="Arial" w:hAnsi="Arial" w:cs="Arial"/>
                <w:sz w:val="24"/>
                <w:szCs w:val="24"/>
                <w:lang w:val="es-UY"/>
              </w:rPr>
              <w:t>Dólares</w:t>
            </w:r>
          </w:p>
        </w:tc>
      </w:tr>
      <w:tr w:rsidR="008C6D06" w:rsidTr="00A0392C">
        <w:tc>
          <w:tcPr>
            <w:tcW w:w="1123" w:type="dxa"/>
            <w:shd w:val="clear" w:color="auto" w:fill="auto"/>
          </w:tcPr>
          <w:p w:rsidR="008C6D06" w:rsidRPr="006458D2" w:rsidRDefault="008C6D06" w:rsidP="008C6D06">
            <w:pPr>
              <w:pStyle w:val="Bodyby"/>
              <w:spacing w:after="0" w:line="360" w:lineRule="auto"/>
              <w:jc w:val="center"/>
              <w:rPr>
                <w:rFonts w:ascii="Arial" w:hAnsi="Arial" w:cs="Arial"/>
                <w:sz w:val="24"/>
                <w:szCs w:val="24"/>
                <w:lang w:val="es-UY"/>
              </w:rPr>
            </w:pPr>
            <w:r w:rsidRPr="006458D2">
              <w:rPr>
                <w:rFonts w:ascii="Arial" w:hAnsi="Arial" w:cs="Arial"/>
                <w:sz w:val="24"/>
                <w:szCs w:val="24"/>
                <w:lang w:val="es-UY"/>
              </w:rPr>
              <w:t>2012</w:t>
            </w:r>
          </w:p>
        </w:tc>
        <w:tc>
          <w:tcPr>
            <w:tcW w:w="2279" w:type="dxa"/>
            <w:shd w:val="clear" w:color="auto" w:fill="auto"/>
          </w:tcPr>
          <w:p w:rsidR="008C6D06" w:rsidRPr="006458D2" w:rsidRDefault="008C6D06" w:rsidP="008C6D06">
            <w:pPr>
              <w:pStyle w:val="Bodyby"/>
              <w:numPr>
                <w:ilvl w:val="0"/>
                <w:numId w:val="20"/>
              </w:numPr>
              <w:spacing w:after="0" w:line="360" w:lineRule="auto"/>
              <w:ind w:left="0"/>
              <w:jc w:val="right"/>
              <w:rPr>
                <w:rFonts w:ascii="Arial" w:hAnsi="Arial" w:cs="Arial"/>
                <w:sz w:val="24"/>
                <w:szCs w:val="24"/>
                <w:lang w:val="es-UY"/>
              </w:rPr>
            </w:pPr>
          </w:p>
        </w:tc>
        <w:tc>
          <w:tcPr>
            <w:tcW w:w="2268" w:type="dxa"/>
            <w:shd w:val="clear" w:color="auto" w:fill="auto"/>
          </w:tcPr>
          <w:p w:rsidR="008C6D06" w:rsidRPr="006458D2" w:rsidRDefault="008C6D06" w:rsidP="008C6D06">
            <w:pPr>
              <w:pStyle w:val="Bodyby"/>
              <w:spacing w:after="0" w:line="360" w:lineRule="auto"/>
              <w:jc w:val="right"/>
              <w:rPr>
                <w:rFonts w:ascii="Arial" w:hAnsi="Arial" w:cs="Arial"/>
                <w:sz w:val="24"/>
                <w:szCs w:val="24"/>
                <w:lang w:val="es-UY"/>
              </w:rPr>
            </w:pPr>
            <w:r w:rsidRPr="006458D2">
              <w:rPr>
                <w:rFonts w:ascii="Arial" w:hAnsi="Arial" w:cs="Arial"/>
                <w:sz w:val="24"/>
                <w:szCs w:val="24"/>
                <w:lang w:val="es-UY"/>
              </w:rPr>
              <w:t xml:space="preserve">     395,00</w:t>
            </w:r>
          </w:p>
        </w:tc>
      </w:tr>
      <w:tr w:rsidR="008C6D06" w:rsidTr="00A0392C">
        <w:tc>
          <w:tcPr>
            <w:tcW w:w="1123" w:type="dxa"/>
            <w:shd w:val="clear" w:color="auto" w:fill="auto"/>
          </w:tcPr>
          <w:p w:rsidR="008C6D06" w:rsidRPr="006458D2" w:rsidRDefault="008C6D06" w:rsidP="008C6D06">
            <w:pPr>
              <w:pStyle w:val="Bodyby"/>
              <w:spacing w:after="0" w:line="360" w:lineRule="auto"/>
              <w:jc w:val="center"/>
              <w:rPr>
                <w:rFonts w:ascii="Arial" w:hAnsi="Arial" w:cs="Arial"/>
                <w:sz w:val="24"/>
                <w:szCs w:val="24"/>
                <w:lang w:val="es-UY"/>
              </w:rPr>
            </w:pPr>
            <w:r w:rsidRPr="006458D2">
              <w:rPr>
                <w:rFonts w:ascii="Arial" w:hAnsi="Arial" w:cs="Arial"/>
                <w:sz w:val="24"/>
                <w:szCs w:val="24"/>
                <w:lang w:val="es-UY"/>
              </w:rPr>
              <w:t>2013</w:t>
            </w:r>
          </w:p>
        </w:tc>
        <w:tc>
          <w:tcPr>
            <w:tcW w:w="2279" w:type="dxa"/>
            <w:shd w:val="clear" w:color="auto" w:fill="auto"/>
          </w:tcPr>
          <w:p w:rsidR="008C6D06" w:rsidRPr="006458D2" w:rsidRDefault="008C6D06" w:rsidP="008C6D06">
            <w:pPr>
              <w:pStyle w:val="Bodyby"/>
              <w:numPr>
                <w:ilvl w:val="0"/>
                <w:numId w:val="20"/>
              </w:numPr>
              <w:spacing w:after="0" w:line="360" w:lineRule="auto"/>
              <w:ind w:left="0"/>
              <w:jc w:val="right"/>
              <w:rPr>
                <w:rFonts w:ascii="Arial" w:hAnsi="Arial" w:cs="Arial"/>
                <w:sz w:val="24"/>
                <w:szCs w:val="24"/>
                <w:lang w:val="es-UY"/>
              </w:rPr>
            </w:pPr>
          </w:p>
        </w:tc>
        <w:tc>
          <w:tcPr>
            <w:tcW w:w="2268" w:type="dxa"/>
            <w:shd w:val="clear" w:color="auto" w:fill="auto"/>
          </w:tcPr>
          <w:p w:rsidR="008C6D06" w:rsidRPr="006458D2" w:rsidRDefault="008C6D06" w:rsidP="008C6D06">
            <w:pPr>
              <w:pStyle w:val="Bodyby"/>
              <w:spacing w:after="0" w:line="360" w:lineRule="auto"/>
              <w:jc w:val="right"/>
              <w:rPr>
                <w:rFonts w:ascii="Arial" w:hAnsi="Arial" w:cs="Arial"/>
                <w:sz w:val="24"/>
                <w:szCs w:val="24"/>
                <w:lang w:val="es-UY"/>
              </w:rPr>
            </w:pPr>
            <w:r w:rsidRPr="006458D2">
              <w:rPr>
                <w:rFonts w:ascii="Arial" w:hAnsi="Arial" w:cs="Arial"/>
                <w:sz w:val="24"/>
                <w:szCs w:val="24"/>
                <w:lang w:val="es-UY"/>
              </w:rPr>
              <w:t xml:space="preserve">     188,00</w:t>
            </w:r>
          </w:p>
        </w:tc>
      </w:tr>
      <w:tr w:rsidR="008C6D06" w:rsidTr="00A0392C">
        <w:tc>
          <w:tcPr>
            <w:tcW w:w="1123" w:type="dxa"/>
            <w:shd w:val="clear" w:color="auto" w:fill="auto"/>
          </w:tcPr>
          <w:p w:rsidR="008C6D06" w:rsidRPr="006458D2" w:rsidRDefault="008C6D06" w:rsidP="008C6D06">
            <w:pPr>
              <w:pStyle w:val="Bodyby"/>
              <w:spacing w:after="0" w:line="360" w:lineRule="auto"/>
              <w:jc w:val="center"/>
              <w:rPr>
                <w:rFonts w:ascii="Arial" w:hAnsi="Arial" w:cs="Arial"/>
                <w:sz w:val="24"/>
                <w:szCs w:val="24"/>
                <w:lang w:val="es-UY"/>
              </w:rPr>
            </w:pPr>
            <w:r w:rsidRPr="006458D2">
              <w:rPr>
                <w:rFonts w:ascii="Arial" w:hAnsi="Arial" w:cs="Arial"/>
                <w:sz w:val="24"/>
                <w:szCs w:val="24"/>
                <w:lang w:val="es-UY"/>
              </w:rPr>
              <w:t>2014</w:t>
            </w:r>
          </w:p>
        </w:tc>
        <w:tc>
          <w:tcPr>
            <w:tcW w:w="2279" w:type="dxa"/>
            <w:shd w:val="clear" w:color="auto" w:fill="auto"/>
          </w:tcPr>
          <w:p w:rsidR="008C6D06" w:rsidRPr="006458D2" w:rsidRDefault="008C6D06" w:rsidP="008C6D06">
            <w:pPr>
              <w:pStyle w:val="Bodyby"/>
              <w:spacing w:after="0" w:line="360" w:lineRule="auto"/>
              <w:jc w:val="right"/>
              <w:rPr>
                <w:rFonts w:ascii="Arial" w:hAnsi="Arial" w:cs="Arial"/>
                <w:sz w:val="24"/>
                <w:szCs w:val="24"/>
                <w:lang w:val="es-UY"/>
              </w:rPr>
            </w:pPr>
            <w:r w:rsidRPr="006458D2">
              <w:rPr>
                <w:rFonts w:ascii="Arial" w:hAnsi="Arial" w:cs="Arial"/>
                <w:sz w:val="24"/>
                <w:szCs w:val="24"/>
                <w:lang w:val="es-UY"/>
              </w:rPr>
              <w:t>28.370,00</w:t>
            </w:r>
          </w:p>
        </w:tc>
        <w:tc>
          <w:tcPr>
            <w:tcW w:w="2268" w:type="dxa"/>
            <w:shd w:val="clear" w:color="auto" w:fill="auto"/>
          </w:tcPr>
          <w:p w:rsidR="008C6D06" w:rsidRPr="006458D2" w:rsidRDefault="008C6D06" w:rsidP="008C6D06">
            <w:pPr>
              <w:pStyle w:val="Bodyby"/>
              <w:spacing w:after="0" w:line="360" w:lineRule="auto"/>
              <w:jc w:val="right"/>
              <w:rPr>
                <w:rFonts w:ascii="Arial" w:hAnsi="Arial" w:cs="Arial"/>
                <w:sz w:val="24"/>
                <w:szCs w:val="24"/>
                <w:lang w:val="es-UY"/>
              </w:rPr>
            </w:pPr>
            <w:r w:rsidRPr="006458D2">
              <w:rPr>
                <w:rFonts w:ascii="Arial" w:hAnsi="Arial" w:cs="Arial"/>
                <w:sz w:val="24"/>
                <w:szCs w:val="24"/>
                <w:lang w:val="es-UY"/>
              </w:rPr>
              <w:t>16.065,00</w:t>
            </w:r>
          </w:p>
        </w:tc>
      </w:tr>
      <w:tr w:rsidR="008C6D06" w:rsidTr="00A0392C">
        <w:tc>
          <w:tcPr>
            <w:tcW w:w="1123" w:type="dxa"/>
            <w:shd w:val="clear" w:color="auto" w:fill="auto"/>
          </w:tcPr>
          <w:p w:rsidR="008C6D06" w:rsidRPr="006458D2" w:rsidRDefault="008C6D06" w:rsidP="008C6D06">
            <w:pPr>
              <w:pStyle w:val="Bodyby"/>
              <w:spacing w:after="0" w:line="360" w:lineRule="auto"/>
              <w:jc w:val="center"/>
              <w:rPr>
                <w:rFonts w:ascii="Arial" w:hAnsi="Arial" w:cs="Arial"/>
                <w:sz w:val="24"/>
                <w:szCs w:val="24"/>
                <w:lang w:val="es-UY"/>
              </w:rPr>
            </w:pPr>
            <w:r w:rsidRPr="006458D2">
              <w:rPr>
                <w:rFonts w:ascii="Arial" w:hAnsi="Arial" w:cs="Arial"/>
                <w:sz w:val="24"/>
                <w:szCs w:val="24"/>
                <w:lang w:val="es-UY"/>
              </w:rPr>
              <w:t>2015</w:t>
            </w:r>
          </w:p>
        </w:tc>
        <w:tc>
          <w:tcPr>
            <w:tcW w:w="2279" w:type="dxa"/>
            <w:shd w:val="clear" w:color="auto" w:fill="auto"/>
          </w:tcPr>
          <w:p w:rsidR="008C6D06" w:rsidRPr="006458D2" w:rsidRDefault="008C6D06" w:rsidP="008C6D06">
            <w:pPr>
              <w:pStyle w:val="Bodyby"/>
              <w:spacing w:after="0" w:line="360" w:lineRule="auto"/>
              <w:jc w:val="right"/>
              <w:rPr>
                <w:rFonts w:ascii="Arial" w:hAnsi="Arial" w:cs="Arial"/>
                <w:sz w:val="24"/>
                <w:szCs w:val="24"/>
                <w:lang w:val="es-UY"/>
              </w:rPr>
            </w:pPr>
            <w:r w:rsidRPr="006458D2">
              <w:rPr>
                <w:rFonts w:ascii="Arial" w:hAnsi="Arial" w:cs="Arial"/>
                <w:sz w:val="24"/>
                <w:szCs w:val="24"/>
                <w:lang w:val="es-UY"/>
              </w:rPr>
              <w:t>51.721,28</w:t>
            </w:r>
          </w:p>
        </w:tc>
        <w:tc>
          <w:tcPr>
            <w:tcW w:w="2268" w:type="dxa"/>
            <w:shd w:val="clear" w:color="auto" w:fill="auto"/>
          </w:tcPr>
          <w:p w:rsidR="008C6D06" w:rsidRPr="006458D2" w:rsidRDefault="008C6D06" w:rsidP="008C6D06">
            <w:pPr>
              <w:pStyle w:val="Bodyby"/>
              <w:spacing w:after="0" w:line="360" w:lineRule="auto"/>
              <w:jc w:val="right"/>
              <w:rPr>
                <w:rFonts w:ascii="Arial" w:hAnsi="Arial" w:cs="Arial"/>
                <w:sz w:val="24"/>
                <w:szCs w:val="24"/>
                <w:lang w:val="es-UY"/>
              </w:rPr>
            </w:pPr>
            <w:r w:rsidRPr="006458D2">
              <w:rPr>
                <w:rFonts w:ascii="Arial" w:hAnsi="Arial" w:cs="Arial"/>
                <w:sz w:val="24"/>
                <w:szCs w:val="24"/>
                <w:lang w:val="es-UY"/>
              </w:rPr>
              <w:t>11.574,62</w:t>
            </w:r>
          </w:p>
        </w:tc>
      </w:tr>
      <w:tr w:rsidR="008C6D06" w:rsidTr="00A0392C">
        <w:tc>
          <w:tcPr>
            <w:tcW w:w="1123" w:type="dxa"/>
            <w:shd w:val="clear" w:color="auto" w:fill="auto"/>
          </w:tcPr>
          <w:p w:rsidR="008C6D06" w:rsidRPr="006458D2" w:rsidRDefault="008C6D06" w:rsidP="008C6D06">
            <w:pPr>
              <w:pStyle w:val="Bodyby"/>
              <w:spacing w:after="0" w:line="360" w:lineRule="auto"/>
              <w:jc w:val="center"/>
              <w:rPr>
                <w:rFonts w:ascii="Arial" w:hAnsi="Arial" w:cs="Arial"/>
                <w:sz w:val="24"/>
                <w:szCs w:val="24"/>
                <w:lang w:val="es-UY"/>
              </w:rPr>
            </w:pPr>
            <w:r w:rsidRPr="006458D2">
              <w:rPr>
                <w:rFonts w:ascii="Arial" w:hAnsi="Arial" w:cs="Arial"/>
                <w:sz w:val="24"/>
                <w:szCs w:val="24"/>
                <w:lang w:val="es-UY"/>
              </w:rPr>
              <w:t>2016</w:t>
            </w:r>
          </w:p>
        </w:tc>
        <w:tc>
          <w:tcPr>
            <w:tcW w:w="2279" w:type="dxa"/>
            <w:shd w:val="clear" w:color="auto" w:fill="auto"/>
          </w:tcPr>
          <w:p w:rsidR="008C6D06" w:rsidRPr="006458D2" w:rsidRDefault="008C6D06" w:rsidP="008C6D06">
            <w:pPr>
              <w:pStyle w:val="Bodyby"/>
              <w:spacing w:after="0" w:line="360" w:lineRule="auto"/>
              <w:jc w:val="right"/>
              <w:rPr>
                <w:rFonts w:ascii="Arial" w:hAnsi="Arial" w:cs="Arial"/>
                <w:sz w:val="24"/>
                <w:szCs w:val="24"/>
                <w:lang w:val="es-UY"/>
              </w:rPr>
            </w:pPr>
            <w:r w:rsidRPr="006458D2">
              <w:rPr>
                <w:rFonts w:ascii="Arial" w:hAnsi="Arial" w:cs="Arial"/>
                <w:sz w:val="24"/>
                <w:szCs w:val="24"/>
                <w:lang w:val="es-UY"/>
              </w:rPr>
              <w:t>1.638.655,98</w:t>
            </w:r>
          </w:p>
        </w:tc>
        <w:tc>
          <w:tcPr>
            <w:tcW w:w="2268" w:type="dxa"/>
            <w:shd w:val="clear" w:color="auto" w:fill="auto"/>
          </w:tcPr>
          <w:p w:rsidR="008C6D06" w:rsidRPr="006458D2" w:rsidRDefault="008C6D06" w:rsidP="008C6D06">
            <w:pPr>
              <w:pStyle w:val="Bodyby"/>
              <w:spacing w:after="0" w:line="360" w:lineRule="auto"/>
              <w:jc w:val="right"/>
              <w:rPr>
                <w:rFonts w:ascii="Arial" w:hAnsi="Arial" w:cs="Arial"/>
                <w:sz w:val="24"/>
                <w:szCs w:val="24"/>
                <w:lang w:val="es-UY"/>
              </w:rPr>
            </w:pPr>
            <w:r w:rsidRPr="006458D2">
              <w:rPr>
                <w:rFonts w:ascii="Arial" w:hAnsi="Arial" w:cs="Arial"/>
                <w:sz w:val="24"/>
                <w:szCs w:val="24"/>
                <w:lang w:val="es-UY"/>
              </w:rPr>
              <w:t>102.008,89</w:t>
            </w:r>
          </w:p>
        </w:tc>
      </w:tr>
    </w:tbl>
    <w:p w:rsidR="008C6D06" w:rsidRDefault="008C6D06" w:rsidP="008C6D06">
      <w:pPr>
        <w:ind w:left="567" w:hanging="567"/>
        <w:jc w:val="both"/>
        <w:rPr>
          <w:rFonts w:ascii="Tahoma" w:hAnsi="Tahoma" w:cs="Tahoma"/>
        </w:rPr>
      </w:pPr>
    </w:p>
    <w:p w:rsidR="008C6D06" w:rsidRDefault="008C6D06" w:rsidP="008C6D06">
      <w:pPr>
        <w:spacing w:line="360" w:lineRule="auto"/>
        <w:jc w:val="both"/>
        <w:rPr>
          <w:rFonts w:cs="Arial"/>
          <w:lang w:val="es-ES_tradnl"/>
        </w:rPr>
      </w:pPr>
      <w:r>
        <w:rPr>
          <w:rFonts w:cs="Arial"/>
          <w:b/>
        </w:rPr>
        <w:t>3</w:t>
      </w:r>
      <w:r w:rsidRPr="00880644">
        <w:rPr>
          <w:rFonts w:cs="Arial"/>
          <w:b/>
        </w:rPr>
        <w:t>.1.2.2</w:t>
      </w:r>
      <w:r>
        <w:rPr>
          <w:rFonts w:cs="Arial"/>
          <w:b/>
        </w:rPr>
        <w:t xml:space="preserve"> - </w:t>
      </w:r>
      <w:r>
        <w:rPr>
          <w:rFonts w:cs="Arial"/>
        </w:rPr>
        <w:t xml:space="preserve">El INC mantiene </w:t>
      </w:r>
      <w:r w:rsidRPr="00E44D2E">
        <w:rPr>
          <w:rFonts w:cs="Arial"/>
          <w:lang w:val="es-ES_tradnl"/>
        </w:rPr>
        <w:t>contratos de pastoreos que se encuent</w:t>
      </w:r>
      <w:r>
        <w:rPr>
          <w:rFonts w:cs="Arial"/>
          <w:lang w:val="es-ES_tradnl"/>
        </w:rPr>
        <w:t>ran vencidos y</w:t>
      </w:r>
      <w:r w:rsidRPr="00E44D2E">
        <w:rPr>
          <w:rFonts w:cs="Arial"/>
          <w:lang w:val="es-ES_tradnl"/>
        </w:rPr>
        <w:t xml:space="preserve"> “</w:t>
      </w:r>
      <w:proofErr w:type="spellStart"/>
      <w:r w:rsidRPr="00E44D2E">
        <w:rPr>
          <w:rFonts w:cs="Arial"/>
          <w:lang w:val="es-ES_tradnl"/>
        </w:rPr>
        <w:t>pastoreantes</w:t>
      </w:r>
      <w:proofErr w:type="spellEnd"/>
      <w:r w:rsidRPr="00E44D2E">
        <w:rPr>
          <w:rFonts w:cs="Arial"/>
          <w:lang w:val="es-ES_tradnl"/>
        </w:rPr>
        <w:t>” que se encuentren sin contra</w:t>
      </w:r>
      <w:r>
        <w:rPr>
          <w:rFonts w:cs="Arial"/>
          <w:lang w:val="es-ES_tradnl"/>
        </w:rPr>
        <w:t>tos.</w:t>
      </w:r>
    </w:p>
    <w:p w:rsidR="008C6D06" w:rsidRDefault="008C6D06" w:rsidP="008C6D06">
      <w:pPr>
        <w:spacing w:line="360" w:lineRule="auto"/>
        <w:jc w:val="both"/>
        <w:rPr>
          <w:rFonts w:cs="Arial"/>
          <w:lang w:val="es-ES_tradnl"/>
        </w:rPr>
      </w:pPr>
      <w:r>
        <w:rPr>
          <w:rFonts w:cs="Arial"/>
          <w:b/>
          <w:lang w:val="es-ES_tradnl"/>
        </w:rPr>
        <w:t>3</w:t>
      </w:r>
      <w:r w:rsidRPr="00880644">
        <w:rPr>
          <w:rFonts w:cs="Arial"/>
          <w:b/>
          <w:lang w:val="es-ES_tradnl"/>
        </w:rPr>
        <w:t>.1.2.3</w:t>
      </w:r>
      <w:r>
        <w:rPr>
          <w:rFonts w:cs="Arial"/>
          <w:b/>
          <w:lang w:val="es-ES_tradnl"/>
        </w:rPr>
        <w:t xml:space="preserve"> - </w:t>
      </w:r>
      <w:r>
        <w:rPr>
          <w:rFonts w:cs="Arial"/>
          <w:lang w:val="es-ES_tradnl"/>
        </w:rPr>
        <w:t xml:space="preserve">El SGDC (Sistema de Gestión y Desarrollo de Colonias) no brinda </w:t>
      </w:r>
      <w:proofErr w:type="gramStart"/>
      <w:r>
        <w:rPr>
          <w:rFonts w:cs="Arial"/>
          <w:lang w:val="es-ES_tradnl"/>
        </w:rPr>
        <w:t>un</w:t>
      </w:r>
      <w:proofErr w:type="gramEnd"/>
      <w:r>
        <w:rPr>
          <w:rFonts w:cs="Arial"/>
          <w:lang w:val="es-ES_tradnl"/>
        </w:rPr>
        <w:t xml:space="preserve"> adecuada emisión de reportes de gestión.</w:t>
      </w:r>
    </w:p>
    <w:p w:rsidR="008C6D06" w:rsidRDefault="008C6D06" w:rsidP="008C6D06">
      <w:pPr>
        <w:spacing w:line="360" w:lineRule="auto"/>
        <w:jc w:val="both"/>
        <w:rPr>
          <w:rFonts w:cs="Arial"/>
          <w:lang w:val="es-ES_tradnl"/>
        </w:rPr>
      </w:pPr>
      <w:r>
        <w:rPr>
          <w:rFonts w:cs="Arial"/>
          <w:b/>
          <w:lang w:val="es-ES_tradnl"/>
        </w:rPr>
        <w:t>3</w:t>
      </w:r>
      <w:r w:rsidRPr="00880644">
        <w:rPr>
          <w:rFonts w:cs="Arial"/>
          <w:b/>
          <w:lang w:val="es-ES_tradnl"/>
        </w:rPr>
        <w:t>.1.2.4</w:t>
      </w:r>
      <w:r>
        <w:rPr>
          <w:rFonts w:cs="Arial"/>
          <w:b/>
          <w:lang w:val="es-ES_tradnl"/>
        </w:rPr>
        <w:t xml:space="preserve"> - </w:t>
      </w:r>
      <w:r>
        <w:rPr>
          <w:rFonts w:cs="Arial"/>
          <w:lang w:val="es-ES_tradnl"/>
        </w:rPr>
        <w:t>No se han implementado procedimientos tendientes a incorporar las rentas provenientes de arrendamientos al Sistema ERP-K2B (Sistema Contable).</w:t>
      </w:r>
    </w:p>
    <w:p w:rsidR="008C6D06" w:rsidRDefault="008C6D06" w:rsidP="008C6D06">
      <w:pPr>
        <w:spacing w:line="360" w:lineRule="auto"/>
        <w:jc w:val="both"/>
        <w:rPr>
          <w:rFonts w:cs="Arial"/>
          <w:lang w:val="es-ES_tradnl"/>
        </w:rPr>
      </w:pPr>
      <w:r>
        <w:rPr>
          <w:rFonts w:cs="Arial"/>
          <w:b/>
          <w:lang w:val="es-ES_tradnl"/>
        </w:rPr>
        <w:t>3</w:t>
      </w:r>
      <w:r w:rsidRPr="00880644">
        <w:rPr>
          <w:rFonts w:cs="Arial"/>
          <w:b/>
          <w:lang w:val="es-ES_tradnl"/>
        </w:rPr>
        <w:t>.1.2.5</w:t>
      </w:r>
      <w:r>
        <w:rPr>
          <w:rFonts w:cs="Arial"/>
          <w:b/>
          <w:lang w:val="es-ES_tradnl"/>
        </w:rPr>
        <w:t xml:space="preserve"> - </w:t>
      </w:r>
      <w:r>
        <w:rPr>
          <w:rFonts w:cs="Arial"/>
          <w:lang w:val="es-ES_tradnl"/>
        </w:rPr>
        <w:t>La División Inspección General no dispone del personal idóneo suficiente a efectos de dar cumplimiento a su Plan de Auditorías y Controles.</w:t>
      </w:r>
    </w:p>
    <w:p w:rsidR="000D3D84" w:rsidRDefault="000D3D84" w:rsidP="008C6D06">
      <w:pPr>
        <w:tabs>
          <w:tab w:val="left" w:pos="426"/>
        </w:tabs>
        <w:spacing w:line="360" w:lineRule="auto"/>
        <w:jc w:val="both"/>
        <w:rPr>
          <w:b/>
        </w:rPr>
      </w:pPr>
    </w:p>
    <w:p w:rsidR="000D3D84" w:rsidRDefault="000D3D84" w:rsidP="008C6D06">
      <w:pPr>
        <w:tabs>
          <w:tab w:val="left" w:pos="426"/>
        </w:tabs>
        <w:spacing w:line="360" w:lineRule="auto"/>
        <w:jc w:val="both"/>
        <w:rPr>
          <w:b/>
        </w:rPr>
      </w:pPr>
    </w:p>
    <w:p w:rsidR="008C6D06" w:rsidRDefault="008C6D06" w:rsidP="008C6D06">
      <w:pPr>
        <w:tabs>
          <w:tab w:val="left" w:pos="426"/>
        </w:tabs>
        <w:spacing w:line="360" w:lineRule="auto"/>
        <w:jc w:val="both"/>
        <w:rPr>
          <w:b/>
        </w:rPr>
      </w:pPr>
      <w:r>
        <w:rPr>
          <w:b/>
        </w:rPr>
        <w:t>3.2 - Recomendaciones del presente Ejercicio</w:t>
      </w:r>
    </w:p>
    <w:p w:rsidR="008C6D06" w:rsidRDefault="008C6D06" w:rsidP="008C6D06">
      <w:pPr>
        <w:pStyle w:val="Sangra3detindependiente"/>
        <w:spacing w:line="360" w:lineRule="auto"/>
        <w:ind w:left="0" w:firstLine="709"/>
      </w:pPr>
      <w:r>
        <w:t>A las recomendaciones no cumplidas expuestas en el Punto 4.1.2 se agregan las siguientes:</w:t>
      </w:r>
    </w:p>
    <w:p w:rsidR="008C6D06" w:rsidRDefault="008C6D06" w:rsidP="008C6D06">
      <w:pPr>
        <w:pStyle w:val="Sangra3detindependiente"/>
        <w:numPr>
          <w:ilvl w:val="0"/>
          <w:numId w:val="23"/>
        </w:numPr>
        <w:spacing w:line="360" w:lineRule="auto"/>
        <w:ind w:left="284" w:hanging="284"/>
      </w:pPr>
      <w:r>
        <w:t>Revelar en Notas a los Estados Financieros el cuerpo normativo aplicable conforme lo dispone el Artículo 7 del Decreto Nº 291/014, haciendo una declaración, explícita y sin reservas de su c</w:t>
      </w:r>
      <w:r w:rsidR="009C1306">
        <w:t>umplimiento (2.1).</w:t>
      </w:r>
    </w:p>
    <w:p w:rsidR="008C6D06" w:rsidRPr="0032429A" w:rsidRDefault="008C6D06" w:rsidP="008C6D06">
      <w:pPr>
        <w:pStyle w:val="Sangra3detindependiente"/>
        <w:numPr>
          <w:ilvl w:val="0"/>
          <w:numId w:val="16"/>
        </w:numPr>
        <w:spacing w:line="360" w:lineRule="auto"/>
        <w:ind w:left="284" w:hanging="284"/>
      </w:pPr>
      <w:r>
        <w:t xml:space="preserve">Referenciar los Estados Financieros del Ente conforme lo dispone </w:t>
      </w:r>
      <w:r>
        <w:rPr>
          <w:lang w:val="es-ES_tradnl"/>
        </w:rPr>
        <w:t>el Párrafo</w:t>
      </w:r>
      <w:r w:rsidRPr="00A64A40">
        <w:rPr>
          <w:lang w:val="es-ES_tradnl"/>
        </w:rPr>
        <w:t xml:space="preserve"> 8.3 de la NIIF PYMES</w:t>
      </w:r>
      <w:r>
        <w:rPr>
          <w:lang w:val="es-ES_tradnl"/>
        </w:rPr>
        <w:t xml:space="preserve"> (2.2).</w:t>
      </w:r>
    </w:p>
    <w:p w:rsidR="008C6D06" w:rsidRPr="0032429A" w:rsidRDefault="008C6D06" w:rsidP="008C6D06">
      <w:pPr>
        <w:pStyle w:val="Sangra3detindependiente"/>
        <w:numPr>
          <w:ilvl w:val="0"/>
          <w:numId w:val="16"/>
        </w:numPr>
        <w:spacing w:line="360" w:lineRule="auto"/>
        <w:ind w:left="284" w:hanging="284"/>
      </w:pPr>
      <w:r>
        <w:rPr>
          <w:lang w:val="es-ES_tradnl"/>
        </w:rPr>
        <w:t xml:space="preserve">Revelar en Notas a los Estados Financieros </w:t>
      </w:r>
      <w:r w:rsidRPr="00312FB2">
        <w:rPr>
          <w:lang w:val="es-ES_tradnl"/>
        </w:rPr>
        <w:t xml:space="preserve">los criterios técnicos empleados referentes a la fijación de la vida útil y el método de amortización utilizado para cada categoría de elementos de propiedad, planta y equipo, conforme lo dispone la NIIF para PYMES en su </w:t>
      </w:r>
      <w:r>
        <w:rPr>
          <w:lang w:val="es-ES_tradnl"/>
        </w:rPr>
        <w:t xml:space="preserve">Párrafo </w:t>
      </w:r>
      <w:r w:rsidRPr="00312FB2">
        <w:rPr>
          <w:lang w:val="es-ES_tradnl"/>
        </w:rPr>
        <w:t>17.31</w:t>
      </w:r>
      <w:r>
        <w:rPr>
          <w:lang w:val="es-ES_tradnl"/>
        </w:rPr>
        <w:t xml:space="preserve"> (2.3).</w:t>
      </w:r>
    </w:p>
    <w:p w:rsidR="008C6D06" w:rsidRDefault="008C6D06" w:rsidP="008C6D06">
      <w:pPr>
        <w:pStyle w:val="Sangra3detindependiente"/>
        <w:numPr>
          <w:ilvl w:val="0"/>
          <w:numId w:val="16"/>
        </w:numPr>
        <w:spacing w:line="360" w:lineRule="auto"/>
        <w:ind w:left="284" w:hanging="284"/>
        <w:rPr>
          <w:lang w:val="es-ES_tradnl"/>
        </w:rPr>
      </w:pPr>
      <w:r>
        <w:rPr>
          <w:lang w:val="es-ES_tradnl"/>
        </w:rPr>
        <w:t>Efectuar los</w:t>
      </w:r>
      <w:r w:rsidRPr="0032429A">
        <w:rPr>
          <w:lang w:val="es-ES_tradnl"/>
        </w:rPr>
        <w:t xml:space="preserve"> Arqueos de Caja y Valores con la periodicidad adecuada de acuerdo a lo dispuesto en el </w:t>
      </w:r>
      <w:r>
        <w:rPr>
          <w:lang w:val="es-ES_tradnl"/>
        </w:rPr>
        <w:t>A</w:t>
      </w:r>
      <w:r w:rsidRPr="0032429A">
        <w:rPr>
          <w:lang w:val="es-ES_tradnl"/>
        </w:rPr>
        <w:t>rtículo 119 del TOCAF y la Ordenanz</w:t>
      </w:r>
      <w:r>
        <w:rPr>
          <w:lang w:val="es-ES_tradnl"/>
        </w:rPr>
        <w:t>a Nº 29 del Tribunal de Cuentas (2.4).</w:t>
      </w:r>
    </w:p>
    <w:p w:rsidR="008C6D06" w:rsidRDefault="008C6D06" w:rsidP="008C6D06">
      <w:pPr>
        <w:pStyle w:val="Sangra3detindependiente"/>
        <w:numPr>
          <w:ilvl w:val="0"/>
          <w:numId w:val="23"/>
        </w:numPr>
        <w:spacing w:line="360" w:lineRule="auto"/>
        <w:ind w:left="284" w:hanging="284"/>
      </w:pPr>
      <w:r w:rsidRPr="0083346B">
        <w:rPr>
          <w:lang w:val="es-ES_tradnl"/>
        </w:rPr>
        <w:t xml:space="preserve">Efectuar la revisión integral de los manuales de procedimientos del </w:t>
      </w:r>
      <w:r>
        <w:rPr>
          <w:lang w:val="es-ES_tradnl"/>
        </w:rPr>
        <w:t>E</w:t>
      </w:r>
      <w:r w:rsidRPr="0083346B">
        <w:rPr>
          <w:lang w:val="es-ES_tradnl"/>
        </w:rPr>
        <w:t xml:space="preserve">nte y dar difusión a los mismos a efectos de asegurar su </w:t>
      </w:r>
      <w:r>
        <w:t>aplicabilidad (2.5).</w:t>
      </w:r>
    </w:p>
    <w:p w:rsidR="008C6D06" w:rsidRPr="00FA3A0E" w:rsidRDefault="008C6D06" w:rsidP="008C6D06">
      <w:pPr>
        <w:pStyle w:val="Sangra3detindependiente"/>
        <w:numPr>
          <w:ilvl w:val="0"/>
          <w:numId w:val="23"/>
        </w:numPr>
        <w:spacing w:line="360" w:lineRule="auto"/>
        <w:ind w:left="284" w:hanging="284"/>
        <w:rPr>
          <w:lang w:val="es-ES_tradnl"/>
        </w:rPr>
      </w:pPr>
      <w:r>
        <w:t>Continuar con la conciliación de la información de las fracciones propiedad del ente</w:t>
      </w:r>
      <w:r w:rsidRPr="00FA3A0E">
        <w:rPr>
          <w:lang w:val="es-ES_tradnl"/>
        </w:rPr>
        <w:t xml:space="preserve"> que dispone el Departamento de Agrimensura y la División Contaduría con los títulos de propiedad en poder de la División Notarial.</w:t>
      </w:r>
      <w:r>
        <w:rPr>
          <w:lang w:val="es-ES_tradnl"/>
        </w:rPr>
        <w:t xml:space="preserve"> (2.6)</w:t>
      </w:r>
    </w:p>
    <w:p w:rsidR="008C6D06" w:rsidRDefault="008C6D06" w:rsidP="008C6D06">
      <w:pPr>
        <w:pStyle w:val="Sangra3detindependiente"/>
        <w:numPr>
          <w:ilvl w:val="0"/>
          <w:numId w:val="23"/>
        </w:numPr>
        <w:spacing w:line="360" w:lineRule="auto"/>
        <w:ind w:left="284" w:hanging="284"/>
        <w:rPr>
          <w:lang w:val="es-ES_tradnl"/>
        </w:rPr>
      </w:pPr>
      <w:r>
        <w:t xml:space="preserve">Efectuar las correcciones contables en atención a lo dispuesto en el Párrafo 10.21 de la </w:t>
      </w:r>
      <w:r w:rsidRPr="00312FB2">
        <w:rPr>
          <w:lang w:val="es-ES_tradnl"/>
        </w:rPr>
        <w:t>NIIF para PYMES</w:t>
      </w:r>
      <w:r w:rsidR="009C1306">
        <w:rPr>
          <w:lang w:val="es-ES_tradnl"/>
        </w:rPr>
        <w:t xml:space="preserve"> (2.7).</w:t>
      </w:r>
    </w:p>
    <w:p w:rsidR="008C6D06" w:rsidRPr="006D109D" w:rsidRDefault="008C6D06" w:rsidP="008C6D06">
      <w:pPr>
        <w:pStyle w:val="Sangra3detindependiente"/>
        <w:numPr>
          <w:ilvl w:val="0"/>
          <w:numId w:val="23"/>
        </w:numPr>
        <w:spacing w:line="360" w:lineRule="auto"/>
        <w:ind w:left="284" w:hanging="284"/>
      </w:pPr>
      <w:r>
        <w:t xml:space="preserve">Al elaborar </w:t>
      </w:r>
      <w:r w:rsidRPr="00312FB2">
        <w:rPr>
          <w:lang w:val="es-ES_tradnl"/>
        </w:rPr>
        <w:t>el Cuadro de Revaluación y Amortización de los Bienes de Uso, Intangibles e Inversiones</w:t>
      </w:r>
      <w:r>
        <w:rPr>
          <w:lang w:val="es-ES_tradnl"/>
        </w:rPr>
        <w:t>, utilizar la columna de revaluación a efectos de exponer el ajuste al valor derivado de la valorización de los inmuebles intransferibles (2.8).</w:t>
      </w:r>
    </w:p>
    <w:p w:rsidR="008C6D06" w:rsidRDefault="008C6D06" w:rsidP="008C6D06">
      <w:pPr>
        <w:pStyle w:val="Sangra3detindependiente"/>
        <w:numPr>
          <w:ilvl w:val="0"/>
          <w:numId w:val="23"/>
        </w:numPr>
        <w:spacing w:line="360" w:lineRule="auto"/>
        <w:ind w:left="284" w:hanging="284"/>
      </w:pPr>
      <w:r>
        <w:t>Presentar el Estado de Resultado Integral del INC, exponiendo no solo los componentes del Estado de Resultados (pérdidas y ganancias) sino también los componentes de Otro Resultado Integral (ORI) (2.9).</w:t>
      </w:r>
    </w:p>
    <w:p w:rsidR="008C6D06" w:rsidRDefault="008C6D06" w:rsidP="008C6D06">
      <w:pPr>
        <w:pStyle w:val="Sangra3detindependiente"/>
        <w:numPr>
          <w:ilvl w:val="0"/>
          <w:numId w:val="23"/>
        </w:numPr>
        <w:spacing w:line="360" w:lineRule="auto"/>
        <w:ind w:left="284" w:hanging="284"/>
      </w:pPr>
      <w:r>
        <w:t>Identificar todas aquellas partidas sin reflejo de efectivo (movimientos de no fondos) que ajustan el resultado neto del Ejercicio al momento de confeccionar el estado de flujos de efectivo (2.10).</w:t>
      </w:r>
    </w:p>
    <w:p w:rsidR="008C6D06" w:rsidRDefault="008C6D06" w:rsidP="008C6D06">
      <w:pPr>
        <w:pStyle w:val="Sangradetextonormal"/>
        <w:tabs>
          <w:tab w:val="left" w:pos="4962"/>
        </w:tabs>
        <w:ind w:left="0"/>
        <w:jc w:val="right"/>
      </w:pPr>
      <w:r>
        <w:t>Mont</w:t>
      </w:r>
      <w:r w:rsidR="00196203">
        <w:t>evideo, 29 de setiembre de 2017</w:t>
      </w:r>
    </w:p>
    <w:p w:rsidR="008C6D06" w:rsidRPr="00B71F6C" w:rsidRDefault="008C6D06" w:rsidP="00B71F6C">
      <w:pPr>
        <w:pStyle w:val="Sangradetextonormal"/>
        <w:tabs>
          <w:tab w:val="left" w:pos="4962"/>
        </w:tabs>
        <w:ind w:left="0"/>
        <w:rPr>
          <w:spacing w:val="-3"/>
          <w:lang w:val="es-ES_tradnl"/>
        </w:rPr>
      </w:pPr>
      <w:proofErr w:type="spellStart"/>
      <w:proofErr w:type="gramStart"/>
      <w:r>
        <w:rPr>
          <w:spacing w:val="-3"/>
          <w:lang w:val="es-ES_tradnl"/>
        </w:rPr>
        <w:t>lc</w:t>
      </w:r>
      <w:proofErr w:type="spellEnd"/>
      <w:proofErr w:type="gramEnd"/>
    </w:p>
    <w:sectPr w:rsidR="008C6D06" w:rsidRPr="00B71F6C" w:rsidSect="008C6D06">
      <w:headerReference w:type="default" r:id="rId9"/>
      <w:footerReference w:type="even" r:id="rId10"/>
      <w:footerReference w:type="default" r:id="rId11"/>
      <w:pgSz w:w="11906" w:h="16838" w:code="9"/>
      <w:pgMar w:top="3062" w:right="1701" w:bottom="1247" w:left="1701" w:header="0" w:footer="0"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EBB" w:rsidRDefault="008A0EBB">
      <w:r>
        <w:separator/>
      </w:r>
    </w:p>
  </w:endnote>
  <w:endnote w:type="continuationSeparator" w:id="0">
    <w:p w:rsidR="008A0EBB" w:rsidRDefault="008A0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C1C" w:rsidRDefault="00DD1C1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D1C1C" w:rsidRDefault="00DD1C1C">
    <w:pPr>
      <w:pStyle w:val="Piedepgin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2487478"/>
      <w:docPartObj>
        <w:docPartGallery w:val="Page Numbers (Bottom of Page)"/>
        <w:docPartUnique/>
      </w:docPartObj>
    </w:sdtPr>
    <w:sdtEndPr/>
    <w:sdtContent>
      <w:p w:rsidR="008C6D06" w:rsidRDefault="008C6D06">
        <w:pPr>
          <w:pStyle w:val="Piedepgina"/>
          <w:jc w:val="center"/>
        </w:pPr>
        <w:r>
          <w:fldChar w:fldCharType="begin"/>
        </w:r>
        <w:r>
          <w:instrText>PAGE   \* MERGEFORMAT</w:instrText>
        </w:r>
        <w:r>
          <w:fldChar w:fldCharType="separate"/>
        </w:r>
        <w:r w:rsidR="00595D44">
          <w:rPr>
            <w:noProof/>
          </w:rPr>
          <w:t>1</w:t>
        </w:r>
        <w:r>
          <w:fldChar w:fldCharType="end"/>
        </w:r>
      </w:p>
    </w:sdtContent>
  </w:sdt>
  <w:p w:rsidR="00DD1C1C" w:rsidRDefault="00DD1C1C" w:rsidP="00500CC0">
    <w:pPr>
      <w:pStyle w:val="Piedepgina"/>
      <w:ind w:right="360" w:firstLine="360"/>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EBB" w:rsidRDefault="008A0EBB">
      <w:r>
        <w:separator/>
      </w:r>
    </w:p>
  </w:footnote>
  <w:footnote w:type="continuationSeparator" w:id="0">
    <w:p w:rsidR="008A0EBB" w:rsidRDefault="008A0E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71" w:rsidRPr="00380FBE" w:rsidRDefault="00160871" w:rsidP="00500CC0">
    <w:pPr>
      <w:pStyle w:val="Encabezado"/>
      <w:spacing w:line="360" w:lineRule="auto"/>
      <w:rPr>
        <w:sz w:val="22"/>
        <w:szCs w:val="22"/>
        <w:lang w:val="es-UY"/>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AD1EE68A"/>
    <w:name w:val="WW8Num6"/>
    <w:lvl w:ilvl="0">
      <w:start w:val="2"/>
      <w:numFmt w:val="decimal"/>
      <w:pStyle w:val="Continuarlista1"/>
      <w:lvlText w:val="%1"/>
      <w:lvlJc w:val="left"/>
      <w:pPr>
        <w:tabs>
          <w:tab w:val="num" w:pos="360"/>
        </w:tabs>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
    <w:nsid w:val="00E345B3"/>
    <w:multiLevelType w:val="multilevel"/>
    <w:tmpl w:val="57D061FA"/>
    <w:lvl w:ilvl="0">
      <w:start w:val="1"/>
      <w:numFmt w:val="decimal"/>
      <w:lvlText w:val="%1)"/>
      <w:lvlJc w:val="left"/>
      <w:pPr>
        <w:tabs>
          <w:tab w:val="num" w:pos="360"/>
        </w:tabs>
        <w:ind w:left="340" w:hanging="340"/>
      </w:pPr>
      <w:rPr>
        <w:rFonts w:ascii="Arial" w:hAnsi="Arial" w:hint="default"/>
        <w:b/>
        <w:i w:val="0"/>
        <w:sz w:val="24"/>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nsid w:val="037B2397"/>
    <w:multiLevelType w:val="multilevel"/>
    <w:tmpl w:val="2E46889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3E760FB"/>
    <w:multiLevelType w:val="multilevel"/>
    <w:tmpl w:val="F8E6382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814094C"/>
    <w:multiLevelType w:val="multilevel"/>
    <w:tmpl w:val="F684C8B6"/>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9B339A1"/>
    <w:multiLevelType w:val="multilevel"/>
    <w:tmpl w:val="1A5C946E"/>
    <w:lvl w:ilvl="0">
      <w:start w:val="2"/>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0A5C288F"/>
    <w:multiLevelType w:val="hybridMultilevel"/>
    <w:tmpl w:val="A0A67CB4"/>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7">
    <w:nsid w:val="0F722B2F"/>
    <w:multiLevelType w:val="hybridMultilevel"/>
    <w:tmpl w:val="BC8CDDEE"/>
    <w:lvl w:ilvl="0" w:tplc="90463E56">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8">
    <w:nsid w:val="14DF7392"/>
    <w:multiLevelType w:val="multilevel"/>
    <w:tmpl w:val="FEE2CB12"/>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16271DD9"/>
    <w:multiLevelType w:val="hybridMultilevel"/>
    <w:tmpl w:val="A106D384"/>
    <w:lvl w:ilvl="0" w:tplc="FFFFFFFF">
      <w:start w:val="2"/>
      <w:numFmt w:val="bullet"/>
      <w:lvlText w:val="-"/>
      <w:lvlJc w:val="left"/>
      <w:pPr>
        <w:tabs>
          <w:tab w:val="num" w:pos="644"/>
        </w:tabs>
        <w:ind w:left="644" w:hanging="360"/>
      </w:pPr>
      <w:rPr>
        <w:rFonts w:ascii="Times New Roman" w:eastAsia="Times New Roman" w:hAnsi="Times New Roman" w:cs="Times New Roman" w:hint="default"/>
      </w:rPr>
    </w:lvl>
    <w:lvl w:ilvl="1" w:tplc="FFFFFFFF">
      <w:numFmt w:val="bullet"/>
      <w:lvlText w:val=""/>
      <w:lvlJc w:val="left"/>
      <w:pPr>
        <w:tabs>
          <w:tab w:val="num" w:pos="1364"/>
        </w:tabs>
        <w:ind w:left="1364" w:hanging="360"/>
      </w:pPr>
      <w:rPr>
        <w:rFonts w:ascii="Wingdings" w:hAnsi="Wingdings" w:cs="Times New Roman" w:hint="default"/>
        <w:color w:val="auto"/>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0">
    <w:nsid w:val="1D0A2C92"/>
    <w:multiLevelType w:val="multilevel"/>
    <w:tmpl w:val="28CEEF60"/>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E695EC7"/>
    <w:multiLevelType w:val="multilevel"/>
    <w:tmpl w:val="8468EFA8"/>
    <w:lvl w:ilvl="0">
      <w:start w:val="1"/>
      <w:numFmt w:val="bullet"/>
      <w:lvlText w:val=""/>
      <w:lvlJc w:val="left"/>
      <w:pPr>
        <w:tabs>
          <w:tab w:val="num" w:pos="680"/>
        </w:tabs>
        <w:ind w:left="624" w:hanging="624"/>
      </w:pPr>
      <w:rPr>
        <w:rFonts w:ascii="Symbol" w:hAnsi="Symbol"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0F74C1A"/>
    <w:multiLevelType w:val="hybridMultilevel"/>
    <w:tmpl w:val="5414FCC0"/>
    <w:lvl w:ilvl="0" w:tplc="380A0001">
      <w:start w:val="1"/>
      <w:numFmt w:val="bullet"/>
      <w:lvlText w:val=""/>
      <w:lvlJc w:val="left"/>
      <w:pPr>
        <w:ind w:left="644" w:hanging="360"/>
      </w:pPr>
      <w:rPr>
        <w:rFonts w:ascii="Symbol" w:hAnsi="Symbol" w:hint="default"/>
      </w:rPr>
    </w:lvl>
    <w:lvl w:ilvl="1" w:tplc="380A0003" w:tentative="1">
      <w:start w:val="1"/>
      <w:numFmt w:val="bullet"/>
      <w:lvlText w:val="o"/>
      <w:lvlJc w:val="left"/>
      <w:pPr>
        <w:ind w:left="1364" w:hanging="360"/>
      </w:pPr>
      <w:rPr>
        <w:rFonts w:ascii="Courier New" w:hAnsi="Courier New" w:cs="Courier New" w:hint="default"/>
      </w:rPr>
    </w:lvl>
    <w:lvl w:ilvl="2" w:tplc="380A0005" w:tentative="1">
      <w:start w:val="1"/>
      <w:numFmt w:val="bullet"/>
      <w:lvlText w:val=""/>
      <w:lvlJc w:val="left"/>
      <w:pPr>
        <w:ind w:left="2084" w:hanging="360"/>
      </w:pPr>
      <w:rPr>
        <w:rFonts w:ascii="Wingdings" w:hAnsi="Wingdings" w:hint="default"/>
      </w:rPr>
    </w:lvl>
    <w:lvl w:ilvl="3" w:tplc="380A0001" w:tentative="1">
      <w:start w:val="1"/>
      <w:numFmt w:val="bullet"/>
      <w:lvlText w:val=""/>
      <w:lvlJc w:val="left"/>
      <w:pPr>
        <w:ind w:left="2804" w:hanging="360"/>
      </w:pPr>
      <w:rPr>
        <w:rFonts w:ascii="Symbol" w:hAnsi="Symbol" w:hint="default"/>
      </w:rPr>
    </w:lvl>
    <w:lvl w:ilvl="4" w:tplc="380A0003" w:tentative="1">
      <w:start w:val="1"/>
      <w:numFmt w:val="bullet"/>
      <w:lvlText w:val="o"/>
      <w:lvlJc w:val="left"/>
      <w:pPr>
        <w:ind w:left="3524" w:hanging="360"/>
      </w:pPr>
      <w:rPr>
        <w:rFonts w:ascii="Courier New" w:hAnsi="Courier New" w:cs="Courier New" w:hint="default"/>
      </w:rPr>
    </w:lvl>
    <w:lvl w:ilvl="5" w:tplc="380A0005" w:tentative="1">
      <w:start w:val="1"/>
      <w:numFmt w:val="bullet"/>
      <w:lvlText w:val=""/>
      <w:lvlJc w:val="left"/>
      <w:pPr>
        <w:ind w:left="4244" w:hanging="360"/>
      </w:pPr>
      <w:rPr>
        <w:rFonts w:ascii="Wingdings" w:hAnsi="Wingdings" w:hint="default"/>
      </w:rPr>
    </w:lvl>
    <w:lvl w:ilvl="6" w:tplc="380A0001" w:tentative="1">
      <w:start w:val="1"/>
      <w:numFmt w:val="bullet"/>
      <w:lvlText w:val=""/>
      <w:lvlJc w:val="left"/>
      <w:pPr>
        <w:ind w:left="4964" w:hanging="360"/>
      </w:pPr>
      <w:rPr>
        <w:rFonts w:ascii="Symbol" w:hAnsi="Symbol" w:hint="default"/>
      </w:rPr>
    </w:lvl>
    <w:lvl w:ilvl="7" w:tplc="380A0003" w:tentative="1">
      <w:start w:val="1"/>
      <w:numFmt w:val="bullet"/>
      <w:lvlText w:val="o"/>
      <w:lvlJc w:val="left"/>
      <w:pPr>
        <w:ind w:left="5684" w:hanging="360"/>
      </w:pPr>
      <w:rPr>
        <w:rFonts w:ascii="Courier New" w:hAnsi="Courier New" w:cs="Courier New" w:hint="default"/>
      </w:rPr>
    </w:lvl>
    <w:lvl w:ilvl="8" w:tplc="380A0005" w:tentative="1">
      <w:start w:val="1"/>
      <w:numFmt w:val="bullet"/>
      <w:lvlText w:val=""/>
      <w:lvlJc w:val="left"/>
      <w:pPr>
        <w:ind w:left="6404" w:hanging="360"/>
      </w:pPr>
      <w:rPr>
        <w:rFonts w:ascii="Wingdings" w:hAnsi="Wingdings" w:hint="default"/>
      </w:rPr>
    </w:lvl>
  </w:abstractNum>
  <w:abstractNum w:abstractNumId="13">
    <w:nsid w:val="21C838B4"/>
    <w:multiLevelType w:val="multilevel"/>
    <w:tmpl w:val="12908B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D932D86"/>
    <w:multiLevelType w:val="hybridMultilevel"/>
    <w:tmpl w:val="A75E6402"/>
    <w:lvl w:ilvl="0" w:tplc="0C0A0001">
      <w:start w:val="1"/>
      <w:numFmt w:val="bullet"/>
      <w:lvlText w:val=""/>
      <w:lvlJc w:val="left"/>
      <w:pPr>
        <w:tabs>
          <w:tab w:val="num" w:pos="855"/>
        </w:tabs>
        <w:ind w:left="855" w:hanging="360"/>
      </w:pPr>
      <w:rPr>
        <w:rFonts w:ascii="Symbol" w:hAnsi="Symbol" w:hint="default"/>
      </w:rPr>
    </w:lvl>
    <w:lvl w:ilvl="1" w:tplc="080E615A">
      <w:numFmt w:val="bullet"/>
      <w:lvlText w:val="-"/>
      <w:lvlJc w:val="left"/>
      <w:pPr>
        <w:tabs>
          <w:tab w:val="num" w:pos="1575"/>
        </w:tabs>
        <w:ind w:left="1575" w:hanging="360"/>
      </w:pPr>
      <w:rPr>
        <w:rFonts w:ascii="Times New Roman" w:eastAsia="Times New Roman" w:hAnsi="Times New Roman" w:cs="Times New Roman" w:hint="default"/>
      </w:rPr>
    </w:lvl>
    <w:lvl w:ilvl="2" w:tplc="0C0A0001">
      <w:start w:val="1"/>
      <w:numFmt w:val="bullet"/>
      <w:lvlText w:val=""/>
      <w:lvlJc w:val="left"/>
      <w:pPr>
        <w:tabs>
          <w:tab w:val="num" w:pos="2295"/>
        </w:tabs>
        <w:ind w:left="2295" w:hanging="360"/>
      </w:pPr>
      <w:rPr>
        <w:rFonts w:ascii="Symbol" w:hAnsi="Symbol" w:hint="default"/>
      </w:rPr>
    </w:lvl>
    <w:lvl w:ilvl="3" w:tplc="0C0A0001" w:tentative="1">
      <w:start w:val="1"/>
      <w:numFmt w:val="bullet"/>
      <w:lvlText w:val=""/>
      <w:lvlJc w:val="left"/>
      <w:pPr>
        <w:tabs>
          <w:tab w:val="num" w:pos="3015"/>
        </w:tabs>
        <w:ind w:left="3015" w:hanging="360"/>
      </w:pPr>
      <w:rPr>
        <w:rFonts w:ascii="Symbol" w:hAnsi="Symbol" w:hint="default"/>
      </w:rPr>
    </w:lvl>
    <w:lvl w:ilvl="4" w:tplc="0C0A0003" w:tentative="1">
      <w:start w:val="1"/>
      <w:numFmt w:val="bullet"/>
      <w:lvlText w:val="o"/>
      <w:lvlJc w:val="left"/>
      <w:pPr>
        <w:tabs>
          <w:tab w:val="num" w:pos="3735"/>
        </w:tabs>
        <w:ind w:left="3735" w:hanging="360"/>
      </w:pPr>
      <w:rPr>
        <w:rFonts w:ascii="Courier New" w:hAnsi="Courier New" w:cs="Courier New" w:hint="default"/>
      </w:rPr>
    </w:lvl>
    <w:lvl w:ilvl="5" w:tplc="0C0A0005" w:tentative="1">
      <w:start w:val="1"/>
      <w:numFmt w:val="bullet"/>
      <w:lvlText w:val=""/>
      <w:lvlJc w:val="left"/>
      <w:pPr>
        <w:tabs>
          <w:tab w:val="num" w:pos="4455"/>
        </w:tabs>
        <w:ind w:left="4455" w:hanging="360"/>
      </w:pPr>
      <w:rPr>
        <w:rFonts w:ascii="Wingdings" w:hAnsi="Wingdings" w:hint="default"/>
      </w:rPr>
    </w:lvl>
    <w:lvl w:ilvl="6" w:tplc="0C0A0001" w:tentative="1">
      <w:start w:val="1"/>
      <w:numFmt w:val="bullet"/>
      <w:lvlText w:val=""/>
      <w:lvlJc w:val="left"/>
      <w:pPr>
        <w:tabs>
          <w:tab w:val="num" w:pos="5175"/>
        </w:tabs>
        <w:ind w:left="5175" w:hanging="360"/>
      </w:pPr>
      <w:rPr>
        <w:rFonts w:ascii="Symbol" w:hAnsi="Symbol" w:hint="default"/>
      </w:rPr>
    </w:lvl>
    <w:lvl w:ilvl="7" w:tplc="0C0A0003" w:tentative="1">
      <w:start w:val="1"/>
      <w:numFmt w:val="bullet"/>
      <w:lvlText w:val="o"/>
      <w:lvlJc w:val="left"/>
      <w:pPr>
        <w:tabs>
          <w:tab w:val="num" w:pos="5895"/>
        </w:tabs>
        <w:ind w:left="5895" w:hanging="360"/>
      </w:pPr>
      <w:rPr>
        <w:rFonts w:ascii="Courier New" w:hAnsi="Courier New" w:cs="Courier New" w:hint="default"/>
      </w:rPr>
    </w:lvl>
    <w:lvl w:ilvl="8" w:tplc="0C0A0005" w:tentative="1">
      <w:start w:val="1"/>
      <w:numFmt w:val="bullet"/>
      <w:lvlText w:val=""/>
      <w:lvlJc w:val="left"/>
      <w:pPr>
        <w:tabs>
          <w:tab w:val="num" w:pos="6615"/>
        </w:tabs>
        <w:ind w:left="6615" w:hanging="360"/>
      </w:pPr>
      <w:rPr>
        <w:rFonts w:ascii="Wingdings" w:hAnsi="Wingdings" w:hint="default"/>
      </w:rPr>
    </w:lvl>
  </w:abstractNum>
  <w:abstractNum w:abstractNumId="15">
    <w:nsid w:val="35495E5A"/>
    <w:multiLevelType w:val="hybridMultilevel"/>
    <w:tmpl w:val="DC9AB1A0"/>
    <w:lvl w:ilvl="0" w:tplc="380A0001">
      <w:start w:val="1"/>
      <w:numFmt w:val="bullet"/>
      <w:lvlText w:val=""/>
      <w:lvlJc w:val="left"/>
      <w:pPr>
        <w:ind w:left="960" w:hanging="360"/>
      </w:pPr>
      <w:rPr>
        <w:rFonts w:ascii="Symbol" w:hAnsi="Symbol" w:hint="default"/>
      </w:rPr>
    </w:lvl>
    <w:lvl w:ilvl="1" w:tplc="380A0003">
      <w:start w:val="1"/>
      <w:numFmt w:val="bullet"/>
      <w:lvlText w:val="o"/>
      <w:lvlJc w:val="left"/>
      <w:pPr>
        <w:ind w:left="1680" w:hanging="360"/>
      </w:pPr>
      <w:rPr>
        <w:rFonts w:ascii="Courier New" w:hAnsi="Courier New" w:cs="Courier New" w:hint="default"/>
      </w:rPr>
    </w:lvl>
    <w:lvl w:ilvl="2" w:tplc="380A0005" w:tentative="1">
      <w:start w:val="1"/>
      <w:numFmt w:val="bullet"/>
      <w:lvlText w:val=""/>
      <w:lvlJc w:val="left"/>
      <w:pPr>
        <w:ind w:left="2400" w:hanging="360"/>
      </w:pPr>
      <w:rPr>
        <w:rFonts w:ascii="Wingdings" w:hAnsi="Wingdings" w:hint="default"/>
      </w:rPr>
    </w:lvl>
    <w:lvl w:ilvl="3" w:tplc="380A0001" w:tentative="1">
      <w:start w:val="1"/>
      <w:numFmt w:val="bullet"/>
      <w:lvlText w:val=""/>
      <w:lvlJc w:val="left"/>
      <w:pPr>
        <w:ind w:left="3120" w:hanging="360"/>
      </w:pPr>
      <w:rPr>
        <w:rFonts w:ascii="Symbol" w:hAnsi="Symbol" w:hint="default"/>
      </w:rPr>
    </w:lvl>
    <w:lvl w:ilvl="4" w:tplc="380A0003" w:tentative="1">
      <w:start w:val="1"/>
      <w:numFmt w:val="bullet"/>
      <w:lvlText w:val="o"/>
      <w:lvlJc w:val="left"/>
      <w:pPr>
        <w:ind w:left="3840" w:hanging="360"/>
      </w:pPr>
      <w:rPr>
        <w:rFonts w:ascii="Courier New" w:hAnsi="Courier New" w:cs="Courier New" w:hint="default"/>
      </w:rPr>
    </w:lvl>
    <w:lvl w:ilvl="5" w:tplc="380A0005" w:tentative="1">
      <w:start w:val="1"/>
      <w:numFmt w:val="bullet"/>
      <w:lvlText w:val=""/>
      <w:lvlJc w:val="left"/>
      <w:pPr>
        <w:ind w:left="4560" w:hanging="360"/>
      </w:pPr>
      <w:rPr>
        <w:rFonts w:ascii="Wingdings" w:hAnsi="Wingdings" w:hint="default"/>
      </w:rPr>
    </w:lvl>
    <w:lvl w:ilvl="6" w:tplc="380A0001" w:tentative="1">
      <w:start w:val="1"/>
      <w:numFmt w:val="bullet"/>
      <w:lvlText w:val=""/>
      <w:lvlJc w:val="left"/>
      <w:pPr>
        <w:ind w:left="5280" w:hanging="360"/>
      </w:pPr>
      <w:rPr>
        <w:rFonts w:ascii="Symbol" w:hAnsi="Symbol" w:hint="default"/>
      </w:rPr>
    </w:lvl>
    <w:lvl w:ilvl="7" w:tplc="380A0003" w:tentative="1">
      <w:start w:val="1"/>
      <w:numFmt w:val="bullet"/>
      <w:lvlText w:val="o"/>
      <w:lvlJc w:val="left"/>
      <w:pPr>
        <w:ind w:left="6000" w:hanging="360"/>
      </w:pPr>
      <w:rPr>
        <w:rFonts w:ascii="Courier New" w:hAnsi="Courier New" w:cs="Courier New" w:hint="default"/>
      </w:rPr>
    </w:lvl>
    <w:lvl w:ilvl="8" w:tplc="380A0005" w:tentative="1">
      <w:start w:val="1"/>
      <w:numFmt w:val="bullet"/>
      <w:lvlText w:val=""/>
      <w:lvlJc w:val="left"/>
      <w:pPr>
        <w:ind w:left="6720" w:hanging="360"/>
      </w:pPr>
      <w:rPr>
        <w:rFonts w:ascii="Wingdings" w:hAnsi="Wingdings" w:hint="default"/>
      </w:rPr>
    </w:lvl>
  </w:abstractNum>
  <w:abstractNum w:abstractNumId="16">
    <w:nsid w:val="3C3A3A18"/>
    <w:multiLevelType w:val="hybridMultilevel"/>
    <w:tmpl w:val="EA66D746"/>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7">
    <w:nsid w:val="48245595"/>
    <w:multiLevelType w:val="multilevel"/>
    <w:tmpl w:val="D4ECF7A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A6C4A5B"/>
    <w:multiLevelType w:val="hybridMultilevel"/>
    <w:tmpl w:val="B0682E48"/>
    <w:lvl w:ilvl="0" w:tplc="94261922">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9">
    <w:nsid w:val="54B145F9"/>
    <w:multiLevelType w:val="hybridMultilevel"/>
    <w:tmpl w:val="DA28C22E"/>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0">
    <w:nsid w:val="5EC609F7"/>
    <w:multiLevelType w:val="hybridMultilevel"/>
    <w:tmpl w:val="77C08D08"/>
    <w:lvl w:ilvl="0" w:tplc="380A0001">
      <w:start w:val="1"/>
      <w:numFmt w:val="bullet"/>
      <w:lvlText w:val=""/>
      <w:lvlJc w:val="left"/>
      <w:pPr>
        <w:ind w:left="960" w:hanging="360"/>
      </w:pPr>
      <w:rPr>
        <w:rFonts w:ascii="Symbol" w:hAnsi="Symbol" w:hint="default"/>
      </w:rPr>
    </w:lvl>
    <w:lvl w:ilvl="1" w:tplc="380A0003" w:tentative="1">
      <w:start w:val="1"/>
      <w:numFmt w:val="bullet"/>
      <w:lvlText w:val="o"/>
      <w:lvlJc w:val="left"/>
      <w:pPr>
        <w:ind w:left="1680" w:hanging="360"/>
      </w:pPr>
      <w:rPr>
        <w:rFonts w:ascii="Courier New" w:hAnsi="Courier New" w:cs="Courier New" w:hint="default"/>
      </w:rPr>
    </w:lvl>
    <w:lvl w:ilvl="2" w:tplc="380A0005" w:tentative="1">
      <w:start w:val="1"/>
      <w:numFmt w:val="bullet"/>
      <w:lvlText w:val=""/>
      <w:lvlJc w:val="left"/>
      <w:pPr>
        <w:ind w:left="2400" w:hanging="360"/>
      </w:pPr>
      <w:rPr>
        <w:rFonts w:ascii="Wingdings" w:hAnsi="Wingdings" w:hint="default"/>
      </w:rPr>
    </w:lvl>
    <w:lvl w:ilvl="3" w:tplc="380A0001" w:tentative="1">
      <w:start w:val="1"/>
      <w:numFmt w:val="bullet"/>
      <w:lvlText w:val=""/>
      <w:lvlJc w:val="left"/>
      <w:pPr>
        <w:ind w:left="3120" w:hanging="360"/>
      </w:pPr>
      <w:rPr>
        <w:rFonts w:ascii="Symbol" w:hAnsi="Symbol" w:hint="default"/>
      </w:rPr>
    </w:lvl>
    <w:lvl w:ilvl="4" w:tplc="380A0003" w:tentative="1">
      <w:start w:val="1"/>
      <w:numFmt w:val="bullet"/>
      <w:lvlText w:val="o"/>
      <w:lvlJc w:val="left"/>
      <w:pPr>
        <w:ind w:left="3840" w:hanging="360"/>
      </w:pPr>
      <w:rPr>
        <w:rFonts w:ascii="Courier New" w:hAnsi="Courier New" w:cs="Courier New" w:hint="default"/>
      </w:rPr>
    </w:lvl>
    <w:lvl w:ilvl="5" w:tplc="380A0005" w:tentative="1">
      <w:start w:val="1"/>
      <w:numFmt w:val="bullet"/>
      <w:lvlText w:val=""/>
      <w:lvlJc w:val="left"/>
      <w:pPr>
        <w:ind w:left="4560" w:hanging="360"/>
      </w:pPr>
      <w:rPr>
        <w:rFonts w:ascii="Wingdings" w:hAnsi="Wingdings" w:hint="default"/>
      </w:rPr>
    </w:lvl>
    <w:lvl w:ilvl="6" w:tplc="380A0001" w:tentative="1">
      <w:start w:val="1"/>
      <w:numFmt w:val="bullet"/>
      <w:lvlText w:val=""/>
      <w:lvlJc w:val="left"/>
      <w:pPr>
        <w:ind w:left="5280" w:hanging="360"/>
      </w:pPr>
      <w:rPr>
        <w:rFonts w:ascii="Symbol" w:hAnsi="Symbol" w:hint="default"/>
      </w:rPr>
    </w:lvl>
    <w:lvl w:ilvl="7" w:tplc="380A0003" w:tentative="1">
      <w:start w:val="1"/>
      <w:numFmt w:val="bullet"/>
      <w:lvlText w:val="o"/>
      <w:lvlJc w:val="left"/>
      <w:pPr>
        <w:ind w:left="6000" w:hanging="360"/>
      </w:pPr>
      <w:rPr>
        <w:rFonts w:ascii="Courier New" w:hAnsi="Courier New" w:cs="Courier New" w:hint="default"/>
      </w:rPr>
    </w:lvl>
    <w:lvl w:ilvl="8" w:tplc="380A0005" w:tentative="1">
      <w:start w:val="1"/>
      <w:numFmt w:val="bullet"/>
      <w:lvlText w:val=""/>
      <w:lvlJc w:val="left"/>
      <w:pPr>
        <w:ind w:left="6720" w:hanging="360"/>
      </w:pPr>
      <w:rPr>
        <w:rFonts w:ascii="Wingdings" w:hAnsi="Wingdings" w:hint="default"/>
      </w:rPr>
    </w:lvl>
  </w:abstractNum>
  <w:abstractNum w:abstractNumId="21">
    <w:nsid w:val="6F7E099B"/>
    <w:multiLevelType w:val="hybridMultilevel"/>
    <w:tmpl w:val="BE007DC2"/>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2">
    <w:nsid w:val="7BE55560"/>
    <w:multiLevelType w:val="hybridMultilevel"/>
    <w:tmpl w:val="8A7092E2"/>
    <w:lvl w:ilvl="0" w:tplc="6012EAD0">
      <w:start w:val="3"/>
      <w:numFmt w:val="decimal"/>
      <w:lvlText w:val="%1)"/>
      <w:lvlJc w:val="left"/>
      <w:pPr>
        <w:ind w:left="502" w:hanging="360"/>
      </w:pPr>
      <w:rPr>
        <w:rFonts w:hint="default"/>
        <w:b/>
      </w:rPr>
    </w:lvl>
    <w:lvl w:ilvl="1" w:tplc="380A0019" w:tentative="1">
      <w:start w:val="1"/>
      <w:numFmt w:val="lowerLetter"/>
      <w:lvlText w:val="%2."/>
      <w:lvlJc w:val="left"/>
      <w:pPr>
        <w:ind w:left="1222" w:hanging="360"/>
      </w:pPr>
    </w:lvl>
    <w:lvl w:ilvl="2" w:tplc="380A001B" w:tentative="1">
      <w:start w:val="1"/>
      <w:numFmt w:val="lowerRoman"/>
      <w:lvlText w:val="%3."/>
      <w:lvlJc w:val="right"/>
      <w:pPr>
        <w:ind w:left="1942" w:hanging="180"/>
      </w:pPr>
    </w:lvl>
    <w:lvl w:ilvl="3" w:tplc="380A000F" w:tentative="1">
      <w:start w:val="1"/>
      <w:numFmt w:val="decimal"/>
      <w:lvlText w:val="%4."/>
      <w:lvlJc w:val="left"/>
      <w:pPr>
        <w:ind w:left="2662" w:hanging="360"/>
      </w:pPr>
    </w:lvl>
    <w:lvl w:ilvl="4" w:tplc="380A0019" w:tentative="1">
      <w:start w:val="1"/>
      <w:numFmt w:val="lowerLetter"/>
      <w:lvlText w:val="%5."/>
      <w:lvlJc w:val="left"/>
      <w:pPr>
        <w:ind w:left="3382" w:hanging="360"/>
      </w:pPr>
    </w:lvl>
    <w:lvl w:ilvl="5" w:tplc="380A001B" w:tentative="1">
      <w:start w:val="1"/>
      <w:numFmt w:val="lowerRoman"/>
      <w:lvlText w:val="%6."/>
      <w:lvlJc w:val="right"/>
      <w:pPr>
        <w:ind w:left="4102" w:hanging="180"/>
      </w:pPr>
    </w:lvl>
    <w:lvl w:ilvl="6" w:tplc="380A000F" w:tentative="1">
      <w:start w:val="1"/>
      <w:numFmt w:val="decimal"/>
      <w:lvlText w:val="%7."/>
      <w:lvlJc w:val="left"/>
      <w:pPr>
        <w:ind w:left="4822" w:hanging="360"/>
      </w:pPr>
    </w:lvl>
    <w:lvl w:ilvl="7" w:tplc="380A0019" w:tentative="1">
      <w:start w:val="1"/>
      <w:numFmt w:val="lowerLetter"/>
      <w:lvlText w:val="%8."/>
      <w:lvlJc w:val="left"/>
      <w:pPr>
        <w:ind w:left="5542" w:hanging="360"/>
      </w:pPr>
    </w:lvl>
    <w:lvl w:ilvl="8" w:tplc="380A001B" w:tentative="1">
      <w:start w:val="1"/>
      <w:numFmt w:val="lowerRoman"/>
      <w:lvlText w:val="%9."/>
      <w:lvlJc w:val="right"/>
      <w:pPr>
        <w:ind w:left="6262" w:hanging="180"/>
      </w:pPr>
    </w:lvl>
  </w:abstractNum>
  <w:abstractNum w:abstractNumId="23">
    <w:nsid w:val="7F1E69B0"/>
    <w:multiLevelType w:val="multilevel"/>
    <w:tmpl w:val="9E0485F2"/>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4"/>
  </w:num>
  <w:num w:numId="3">
    <w:abstractNumId w:val="11"/>
  </w:num>
  <w:num w:numId="4">
    <w:abstractNumId w:val="6"/>
  </w:num>
  <w:num w:numId="5">
    <w:abstractNumId w:val="21"/>
  </w:num>
  <w:num w:numId="6">
    <w:abstractNumId w:val="17"/>
  </w:num>
  <w:num w:numId="7">
    <w:abstractNumId w:val="1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16"/>
  </w:num>
  <w:num w:numId="12">
    <w:abstractNumId w:val="19"/>
  </w:num>
  <w:num w:numId="13">
    <w:abstractNumId w:val="12"/>
  </w:num>
  <w:num w:numId="14">
    <w:abstractNumId w:val="10"/>
  </w:num>
  <w:num w:numId="15">
    <w:abstractNumId w:val="3"/>
  </w:num>
  <w:num w:numId="16">
    <w:abstractNumId w:val="15"/>
  </w:num>
  <w:num w:numId="17">
    <w:abstractNumId w:val="22"/>
  </w:num>
  <w:num w:numId="18">
    <w:abstractNumId w:val="8"/>
  </w:num>
  <w:num w:numId="19">
    <w:abstractNumId w:val="5"/>
  </w:num>
  <w:num w:numId="20">
    <w:abstractNumId w:val="9"/>
  </w:num>
  <w:num w:numId="21">
    <w:abstractNumId w:val="23"/>
  </w:num>
  <w:num w:numId="22">
    <w:abstractNumId w:val="4"/>
  </w:num>
  <w:num w:numId="23">
    <w:abstractNumId w:val="2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1D8"/>
    <w:rsid w:val="00010FD8"/>
    <w:rsid w:val="00011039"/>
    <w:rsid w:val="00033075"/>
    <w:rsid w:val="00040A41"/>
    <w:rsid w:val="00042874"/>
    <w:rsid w:val="00046C09"/>
    <w:rsid w:val="000771D8"/>
    <w:rsid w:val="000D3D84"/>
    <w:rsid w:val="00126291"/>
    <w:rsid w:val="00143CB0"/>
    <w:rsid w:val="00160871"/>
    <w:rsid w:val="00196203"/>
    <w:rsid w:val="00221835"/>
    <w:rsid w:val="00244540"/>
    <w:rsid w:val="002C28AC"/>
    <w:rsid w:val="0032429A"/>
    <w:rsid w:val="00341004"/>
    <w:rsid w:val="00344E60"/>
    <w:rsid w:val="00374C5A"/>
    <w:rsid w:val="00382954"/>
    <w:rsid w:val="003837C3"/>
    <w:rsid w:val="003D4061"/>
    <w:rsid w:val="003F1415"/>
    <w:rsid w:val="003F61AE"/>
    <w:rsid w:val="004874E8"/>
    <w:rsid w:val="00496114"/>
    <w:rsid w:val="004D499A"/>
    <w:rsid w:val="00500CC0"/>
    <w:rsid w:val="005040E4"/>
    <w:rsid w:val="0051745C"/>
    <w:rsid w:val="00523252"/>
    <w:rsid w:val="00542301"/>
    <w:rsid w:val="00550E57"/>
    <w:rsid w:val="00592124"/>
    <w:rsid w:val="00595D44"/>
    <w:rsid w:val="00635A63"/>
    <w:rsid w:val="006406AB"/>
    <w:rsid w:val="006439D7"/>
    <w:rsid w:val="00681CB3"/>
    <w:rsid w:val="006A14E6"/>
    <w:rsid w:val="006B3768"/>
    <w:rsid w:val="006D109D"/>
    <w:rsid w:val="007045E6"/>
    <w:rsid w:val="00722613"/>
    <w:rsid w:val="00737A4E"/>
    <w:rsid w:val="00766F6D"/>
    <w:rsid w:val="007E3839"/>
    <w:rsid w:val="007E4CBE"/>
    <w:rsid w:val="00827E88"/>
    <w:rsid w:val="0083346B"/>
    <w:rsid w:val="00880644"/>
    <w:rsid w:val="008A0EBB"/>
    <w:rsid w:val="008A562C"/>
    <w:rsid w:val="008B63AE"/>
    <w:rsid w:val="008C6D06"/>
    <w:rsid w:val="009049C9"/>
    <w:rsid w:val="00931CFF"/>
    <w:rsid w:val="009452A5"/>
    <w:rsid w:val="009734DB"/>
    <w:rsid w:val="00974E56"/>
    <w:rsid w:val="009B597D"/>
    <w:rsid w:val="009C1306"/>
    <w:rsid w:val="009C47B2"/>
    <w:rsid w:val="009C6BC2"/>
    <w:rsid w:val="009D5808"/>
    <w:rsid w:val="00A51AAC"/>
    <w:rsid w:val="00A64A40"/>
    <w:rsid w:val="00A70684"/>
    <w:rsid w:val="00A83EBC"/>
    <w:rsid w:val="00AF63D1"/>
    <w:rsid w:val="00B52965"/>
    <w:rsid w:val="00B626E3"/>
    <w:rsid w:val="00B71F6C"/>
    <w:rsid w:val="00B819D6"/>
    <w:rsid w:val="00BB6F67"/>
    <w:rsid w:val="00C06CD2"/>
    <w:rsid w:val="00C11891"/>
    <w:rsid w:val="00C93E6D"/>
    <w:rsid w:val="00C96531"/>
    <w:rsid w:val="00C97772"/>
    <w:rsid w:val="00CD5362"/>
    <w:rsid w:val="00CE360D"/>
    <w:rsid w:val="00D40D0B"/>
    <w:rsid w:val="00D62308"/>
    <w:rsid w:val="00D96C8E"/>
    <w:rsid w:val="00DA73BF"/>
    <w:rsid w:val="00DC2514"/>
    <w:rsid w:val="00DD1C1C"/>
    <w:rsid w:val="00DF1276"/>
    <w:rsid w:val="00E0018A"/>
    <w:rsid w:val="00E03EFA"/>
    <w:rsid w:val="00E04F42"/>
    <w:rsid w:val="00E3002D"/>
    <w:rsid w:val="00E335C2"/>
    <w:rsid w:val="00EF08F0"/>
    <w:rsid w:val="00FA3A0E"/>
    <w:rsid w:val="00FF3F5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1D8"/>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500CC0"/>
    <w:pPr>
      <w:keepNext/>
      <w:spacing w:after="260" w:line="360" w:lineRule="auto"/>
      <w:jc w:val="both"/>
      <w:outlineLvl w:val="0"/>
    </w:pPr>
    <w:rPr>
      <w:b/>
    </w:rPr>
  </w:style>
  <w:style w:type="paragraph" w:styleId="Ttulo2">
    <w:name w:val="heading 2"/>
    <w:basedOn w:val="Normal"/>
    <w:next w:val="Normal"/>
    <w:link w:val="Ttulo2Car"/>
    <w:qFormat/>
    <w:rsid w:val="00500CC0"/>
    <w:pPr>
      <w:keepNext/>
      <w:spacing w:line="360" w:lineRule="auto"/>
      <w:jc w:val="center"/>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771D8"/>
    <w:pPr>
      <w:tabs>
        <w:tab w:val="center" w:pos="4252"/>
        <w:tab w:val="right" w:pos="8504"/>
      </w:tabs>
    </w:pPr>
  </w:style>
  <w:style w:type="character" w:customStyle="1" w:styleId="EncabezadoCar">
    <w:name w:val="Encabezado Car"/>
    <w:basedOn w:val="Fuentedeprrafopredeter"/>
    <w:link w:val="Encabezado"/>
    <w:rsid w:val="000771D8"/>
    <w:rPr>
      <w:rFonts w:ascii="Arial" w:eastAsia="Times New Roman" w:hAnsi="Arial" w:cs="Times New Roman"/>
      <w:sz w:val="24"/>
      <w:szCs w:val="24"/>
      <w:lang w:val="es-ES" w:eastAsia="es-ES"/>
    </w:rPr>
  </w:style>
  <w:style w:type="paragraph" w:styleId="Piedepgina">
    <w:name w:val="footer"/>
    <w:basedOn w:val="Normal"/>
    <w:link w:val="PiedepginaCar"/>
    <w:uiPriority w:val="99"/>
    <w:rsid w:val="000771D8"/>
    <w:pPr>
      <w:tabs>
        <w:tab w:val="center" w:pos="4252"/>
        <w:tab w:val="right" w:pos="8504"/>
      </w:tabs>
    </w:pPr>
  </w:style>
  <w:style w:type="character" w:customStyle="1" w:styleId="PiedepginaCar">
    <w:name w:val="Pie de página Car"/>
    <w:basedOn w:val="Fuentedeprrafopredeter"/>
    <w:link w:val="Piedepgina"/>
    <w:uiPriority w:val="99"/>
    <w:rsid w:val="000771D8"/>
    <w:rPr>
      <w:rFonts w:ascii="Arial" w:eastAsia="Times New Roman" w:hAnsi="Arial" w:cs="Times New Roman"/>
      <w:sz w:val="24"/>
      <w:szCs w:val="24"/>
      <w:lang w:val="es-ES" w:eastAsia="es-ES"/>
    </w:rPr>
  </w:style>
  <w:style w:type="character" w:styleId="Nmerodepgina">
    <w:name w:val="page number"/>
    <w:basedOn w:val="Fuentedeprrafopredeter"/>
    <w:semiHidden/>
    <w:rsid w:val="000771D8"/>
  </w:style>
  <w:style w:type="character" w:customStyle="1" w:styleId="Ttulo1Car">
    <w:name w:val="Título 1 Car"/>
    <w:basedOn w:val="Fuentedeprrafopredeter"/>
    <w:link w:val="Ttulo1"/>
    <w:rsid w:val="00500CC0"/>
    <w:rPr>
      <w:rFonts w:ascii="Arial" w:eastAsia="Times New Roman" w:hAnsi="Arial" w:cs="Times New Roman"/>
      <w:b/>
      <w:sz w:val="24"/>
      <w:szCs w:val="24"/>
      <w:lang w:val="es-ES" w:eastAsia="es-ES"/>
    </w:rPr>
  </w:style>
  <w:style w:type="paragraph" w:styleId="Sangradetextonormal">
    <w:name w:val="Body Text Indent"/>
    <w:basedOn w:val="Normal"/>
    <w:link w:val="SangradetextonormalCar"/>
    <w:semiHidden/>
    <w:rsid w:val="00500CC0"/>
    <w:pPr>
      <w:ind w:left="360"/>
    </w:pPr>
    <w:rPr>
      <w:rFonts w:cs="Arial"/>
    </w:rPr>
  </w:style>
  <w:style w:type="character" w:customStyle="1" w:styleId="SangradetextonormalCar">
    <w:name w:val="Sangría de texto normal Car"/>
    <w:basedOn w:val="Fuentedeprrafopredeter"/>
    <w:link w:val="Sangradetextonormal"/>
    <w:semiHidden/>
    <w:rsid w:val="00500CC0"/>
    <w:rPr>
      <w:rFonts w:ascii="Arial" w:eastAsia="Times New Roman" w:hAnsi="Arial" w:cs="Arial"/>
      <w:sz w:val="24"/>
      <w:szCs w:val="24"/>
      <w:lang w:val="es-ES" w:eastAsia="es-ES"/>
    </w:rPr>
  </w:style>
  <w:style w:type="paragraph" w:styleId="Ttulo">
    <w:name w:val="Title"/>
    <w:basedOn w:val="Normal"/>
    <w:link w:val="TtuloCar"/>
    <w:qFormat/>
    <w:rsid w:val="00500CC0"/>
    <w:pPr>
      <w:jc w:val="center"/>
    </w:pPr>
    <w:rPr>
      <w:b/>
      <w:sz w:val="20"/>
      <w:szCs w:val="20"/>
      <w:lang w:val="es-ES_tradnl"/>
    </w:rPr>
  </w:style>
  <w:style w:type="character" w:customStyle="1" w:styleId="TtuloCar">
    <w:name w:val="Título Car"/>
    <w:basedOn w:val="Fuentedeprrafopredeter"/>
    <w:link w:val="Ttulo"/>
    <w:rsid w:val="00500CC0"/>
    <w:rPr>
      <w:rFonts w:ascii="Arial" w:eastAsia="Times New Roman" w:hAnsi="Arial" w:cs="Times New Roman"/>
      <w:b/>
      <w:sz w:val="20"/>
      <w:szCs w:val="20"/>
      <w:lang w:val="es-ES_tradnl" w:eastAsia="es-ES"/>
    </w:rPr>
  </w:style>
  <w:style w:type="paragraph" w:styleId="Textoindependiente3">
    <w:name w:val="Body Text 3"/>
    <w:basedOn w:val="Normal"/>
    <w:link w:val="Textoindependiente3Car"/>
    <w:semiHidden/>
    <w:rsid w:val="00500CC0"/>
    <w:pPr>
      <w:spacing w:after="120"/>
    </w:pPr>
    <w:rPr>
      <w:sz w:val="16"/>
      <w:szCs w:val="16"/>
    </w:rPr>
  </w:style>
  <w:style w:type="character" w:customStyle="1" w:styleId="Textoindependiente3Car">
    <w:name w:val="Texto independiente 3 Car"/>
    <w:basedOn w:val="Fuentedeprrafopredeter"/>
    <w:link w:val="Textoindependiente3"/>
    <w:semiHidden/>
    <w:rsid w:val="00500CC0"/>
    <w:rPr>
      <w:rFonts w:ascii="Arial" w:eastAsia="Times New Roman" w:hAnsi="Arial" w:cs="Times New Roman"/>
      <w:sz w:val="16"/>
      <w:szCs w:val="16"/>
      <w:lang w:val="es-ES" w:eastAsia="es-ES"/>
    </w:rPr>
  </w:style>
  <w:style w:type="character" w:customStyle="1" w:styleId="Ttulo2Car">
    <w:name w:val="Título 2 Car"/>
    <w:basedOn w:val="Fuentedeprrafopredeter"/>
    <w:link w:val="Ttulo2"/>
    <w:rsid w:val="00500CC0"/>
    <w:rPr>
      <w:rFonts w:ascii="Arial" w:eastAsia="Times New Roman" w:hAnsi="Arial" w:cs="Times New Roman"/>
      <w:b/>
      <w:sz w:val="24"/>
      <w:szCs w:val="24"/>
      <w:lang w:val="es-ES" w:eastAsia="es-ES"/>
    </w:rPr>
  </w:style>
  <w:style w:type="paragraph" w:styleId="Textoindependiente2">
    <w:name w:val="Body Text 2"/>
    <w:basedOn w:val="Normal"/>
    <w:link w:val="Textoindependiente2Car"/>
    <w:semiHidden/>
    <w:rsid w:val="00500CC0"/>
    <w:pPr>
      <w:spacing w:line="360" w:lineRule="auto"/>
      <w:jc w:val="both"/>
    </w:pPr>
    <w:rPr>
      <w:lang w:val="es-ES_tradnl"/>
    </w:rPr>
  </w:style>
  <w:style w:type="character" w:customStyle="1" w:styleId="Textoindependiente2Car">
    <w:name w:val="Texto independiente 2 Car"/>
    <w:basedOn w:val="Fuentedeprrafopredeter"/>
    <w:link w:val="Textoindependiente2"/>
    <w:semiHidden/>
    <w:rsid w:val="00500CC0"/>
    <w:rPr>
      <w:rFonts w:ascii="Arial" w:eastAsia="Times New Roman" w:hAnsi="Arial" w:cs="Times New Roman"/>
      <w:sz w:val="24"/>
      <w:szCs w:val="24"/>
      <w:lang w:val="es-ES_tradnl" w:eastAsia="es-ES"/>
    </w:rPr>
  </w:style>
  <w:style w:type="paragraph" w:styleId="Sangra2detindependiente">
    <w:name w:val="Body Text Indent 2"/>
    <w:basedOn w:val="Normal"/>
    <w:link w:val="Sangra2detindependienteCar"/>
    <w:semiHidden/>
    <w:rsid w:val="00500CC0"/>
    <w:pPr>
      <w:spacing w:line="360" w:lineRule="auto"/>
      <w:ind w:left="720"/>
      <w:jc w:val="both"/>
    </w:pPr>
    <w:rPr>
      <w:szCs w:val="20"/>
    </w:rPr>
  </w:style>
  <w:style w:type="character" w:customStyle="1" w:styleId="Sangra2detindependienteCar">
    <w:name w:val="Sangría 2 de t. independiente Car"/>
    <w:basedOn w:val="Fuentedeprrafopredeter"/>
    <w:link w:val="Sangra2detindependiente"/>
    <w:semiHidden/>
    <w:rsid w:val="00500CC0"/>
    <w:rPr>
      <w:rFonts w:ascii="Arial" w:eastAsia="Times New Roman" w:hAnsi="Arial" w:cs="Times New Roman"/>
      <w:sz w:val="24"/>
      <w:szCs w:val="20"/>
      <w:lang w:val="es-ES" w:eastAsia="es-ES"/>
    </w:rPr>
  </w:style>
  <w:style w:type="paragraph" w:styleId="Sangra3detindependiente">
    <w:name w:val="Body Text Indent 3"/>
    <w:basedOn w:val="Normal"/>
    <w:link w:val="Sangra3detindependienteCar"/>
    <w:semiHidden/>
    <w:rsid w:val="00500CC0"/>
    <w:pPr>
      <w:ind w:left="360"/>
      <w:jc w:val="both"/>
    </w:pPr>
    <w:rPr>
      <w:rFonts w:cs="Arial"/>
    </w:rPr>
  </w:style>
  <w:style w:type="character" w:customStyle="1" w:styleId="Sangra3detindependienteCar">
    <w:name w:val="Sangría 3 de t. independiente Car"/>
    <w:basedOn w:val="Fuentedeprrafopredeter"/>
    <w:link w:val="Sangra3detindependiente"/>
    <w:semiHidden/>
    <w:rsid w:val="00500CC0"/>
    <w:rPr>
      <w:rFonts w:ascii="Arial" w:eastAsia="Times New Roman" w:hAnsi="Arial" w:cs="Arial"/>
      <w:sz w:val="24"/>
      <w:szCs w:val="24"/>
      <w:lang w:val="es-ES" w:eastAsia="es-ES"/>
    </w:rPr>
  </w:style>
  <w:style w:type="paragraph" w:styleId="Textoindependiente">
    <w:name w:val="Body Text"/>
    <w:basedOn w:val="Normal"/>
    <w:link w:val="TextoindependienteCar"/>
    <w:semiHidden/>
    <w:rsid w:val="00500CC0"/>
    <w:rPr>
      <w:rFonts w:ascii="Bookman Old Style" w:hAnsi="Bookman Old Style"/>
      <w:szCs w:val="20"/>
      <w:lang w:val="es-ES_tradnl"/>
    </w:rPr>
  </w:style>
  <w:style w:type="character" w:customStyle="1" w:styleId="TextoindependienteCar">
    <w:name w:val="Texto independiente Car"/>
    <w:basedOn w:val="Fuentedeprrafopredeter"/>
    <w:link w:val="Textoindependiente"/>
    <w:semiHidden/>
    <w:rsid w:val="00500CC0"/>
    <w:rPr>
      <w:rFonts w:ascii="Bookman Old Style" w:eastAsia="Times New Roman" w:hAnsi="Bookman Old Style" w:cs="Times New Roman"/>
      <w:sz w:val="24"/>
      <w:szCs w:val="20"/>
      <w:lang w:val="es-ES_tradnl" w:eastAsia="es-ES"/>
    </w:rPr>
  </w:style>
  <w:style w:type="paragraph" w:styleId="Prrafodelista">
    <w:name w:val="List Paragraph"/>
    <w:basedOn w:val="Normal"/>
    <w:uiPriority w:val="34"/>
    <w:qFormat/>
    <w:rsid w:val="00500CC0"/>
    <w:pPr>
      <w:ind w:left="720"/>
      <w:contextualSpacing/>
    </w:pPr>
  </w:style>
  <w:style w:type="character" w:customStyle="1" w:styleId="apple-converted-space">
    <w:name w:val="apple-converted-space"/>
    <w:basedOn w:val="Fuentedeprrafopredeter"/>
    <w:rsid w:val="009049C9"/>
  </w:style>
  <w:style w:type="paragraph" w:customStyle="1" w:styleId="Continuarlista1">
    <w:name w:val="Continuar lista1"/>
    <w:basedOn w:val="Normal"/>
    <w:rsid w:val="009049C9"/>
    <w:pPr>
      <w:numPr>
        <w:numId w:val="9"/>
      </w:numPr>
      <w:suppressAutoHyphens/>
      <w:spacing w:after="120"/>
    </w:pPr>
    <w:rPr>
      <w:rFonts w:ascii="Times New Roman" w:hAnsi="Times New Roman"/>
      <w:lang w:eastAsia="ar-SA"/>
    </w:rPr>
  </w:style>
  <w:style w:type="paragraph" w:customStyle="1" w:styleId="Textoindependiente1">
    <w:name w:val="Texto independiente1"/>
    <w:basedOn w:val="Normal"/>
    <w:rsid w:val="009049C9"/>
    <w:pPr>
      <w:suppressAutoHyphens/>
      <w:spacing w:before="120" w:after="120"/>
      <w:jc w:val="both"/>
    </w:pPr>
    <w:rPr>
      <w:rFonts w:ascii="Helvetica" w:hAnsi="Helvetica"/>
      <w:sz w:val="20"/>
      <w:szCs w:val="20"/>
      <w:lang w:val="es-ES_tradnl" w:eastAsia="ar-SA"/>
    </w:rPr>
  </w:style>
  <w:style w:type="paragraph" w:customStyle="1" w:styleId="sangra3detindependiente3">
    <w:name w:val="sangra3detindependiente3"/>
    <w:basedOn w:val="Normal"/>
    <w:rsid w:val="009049C9"/>
    <w:pPr>
      <w:spacing w:line="360" w:lineRule="auto"/>
      <w:ind w:left="426"/>
      <w:jc w:val="both"/>
    </w:pPr>
    <w:rPr>
      <w:rFonts w:ascii="Bookman Old Style" w:hAnsi="Bookman Old Style"/>
    </w:rPr>
  </w:style>
  <w:style w:type="paragraph" w:customStyle="1" w:styleId="Bodyby">
    <w:name w:val="Body.by"/>
    <w:basedOn w:val="Normal"/>
    <w:rsid w:val="009049C9"/>
    <w:pPr>
      <w:spacing w:after="260" w:line="260" w:lineRule="exact"/>
    </w:pPr>
    <w:rPr>
      <w:rFonts w:ascii="Times" w:hAnsi="Times"/>
      <w:sz w:val="22"/>
      <w:szCs w:val="20"/>
      <w:lang w:eastAsia="es-UY"/>
    </w:rPr>
  </w:style>
  <w:style w:type="character" w:styleId="nfasis">
    <w:name w:val="Emphasis"/>
    <w:basedOn w:val="Fuentedeprrafopredeter"/>
    <w:uiPriority w:val="20"/>
    <w:qFormat/>
    <w:rsid w:val="009049C9"/>
    <w:rPr>
      <w:i/>
      <w:iCs/>
    </w:rPr>
  </w:style>
  <w:style w:type="paragraph" w:styleId="Textodeglobo">
    <w:name w:val="Balloon Text"/>
    <w:basedOn w:val="Normal"/>
    <w:link w:val="TextodegloboCar"/>
    <w:uiPriority w:val="99"/>
    <w:semiHidden/>
    <w:unhideWhenUsed/>
    <w:rsid w:val="00722613"/>
    <w:rPr>
      <w:rFonts w:ascii="Tahoma" w:hAnsi="Tahoma" w:cs="Tahoma"/>
      <w:sz w:val="16"/>
      <w:szCs w:val="16"/>
    </w:rPr>
  </w:style>
  <w:style w:type="character" w:customStyle="1" w:styleId="TextodegloboCar">
    <w:name w:val="Texto de globo Car"/>
    <w:basedOn w:val="Fuentedeprrafopredeter"/>
    <w:link w:val="Textodeglobo"/>
    <w:uiPriority w:val="99"/>
    <w:semiHidden/>
    <w:rsid w:val="00722613"/>
    <w:rPr>
      <w:rFonts w:ascii="Tahoma" w:eastAsia="Times New Roman" w:hAnsi="Tahoma" w:cs="Tahoma"/>
      <w:sz w:val="16"/>
      <w:szCs w:val="16"/>
      <w:lang w:val="es-ES" w:eastAsia="es-ES"/>
    </w:rPr>
  </w:style>
  <w:style w:type="paragraph" w:customStyle="1" w:styleId="Indent1">
    <w:name w:val="Indent 1"/>
    <w:rsid w:val="00E0018A"/>
    <w:pPr>
      <w:tabs>
        <w:tab w:val="left" w:pos="680"/>
      </w:tabs>
      <w:suppressAutoHyphens/>
      <w:autoSpaceDE w:val="0"/>
      <w:autoSpaceDN w:val="0"/>
      <w:adjustRightInd w:val="0"/>
      <w:snapToGrid w:val="0"/>
      <w:spacing w:after="120" w:line="220" w:lineRule="exact"/>
      <w:ind w:left="680" w:hanging="680"/>
      <w:jc w:val="both"/>
    </w:pPr>
    <w:rPr>
      <w:rFonts w:ascii="Times New Roman" w:eastAsia="MS Mincho" w:hAnsi="Times New Roman" w:cs="Times New Roman"/>
      <w:noProof/>
      <w:color w:val="000000"/>
      <w:sz w:val="18"/>
      <w:szCs w:val="17"/>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1D8"/>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500CC0"/>
    <w:pPr>
      <w:keepNext/>
      <w:spacing w:after="260" w:line="360" w:lineRule="auto"/>
      <w:jc w:val="both"/>
      <w:outlineLvl w:val="0"/>
    </w:pPr>
    <w:rPr>
      <w:b/>
    </w:rPr>
  </w:style>
  <w:style w:type="paragraph" w:styleId="Ttulo2">
    <w:name w:val="heading 2"/>
    <w:basedOn w:val="Normal"/>
    <w:next w:val="Normal"/>
    <w:link w:val="Ttulo2Car"/>
    <w:qFormat/>
    <w:rsid w:val="00500CC0"/>
    <w:pPr>
      <w:keepNext/>
      <w:spacing w:line="360" w:lineRule="auto"/>
      <w:jc w:val="center"/>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771D8"/>
    <w:pPr>
      <w:tabs>
        <w:tab w:val="center" w:pos="4252"/>
        <w:tab w:val="right" w:pos="8504"/>
      </w:tabs>
    </w:pPr>
  </w:style>
  <w:style w:type="character" w:customStyle="1" w:styleId="EncabezadoCar">
    <w:name w:val="Encabezado Car"/>
    <w:basedOn w:val="Fuentedeprrafopredeter"/>
    <w:link w:val="Encabezado"/>
    <w:rsid w:val="000771D8"/>
    <w:rPr>
      <w:rFonts w:ascii="Arial" w:eastAsia="Times New Roman" w:hAnsi="Arial" w:cs="Times New Roman"/>
      <w:sz w:val="24"/>
      <w:szCs w:val="24"/>
      <w:lang w:val="es-ES" w:eastAsia="es-ES"/>
    </w:rPr>
  </w:style>
  <w:style w:type="paragraph" w:styleId="Piedepgina">
    <w:name w:val="footer"/>
    <w:basedOn w:val="Normal"/>
    <w:link w:val="PiedepginaCar"/>
    <w:uiPriority w:val="99"/>
    <w:rsid w:val="000771D8"/>
    <w:pPr>
      <w:tabs>
        <w:tab w:val="center" w:pos="4252"/>
        <w:tab w:val="right" w:pos="8504"/>
      </w:tabs>
    </w:pPr>
  </w:style>
  <w:style w:type="character" w:customStyle="1" w:styleId="PiedepginaCar">
    <w:name w:val="Pie de página Car"/>
    <w:basedOn w:val="Fuentedeprrafopredeter"/>
    <w:link w:val="Piedepgina"/>
    <w:uiPriority w:val="99"/>
    <w:rsid w:val="000771D8"/>
    <w:rPr>
      <w:rFonts w:ascii="Arial" w:eastAsia="Times New Roman" w:hAnsi="Arial" w:cs="Times New Roman"/>
      <w:sz w:val="24"/>
      <w:szCs w:val="24"/>
      <w:lang w:val="es-ES" w:eastAsia="es-ES"/>
    </w:rPr>
  </w:style>
  <w:style w:type="character" w:styleId="Nmerodepgina">
    <w:name w:val="page number"/>
    <w:basedOn w:val="Fuentedeprrafopredeter"/>
    <w:semiHidden/>
    <w:rsid w:val="000771D8"/>
  </w:style>
  <w:style w:type="character" w:customStyle="1" w:styleId="Ttulo1Car">
    <w:name w:val="Título 1 Car"/>
    <w:basedOn w:val="Fuentedeprrafopredeter"/>
    <w:link w:val="Ttulo1"/>
    <w:rsid w:val="00500CC0"/>
    <w:rPr>
      <w:rFonts w:ascii="Arial" w:eastAsia="Times New Roman" w:hAnsi="Arial" w:cs="Times New Roman"/>
      <w:b/>
      <w:sz w:val="24"/>
      <w:szCs w:val="24"/>
      <w:lang w:val="es-ES" w:eastAsia="es-ES"/>
    </w:rPr>
  </w:style>
  <w:style w:type="paragraph" w:styleId="Sangradetextonormal">
    <w:name w:val="Body Text Indent"/>
    <w:basedOn w:val="Normal"/>
    <w:link w:val="SangradetextonormalCar"/>
    <w:semiHidden/>
    <w:rsid w:val="00500CC0"/>
    <w:pPr>
      <w:ind w:left="360"/>
    </w:pPr>
    <w:rPr>
      <w:rFonts w:cs="Arial"/>
    </w:rPr>
  </w:style>
  <w:style w:type="character" w:customStyle="1" w:styleId="SangradetextonormalCar">
    <w:name w:val="Sangría de texto normal Car"/>
    <w:basedOn w:val="Fuentedeprrafopredeter"/>
    <w:link w:val="Sangradetextonormal"/>
    <w:semiHidden/>
    <w:rsid w:val="00500CC0"/>
    <w:rPr>
      <w:rFonts w:ascii="Arial" w:eastAsia="Times New Roman" w:hAnsi="Arial" w:cs="Arial"/>
      <w:sz w:val="24"/>
      <w:szCs w:val="24"/>
      <w:lang w:val="es-ES" w:eastAsia="es-ES"/>
    </w:rPr>
  </w:style>
  <w:style w:type="paragraph" w:styleId="Ttulo">
    <w:name w:val="Title"/>
    <w:basedOn w:val="Normal"/>
    <w:link w:val="TtuloCar"/>
    <w:qFormat/>
    <w:rsid w:val="00500CC0"/>
    <w:pPr>
      <w:jc w:val="center"/>
    </w:pPr>
    <w:rPr>
      <w:b/>
      <w:sz w:val="20"/>
      <w:szCs w:val="20"/>
      <w:lang w:val="es-ES_tradnl"/>
    </w:rPr>
  </w:style>
  <w:style w:type="character" w:customStyle="1" w:styleId="TtuloCar">
    <w:name w:val="Título Car"/>
    <w:basedOn w:val="Fuentedeprrafopredeter"/>
    <w:link w:val="Ttulo"/>
    <w:rsid w:val="00500CC0"/>
    <w:rPr>
      <w:rFonts w:ascii="Arial" w:eastAsia="Times New Roman" w:hAnsi="Arial" w:cs="Times New Roman"/>
      <w:b/>
      <w:sz w:val="20"/>
      <w:szCs w:val="20"/>
      <w:lang w:val="es-ES_tradnl" w:eastAsia="es-ES"/>
    </w:rPr>
  </w:style>
  <w:style w:type="paragraph" w:styleId="Textoindependiente3">
    <w:name w:val="Body Text 3"/>
    <w:basedOn w:val="Normal"/>
    <w:link w:val="Textoindependiente3Car"/>
    <w:semiHidden/>
    <w:rsid w:val="00500CC0"/>
    <w:pPr>
      <w:spacing w:after="120"/>
    </w:pPr>
    <w:rPr>
      <w:sz w:val="16"/>
      <w:szCs w:val="16"/>
    </w:rPr>
  </w:style>
  <w:style w:type="character" w:customStyle="1" w:styleId="Textoindependiente3Car">
    <w:name w:val="Texto independiente 3 Car"/>
    <w:basedOn w:val="Fuentedeprrafopredeter"/>
    <w:link w:val="Textoindependiente3"/>
    <w:semiHidden/>
    <w:rsid w:val="00500CC0"/>
    <w:rPr>
      <w:rFonts w:ascii="Arial" w:eastAsia="Times New Roman" w:hAnsi="Arial" w:cs="Times New Roman"/>
      <w:sz w:val="16"/>
      <w:szCs w:val="16"/>
      <w:lang w:val="es-ES" w:eastAsia="es-ES"/>
    </w:rPr>
  </w:style>
  <w:style w:type="character" w:customStyle="1" w:styleId="Ttulo2Car">
    <w:name w:val="Título 2 Car"/>
    <w:basedOn w:val="Fuentedeprrafopredeter"/>
    <w:link w:val="Ttulo2"/>
    <w:rsid w:val="00500CC0"/>
    <w:rPr>
      <w:rFonts w:ascii="Arial" w:eastAsia="Times New Roman" w:hAnsi="Arial" w:cs="Times New Roman"/>
      <w:b/>
      <w:sz w:val="24"/>
      <w:szCs w:val="24"/>
      <w:lang w:val="es-ES" w:eastAsia="es-ES"/>
    </w:rPr>
  </w:style>
  <w:style w:type="paragraph" w:styleId="Textoindependiente2">
    <w:name w:val="Body Text 2"/>
    <w:basedOn w:val="Normal"/>
    <w:link w:val="Textoindependiente2Car"/>
    <w:semiHidden/>
    <w:rsid w:val="00500CC0"/>
    <w:pPr>
      <w:spacing w:line="360" w:lineRule="auto"/>
      <w:jc w:val="both"/>
    </w:pPr>
    <w:rPr>
      <w:lang w:val="es-ES_tradnl"/>
    </w:rPr>
  </w:style>
  <w:style w:type="character" w:customStyle="1" w:styleId="Textoindependiente2Car">
    <w:name w:val="Texto independiente 2 Car"/>
    <w:basedOn w:val="Fuentedeprrafopredeter"/>
    <w:link w:val="Textoindependiente2"/>
    <w:semiHidden/>
    <w:rsid w:val="00500CC0"/>
    <w:rPr>
      <w:rFonts w:ascii="Arial" w:eastAsia="Times New Roman" w:hAnsi="Arial" w:cs="Times New Roman"/>
      <w:sz w:val="24"/>
      <w:szCs w:val="24"/>
      <w:lang w:val="es-ES_tradnl" w:eastAsia="es-ES"/>
    </w:rPr>
  </w:style>
  <w:style w:type="paragraph" w:styleId="Sangra2detindependiente">
    <w:name w:val="Body Text Indent 2"/>
    <w:basedOn w:val="Normal"/>
    <w:link w:val="Sangra2detindependienteCar"/>
    <w:semiHidden/>
    <w:rsid w:val="00500CC0"/>
    <w:pPr>
      <w:spacing w:line="360" w:lineRule="auto"/>
      <w:ind w:left="720"/>
      <w:jc w:val="both"/>
    </w:pPr>
    <w:rPr>
      <w:szCs w:val="20"/>
    </w:rPr>
  </w:style>
  <w:style w:type="character" w:customStyle="1" w:styleId="Sangra2detindependienteCar">
    <w:name w:val="Sangría 2 de t. independiente Car"/>
    <w:basedOn w:val="Fuentedeprrafopredeter"/>
    <w:link w:val="Sangra2detindependiente"/>
    <w:semiHidden/>
    <w:rsid w:val="00500CC0"/>
    <w:rPr>
      <w:rFonts w:ascii="Arial" w:eastAsia="Times New Roman" w:hAnsi="Arial" w:cs="Times New Roman"/>
      <w:sz w:val="24"/>
      <w:szCs w:val="20"/>
      <w:lang w:val="es-ES" w:eastAsia="es-ES"/>
    </w:rPr>
  </w:style>
  <w:style w:type="paragraph" w:styleId="Sangra3detindependiente">
    <w:name w:val="Body Text Indent 3"/>
    <w:basedOn w:val="Normal"/>
    <w:link w:val="Sangra3detindependienteCar"/>
    <w:semiHidden/>
    <w:rsid w:val="00500CC0"/>
    <w:pPr>
      <w:ind w:left="360"/>
      <w:jc w:val="both"/>
    </w:pPr>
    <w:rPr>
      <w:rFonts w:cs="Arial"/>
    </w:rPr>
  </w:style>
  <w:style w:type="character" w:customStyle="1" w:styleId="Sangra3detindependienteCar">
    <w:name w:val="Sangría 3 de t. independiente Car"/>
    <w:basedOn w:val="Fuentedeprrafopredeter"/>
    <w:link w:val="Sangra3detindependiente"/>
    <w:semiHidden/>
    <w:rsid w:val="00500CC0"/>
    <w:rPr>
      <w:rFonts w:ascii="Arial" w:eastAsia="Times New Roman" w:hAnsi="Arial" w:cs="Arial"/>
      <w:sz w:val="24"/>
      <w:szCs w:val="24"/>
      <w:lang w:val="es-ES" w:eastAsia="es-ES"/>
    </w:rPr>
  </w:style>
  <w:style w:type="paragraph" w:styleId="Textoindependiente">
    <w:name w:val="Body Text"/>
    <w:basedOn w:val="Normal"/>
    <w:link w:val="TextoindependienteCar"/>
    <w:semiHidden/>
    <w:rsid w:val="00500CC0"/>
    <w:rPr>
      <w:rFonts w:ascii="Bookman Old Style" w:hAnsi="Bookman Old Style"/>
      <w:szCs w:val="20"/>
      <w:lang w:val="es-ES_tradnl"/>
    </w:rPr>
  </w:style>
  <w:style w:type="character" w:customStyle="1" w:styleId="TextoindependienteCar">
    <w:name w:val="Texto independiente Car"/>
    <w:basedOn w:val="Fuentedeprrafopredeter"/>
    <w:link w:val="Textoindependiente"/>
    <w:semiHidden/>
    <w:rsid w:val="00500CC0"/>
    <w:rPr>
      <w:rFonts w:ascii="Bookman Old Style" w:eastAsia="Times New Roman" w:hAnsi="Bookman Old Style" w:cs="Times New Roman"/>
      <w:sz w:val="24"/>
      <w:szCs w:val="20"/>
      <w:lang w:val="es-ES_tradnl" w:eastAsia="es-ES"/>
    </w:rPr>
  </w:style>
  <w:style w:type="paragraph" w:styleId="Prrafodelista">
    <w:name w:val="List Paragraph"/>
    <w:basedOn w:val="Normal"/>
    <w:uiPriority w:val="34"/>
    <w:qFormat/>
    <w:rsid w:val="00500CC0"/>
    <w:pPr>
      <w:ind w:left="720"/>
      <w:contextualSpacing/>
    </w:pPr>
  </w:style>
  <w:style w:type="character" w:customStyle="1" w:styleId="apple-converted-space">
    <w:name w:val="apple-converted-space"/>
    <w:basedOn w:val="Fuentedeprrafopredeter"/>
    <w:rsid w:val="009049C9"/>
  </w:style>
  <w:style w:type="paragraph" w:customStyle="1" w:styleId="Continuarlista1">
    <w:name w:val="Continuar lista1"/>
    <w:basedOn w:val="Normal"/>
    <w:rsid w:val="009049C9"/>
    <w:pPr>
      <w:numPr>
        <w:numId w:val="9"/>
      </w:numPr>
      <w:suppressAutoHyphens/>
      <w:spacing w:after="120"/>
    </w:pPr>
    <w:rPr>
      <w:rFonts w:ascii="Times New Roman" w:hAnsi="Times New Roman"/>
      <w:lang w:eastAsia="ar-SA"/>
    </w:rPr>
  </w:style>
  <w:style w:type="paragraph" w:customStyle="1" w:styleId="Textoindependiente1">
    <w:name w:val="Texto independiente1"/>
    <w:basedOn w:val="Normal"/>
    <w:rsid w:val="009049C9"/>
    <w:pPr>
      <w:suppressAutoHyphens/>
      <w:spacing w:before="120" w:after="120"/>
      <w:jc w:val="both"/>
    </w:pPr>
    <w:rPr>
      <w:rFonts w:ascii="Helvetica" w:hAnsi="Helvetica"/>
      <w:sz w:val="20"/>
      <w:szCs w:val="20"/>
      <w:lang w:val="es-ES_tradnl" w:eastAsia="ar-SA"/>
    </w:rPr>
  </w:style>
  <w:style w:type="paragraph" w:customStyle="1" w:styleId="sangra3detindependiente3">
    <w:name w:val="sangra3detindependiente3"/>
    <w:basedOn w:val="Normal"/>
    <w:rsid w:val="009049C9"/>
    <w:pPr>
      <w:spacing w:line="360" w:lineRule="auto"/>
      <w:ind w:left="426"/>
      <w:jc w:val="both"/>
    </w:pPr>
    <w:rPr>
      <w:rFonts w:ascii="Bookman Old Style" w:hAnsi="Bookman Old Style"/>
    </w:rPr>
  </w:style>
  <w:style w:type="paragraph" w:customStyle="1" w:styleId="Bodyby">
    <w:name w:val="Body.by"/>
    <w:basedOn w:val="Normal"/>
    <w:rsid w:val="009049C9"/>
    <w:pPr>
      <w:spacing w:after="260" w:line="260" w:lineRule="exact"/>
    </w:pPr>
    <w:rPr>
      <w:rFonts w:ascii="Times" w:hAnsi="Times"/>
      <w:sz w:val="22"/>
      <w:szCs w:val="20"/>
      <w:lang w:eastAsia="es-UY"/>
    </w:rPr>
  </w:style>
  <w:style w:type="character" w:styleId="nfasis">
    <w:name w:val="Emphasis"/>
    <w:basedOn w:val="Fuentedeprrafopredeter"/>
    <w:uiPriority w:val="20"/>
    <w:qFormat/>
    <w:rsid w:val="009049C9"/>
    <w:rPr>
      <w:i/>
      <w:iCs/>
    </w:rPr>
  </w:style>
  <w:style w:type="paragraph" w:styleId="Textodeglobo">
    <w:name w:val="Balloon Text"/>
    <w:basedOn w:val="Normal"/>
    <w:link w:val="TextodegloboCar"/>
    <w:uiPriority w:val="99"/>
    <w:semiHidden/>
    <w:unhideWhenUsed/>
    <w:rsid w:val="00722613"/>
    <w:rPr>
      <w:rFonts w:ascii="Tahoma" w:hAnsi="Tahoma" w:cs="Tahoma"/>
      <w:sz w:val="16"/>
      <w:szCs w:val="16"/>
    </w:rPr>
  </w:style>
  <w:style w:type="character" w:customStyle="1" w:styleId="TextodegloboCar">
    <w:name w:val="Texto de globo Car"/>
    <w:basedOn w:val="Fuentedeprrafopredeter"/>
    <w:link w:val="Textodeglobo"/>
    <w:uiPriority w:val="99"/>
    <w:semiHidden/>
    <w:rsid w:val="00722613"/>
    <w:rPr>
      <w:rFonts w:ascii="Tahoma" w:eastAsia="Times New Roman" w:hAnsi="Tahoma" w:cs="Tahoma"/>
      <w:sz w:val="16"/>
      <w:szCs w:val="16"/>
      <w:lang w:val="es-ES" w:eastAsia="es-ES"/>
    </w:rPr>
  </w:style>
  <w:style w:type="paragraph" w:customStyle="1" w:styleId="Indent1">
    <w:name w:val="Indent 1"/>
    <w:rsid w:val="00E0018A"/>
    <w:pPr>
      <w:tabs>
        <w:tab w:val="left" w:pos="680"/>
      </w:tabs>
      <w:suppressAutoHyphens/>
      <w:autoSpaceDE w:val="0"/>
      <w:autoSpaceDN w:val="0"/>
      <w:adjustRightInd w:val="0"/>
      <w:snapToGrid w:val="0"/>
      <w:spacing w:after="120" w:line="220" w:lineRule="exact"/>
      <w:ind w:left="680" w:hanging="680"/>
      <w:jc w:val="both"/>
    </w:pPr>
    <w:rPr>
      <w:rFonts w:ascii="Times New Roman" w:eastAsia="MS Mincho" w:hAnsi="Times New Roman" w:cs="Times New Roman"/>
      <w:noProof/>
      <w:color w:val="000000"/>
      <w:sz w:val="18"/>
      <w:szCs w:val="17"/>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35956">
      <w:bodyDiv w:val="1"/>
      <w:marLeft w:val="0"/>
      <w:marRight w:val="0"/>
      <w:marTop w:val="0"/>
      <w:marBottom w:val="0"/>
      <w:divBdr>
        <w:top w:val="none" w:sz="0" w:space="0" w:color="auto"/>
        <w:left w:val="none" w:sz="0" w:space="0" w:color="auto"/>
        <w:bottom w:val="none" w:sz="0" w:space="0" w:color="auto"/>
        <w:right w:val="none" w:sz="0" w:space="0" w:color="auto"/>
      </w:divBdr>
    </w:div>
    <w:div w:id="1373504808">
      <w:bodyDiv w:val="1"/>
      <w:marLeft w:val="0"/>
      <w:marRight w:val="0"/>
      <w:marTop w:val="0"/>
      <w:marBottom w:val="0"/>
      <w:divBdr>
        <w:top w:val="none" w:sz="0" w:space="0" w:color="auto"/>
        <w:left w:val="none" w:sz="0" w:space="0" w:color="auto"/>
        <w:bottom w:val="none" w:sz="0" w:space="0" w:color="auto"/>
        <w:right w:val="none" w:sz="0" w:space="0" w:color="auto"/>
      </w:divBdr>
    </w:div>
    <w:div w:id="1473207728">
      <w:bodyDiv w:val="1"/>
      <w:marLeft w:val="0"/>
      <w:marRight w:val="0"/>
      <w:marTop w:val="0"/>
      <w:marBottom w:val="0"/>
      <w:divBdr>
        <w:top w:val="none" w:sz="0" w:space="0" w:color="auto"/>
        <w:left w:val="none" w:sz="0" w:space="0" w:color="auto"/>
        <w:bottom w:val="none" w:sz="0" w:space="0" w:color="auto"/>
        <w:right w:val="none" w:sz="0" w:space="0" w:color="auto"/>
      </w:divBdr>
    </w:div>
    <w:div w:id="1592548022">
      <w:bodyDiv w:val="1"/>
      <w:marLeft w:val="0"/>
      <w:marRight w:val="0"/>
      <w:marTop w:val="0"/>
      <w:marBottom w:val="0"/>
      <w:divBdr>
        <w:top w:val="none" w:sz="0" w:space="0" w:color="auto"/>
        <w:left w:val="none" w:sz="0" w:space="0" w:color="auto"/>
        <w:bottom w:val="none" w:sz="0" w:space="0" w:color="auto"/>
        <w:right w:val="none" w:sz="0" w:space="0" w:color="auto"/>
      </w:divBdr>
    </w:div>
    <w:div w:id="1776516568">
      <w:bodyDiv w:val="1"/>
      <w:marLeft w:val="0"/>
      <w:marRight w:val="0"/>
      <w:marTop w:val="0"/>
      <w:marBottom w:val="0"/>
      <w:divBdr>
        <w:top w:val="none" w:sz="0" w:space="0" w:color="auto"/>
        <w:left w:val="none" w:sz="0" w:space="0" w:color="auto"/>
        <w:bottom w:val="none" w:sz="0" w:space="0" w:color="auto"/>
        <w:right w:val="none" w:sz="0" w:space="0" w:color="auto"/>
      </w:divBdr>
    </w:div>
    <w:div w:id="2053730362">
      <w:bodyDiv w:val="1"/>
      <w:marLeft w:val="0"/>
      <w:marRight w:val="0"/>
      <w:marTop w:val="0"/>
      <w:marBottom w:val="0"/>
      <w:divBdr>
        <w:top w:val="none" w:sz="0" w:space="0" w:color="auto"/>
        <w:left w:val="none" w:sz="0" w:space="0" w:color="auto"/>
        <w:bottom w:val="none" w:sz="0" w:space="0" w:color="auto"/>
        <w:right w:val="none" w:sz="0" w:space="0" w:color="auto"/>
      </w:divBdr>
    </w:div>
    <w:div w:id="2108425450">
      <w:bodyDiv w:val="1"/>
      <w:marLeft w:val="0"/>
      <w:marRight w:val="0"/>
      <w:marTop w:val="0"/>
      <w:marBottom w:val="0"/>
      <w:divBdr>
        <w:top w:val="none" w:sz="0" w:space="0" w:color="auto"/>
        <w:left w:val="none" w:sz="0" w:space="0" w:color="auto"/>
        <w:bottom w:val="none" w:sz="0" w:space="0" w:color="auto"/>
        <w:right w:val="none" w:sz="0" w:space="0" w:color="auto"/>
      </w:divBdr>
    </w:div>
    <w:div w:id="211821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67FDA-62C8-4580-8AD1-7BB2AB283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2207</Words>
  <Characters>12143</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Castro</dc:creator>
  <cp:lastModifiedBy>Tribunal1</cp:lastModifiedBy>
  <cp:revision>7</cp:revision>
  <cp:lastPrinted>2017-09-29T15:54:00Z</cp:lastPrinted>
  <dcterms:created xsi:type="dcterms:W3CDTF">2017-10-19T17:10:00Z</dcterms:created>
  <dcterms:modified xsi:type="dcterms:W3CDTF">2018-01-18T18:18:00Z</dcterms:modified>
</cp:coreProperties>
</file>