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E2" w:rsidRPr="00161683" w:rsidRDefault="00EA18E2" w:rsidP="00EA18E2">
      <w:pPr>
        <w:tabs>
          <w:tab w:val="center" w:pos="4253"/>
        </w:tabs>
        <w:suppressAutoHyphens/>
        <w:jc w:val="right"/>
        <w:rPr>
          <w:b/>
          <w:lang w:val="es-ES_tradnl"/>
        </w:rPr>
      </w:pPr>
      <w:bookmarkStart w:id="0" w:name="_GoBack"/>
      <w:bookmarkEnd w:id="0"/>
      <w:r>
        <w:rPr>
          <w:b/>
          <w:lang w:val="es-ES_tradnl"/>
        </w:rPr>
        <w:t>RES.</w:t>
      </w:r>
      <w:r w:rsidR="001F6860">
        <w:rPr>
          <w:b/>
          <w:lang w:val="es-ES_tradnl"/>
        </w:rPr>
        <w:t xml:space="preserve"> </w:t>
      </w:r>
      <w:r>
        <w:rPr>
          <w:b/>
          <w:lang w:val="es-ES_tradnl"/>
        </w:rPr>
        <w:t>Nº 3305/17</w:t>
      </w:r>
    </w:p>
    <w:p w:rsidR="00EA18E2" w:rsidRDefault="00EA18E2" w:rsidP="00EA18E2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2B7E3F" w:rsidRDefault="002B7E3F" w:rsidP="00EA18E2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EA18E2" w:rsidRPr="004746D1" w:rsidRDefault="00EA18E2" w:rsidP="00EA18E2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4746D1">
        <w:rPr>
          <w:b/>
          <w:lang w:val="es-ES_tradnl"/>
        </w:rPr>
        <w:t>RESOLUCION ADOPTADA POR EL</w:t>
      </w:r>
    </w:p>
    <w:p w:rsidR="00EA18E2" w:rsidRPr="004746D1" w:rsidRDefault="00EA18E2" w:rsidP="00EA18E2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EA18E2" w:rsidRPr="004746D1" w:rsidRDefault="00EA18E2" w:rsidP="00EA18E2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4746D1">
        <w:rPr>
          <w:b/>
          <w:lang w:val="es-ES_tradnl"/>
        </w:rPr>
        <w:t>TRIBUNAL DE CUENTAS</w:t>
      </w:r>
    </w:p>
    <w:p w:rsidR="00EA18E2" w:rsidRPr="004746D1" w:rsidRDefault="00EA18E2" w:rsidP="00EA18E2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EA18E2" w:rsidRPr="004746D1" w:rsidRDefault="00EA18E2" w:rsidP="00EA18E2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4746D1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 xml:space="preserve">4 </w:t>
      </w:r>
      <w:r w:rsidRPr="00A03CC2">
        <w:rPr>
          <w:b/>
          <w:lang w:val="es-ES_tradnl"/>
        </w:rPr>
        <w:t xml:space="preserve">DE </w:t>
      </w:r>
      <w:r>
        <w:rPr>
          <w:b/>
          <w:lang w:val="es-ES_tradnl"/>
        </w:rPr>
        <w:t>OCTUBRE DE 2017</w:t>
      </w:r>
    </w:p>
    <w:p w:rsidR="00EA18E2" w:rsidRPr="004746D1" w:rsidRDefault="00EA18E2" w:rsidP="00EA18E2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EA18E2" w:rsidRPr="004746D1" w:rsidRDefault="00EA18E2" w:rsidP="00EA18E2">
      <w:pPr>
        <w:tabs>
          <w:tab w:val="center" w:pos="4253"/>
        </w:tabs>
        <w:suppressAutoHyphens/>
        <w:jc w:val="center"/>
        <w:rPr>
          <w:b/>
          <w:lang w:val="es-ES_tradnl"/>
        </w:rPr>
      </w:pPr>
      <w:r>
        <w:rPr>
          <w:b/>
          <w:lang w:val="es-ES_tradnl"/>
        </w:rPr>
        <w:t>(E.</w:t>
      </w:r>
      <w:r w:rsidR="001F6860">
        <w:rPr>
          <w:b/>
          <w:lang w:val="es-ES_tradnl"/>
        </w:rPr>
        <w:t xml:space="preserve"> </w:t>
      </w:r>
      <w:r>
        <w:rPr>
          <w:b/>
          <w:lang w:val="es-ES_tradnl"/>
        </w:rPr>
        <w:t>E.</w:t>
      </w:r>
      <w:r w:rsidR="001F6860">
        <w:rPr>
          <w:b/>
          <w:lang w:val="es-ES_tradnl"/>
        </w:rPr>
        <w:t xml:space="preserve"> </w:t>
      </w:r>
      <w:r>
        <w:rPr>
          <w:b/>
          <w:lang w:val="es-ES_tradnl"/>
        </w:rPr>
        <w:t xml:space="preserve">Nº </w:t>
      </w:r>
      <w:r>
        <w:rPr>
          <w:b/>
        </w:rPr>
        <w:t>2017</w:t>
      </w:r>
      <w:r w:rsidRPr="00D150C4">
        <w:rPr>
          <w:b/>
        </w:rPr>
        <w:t>- 17- 1- 000</w:t>
      </w:r>
      <w:r>
        <w:rPr>
          <w:b/>
        </w:rPr>
        <w:t>4992</w:t>
      </w:r>
      <w:r w:rsidRPr="004746D1">
        <w:rPr>
          <w:b/>
          <w:lang w:val="es-ES_tradnl"/>
        </w:rPr>
        <w:t xml:space="preserve">, </w:t>
      </w:r>
      <w:proofErr w:type="spellStart"/>
      <w:r w:rsidRPr="004746D1">
        <w:rPr>
          <w:b/>
          <w:lang w:val="es-ES_tradnl"/>
        </w:rPr>
        <w:t>E</w:t>
      </w:r>
      <w:r>
        <w:rPr>
          <w:b/>
          <w:lang w:val="es-ES_tradnl"/>
        </w:rPr>
        <w:t>nt</w:t>
      </w:r>
      <w:proofErr w:type="spellEnd"/>
      <w:r w:rsidRPr="004746D1">
        <w:rPr>
          <w:b/>
          <w:lang w:val="es-ES_tradnl"/>
        </w:rPr>
        <w:t>.</w:t>
      </w:r>
      <w:r w:rsidR="001F6860">
        <w:rPr>
          <w:b/>
          <w:lang w:val="es-ES_tradnl"/>
        </w:rPr>
        <w:t xml:space="preserve"> </w:t>
      </w:r>
      <w:r>
        <w:rPr>
          <w:b/>
          <w:lang w:val="es-ES_tradnl"/>
        </w:rPr>
        <w:t>N°</w:t>
      </w:r>
      <w:r w:rsidRPr="004746D1">
        <w:rPr>
          <w:b/>
          <w:lang w:val="es-ES_tradnl"/>
        </w:rPr>
        <w:t xml:space="preserve"> </w:t>
      </w:r>
      <w:r>
        <w:rPr>
          <w:b/>
          <w:lang w:val="es-ES_tradnl"/>
        </w:rPr>
        <w:t>3914/17</w:t>
      </w:r>
      <w:r w:rsidRPr="004746D1">
        <w:rPr>
          <w:b/>
          <w:lang w:val="es-ES_tradnl"/>
        </w:rPr>
        <w:t>)</w:t>
      </w:r>
    </w:p>
    <w:p w:rsidR="00EA18E2" w:rsidRDefault="00EA18E2" w:rsidP="00EA18E2">
      <w:pPr>
        <w:tabs>
          <w:tab w:val="center" w:pos="4253"/>
        </w:tabs>
        <w:suppressAutoHyphens/>
        <w:jc w:val="center"/>
        <w:rPr>
          <w:spacing w:val="-3"/>
          <w:lang w:val="es-ES_tradnl"/>
        </w:rPr>
      </w:pPr>
    </w:p>
    <w:p w:rsidR="002B7E3F" w:rsidRPr="004746D1" w:rsidRDefault="002B7E3F" w:rsidP="00EA18E2">
      <w:pPr>
        <w:tabs>
          <w:tab w:val="center" w:pos="4253"/>
        </w:tabs>
        <w:suppressAutoHyphens/>
        <w:jc w:val="center"/>
        <w:rPr>
          <w:spacing w:val="-3"/>
          <w:lang w:val="es-ES_tradnl"/>
        </w:rPr>
      </w:pPr>
    </w:p>
    <w:p w:rsidR="00EA18E2" w:rsidRDefault="00EA18E2" w:rsidP="00EA18E2">
      <w:pPr>
        <w:jc w:val="both"/>
        <w:rPr>
          <w:b/>
          <w:bCs/>
        </w:rPr>
      </w:pPr>
    </w:p>
    <w:p w:rsidR="00D552BB" w:rsidRPr="00D552BB" w:rsidRDefault="001A4214" w:rsidP="001F6860">
      <w:pPr>
        <w:spacing w:line="360" w:lineRule="auto"/>
        <w:ind w:firstLine="851"/>
        <w:jc w:val="both"/>
        <w:rPr>
          <w:rFonts w:eastAsiaTheme="minorHAnsi"/>
          <w:lang w:val="es-UY" w:eastAsia="en-US"/>
        </w:rPr>
      </w:pPr>
      <w:r>
        <w:rPr>
          <w:b/>
          <w:bCs/>
        </w:rPr>
        <w:t xml:space="preserve">VISTO Y CONSIDERANDO: </w:t>
      </w:r>
      <w:r w:rsidR="00691937" w:rsidRPr="00691937">
        <w:rPr>
          <w:bCs/>
        </w:rPr>
        <w:t xml:space="preserve">el </w:t>
      </w:r>
      <w:r w:rsidR="00B75AFC" w:rsidRPr="0062276C">
        <w:rPr>
          <w:rFonts w:cs="Times New Roman"/>
          <w:snapToGrid w:val="0"/>
          <w:spacing w:val="-3"/>
          <w:szCs w:val="20"/>
          <w:lang w:val="es-ES_tradnl"/>
        </w:rPr>
        <w:t>Oficio Nº 1</w:t>
      </w:r>
      <w:r w:rsidR="00B75AFC">
        <w:rPr>
          <w:rFonts w:cs="Times New Roman"/>
          <w:snapToGrid w:val="0"/>
          <w:spacing w:val="-3"/>
          <w:szCs w:val="20"/>
          <w:lang w:val="es-ES_tradnl"/>
        </w:rPr>
        <w:t>627</w:t>
      </w:r>
      <w:r w:rsidR="00B75AFC" w:rsidRPr="0062276C">
        <w:rPr>
          <w:rFonts w:cs="Times New Roman"/>
          <w:snapToGrid w:val="0"/>
          <w:spacing w:val="-3"/>
          <w:szCs w:val="20"/>
          <w:lang w:val="es-ES_tradnl"/>
        </w:rPr>
        <w:t>/201</w:t>
      </w:r>
      <w:r w:rsidR="00B75AFC">
        <w:rPr>
          <w:rFonts w:cs="Times New Roman"/>
          <w:snapToGrid w:val="0"/>
          <w:spacing w:val="-3"/>
          <w:szCs w:val="20"/>
          <w:lang w:val="es-ES_tradnl"/>
        </w:rPr>
        <w:t>7</w:t>
      </w:r>
      <w:r w:rsidR="00B75AFC" w:rsidRPr="0062276C">
        <w:rPr>
          <w:rFonts w:cs="Times New Roman"/>
          <w:snapToGrid w:val="0"/>
          <w:spacing w:val="-3"/>
          <w:szCs w:val="20"/>
          <w:lang w:val="es-ES_tradnl"/>
        </w:rPr>
        <w:t xml:space="preserve"> de fecha </w:t>
      </w:r>
      <w:r w:rsidR="00B75AFC">
        <w:rPr>
          <w:rFonts w:cs="Times New Roman"/>
          <w:snapToGrid w:val="0"/>
          <w:spacing w:val="-3"/>
          <w:szCs w:val="20"/>
          <w:lang w:val="es-ES_tradnl"/>
        </w:rPr>
        <w:t>13</w:t>
      </w:r>
      <w:r w:rsidR="00B75AFC" w:rsidRPr="0062276C">
        <w:rPr>
          <w:rFonts w:cs="Times New Roman"/>
          <w:snapToGrid w:val="0"/>
          <w:spacing w:val="-3"/>
          <w:szCs w:val="20"/>
          <w:lang w:val="es-ES_tradnl"/>
        </w:rPr>
        <w:t>/</w:t>
      </w:r>
      <w:r w:rsidR="00B75AFC">
        <w:rPr>
          <w:rFonts w:cs="Times New Roman"/>
          <w:snapToGrid w:val="0"/>
          <w:spacing w:val="-3"/>
          <w:szCs w:val="20"/>
          <w:lang w:val="es-ES_tradnl"/>
        </w:rPr>
        <w:t>07</w:t>
      </w:r>
      <w:r w:rsidR="00B75AFC" w:rsidRPr="0062276C">
        <w:rPr>
          <w:rFonts w:cs="Times New Roman"/>
          <w:snapToGrid w:val="0"/>
          <w:spacing w:val="-3"/>
          <w:szCs w:val="20"/>
          <w:lang w:val="es-ES_tradnl"/>
        </w:rPr>
        <w:t>/201</w:t>
      </w:r>
      <w:r w:rsidR="00B75AFC">
        <w:rPr>
          <w:rFonts w:cs="Times New Roman"/>
          <w:snapToGrid w:val="0"/>
          <w:spacing w:val="-3"/>
          <w:szCs w:val="20"/>
          <w:lang w:val="es-ES_tradnl"/>
        </w:rPr>
        <w:t>7</w:t>
      </w:r>
      <w:r>
        <w:rPr>
          <w:bCs/>
          <w:spacing w:val="-3"/>
        </w:rPr>
        <w:t xml:space="preserve">, </w:t>
      </w:r>
      <w:r w:rsidR="00D552BB">
        <w:rPr>
          <w:rFonts w:eastAsiaTheme="minorHAnsi"/>
          <w:lang w:val="es-UY" w:eastAsia="en-US"/>
        </w:rPr>
        <w:t xml:space="preserve">por </w:t>
      </w:r>
      <w:r w:rsidR="00691937">
        <w:rPr>
          <w:rFonts w:eastAsiaTheme="minorHAnsi"/>
          <w:lang w:val="es-UY" w:eastAsia="en-US"/>
        </w:rPr>
        <w:t>el</w:t>
      </w:r>
      <w:r w:rsidR="00D552BB">
        <w:rPr>
          <w:rFonts w:eastAsiaTheme="minorHAnsi"/>
          <w:lang w:val="es-UY" w:eastAsia="en-US"/>
        </w:rPr>
        <w:t xml:space="preserve"> </w:t>
      </w:r>
      <w:r w:rsidR="00691937">
        <w:rPr>
          <w:rFonts w:eastAsiaTheme="minorHAnsi"/>
          <w:lang w:val="es-UY" w:eastAsia="en-US"/>
        </w:rPr>
        <w:t>que la Intendencia de Durazno</w:t>
      </w:r>
      <w:r w:rsidR="00D552BB">
        <w:rPr>
          <w:rFonts w:eastAsiaTheme="minorHAnsi"/>
          <w:lang w:val="es-UY" w:eastAsia="en-US"/>
        </w:rPr>
        <w:t xml:space="preserve"> remite a consideración de </w:t>
      </w:r>
      <w:r w:rsidR="00691937">
        <w:rPr>
          <w:rFonts w:eastAsiaTheme="minorHAnsi"/>
          <w:lang w:val="es-UY" w:eastAsia="en-US"/>
        </w:rPr>
        <w:t xml:space="preserve">este Tribunal, </w:t>
      </w:r>
      <w:r w:rsidR="008E60F6">
        <w:rPr>
          <w:rFonts w:eastAsiaTheme="minorHAnsi"/>
          <w:lang w:val="es-UY" w:eastAsia="en-US"/>
        </w:rPr>
        <w:t>la aplicación proyectada</w:t>
      </w:r>
      <w:r w:rsidR="00691937">
        <w:rPr>
          <w:rFonts w:eastAsiaTheme="minorHAnsi"/>
          <w:lang w:val="es-UY" w:eastAsia="en-US"/>
        </w:rPr>
        <w:t xml:space="preserve"> del sup</w:t>
      </w:r>
      <w:r w:rsidR="00E540CC">
        <w:rPr>
          <w:rFonts w:eastAsiaTheme="minorHAnsi"/>
          <w:lang w:val="es-UY" w:eastAsia="en-US"/>
        </w:rPr>
        <w:t>erávit acumulado al 31/12/2015;</w:t>
      </w:r>
    </w:p>
    <w:p w:rsidR="001A4214" w:rsidRPr="00BB17ED" w:rsidRDefault="001A4214" w:rsidP="001F6860">
      <w:pPr>
        <w:suppressAutoHyphens/>
        <w:spacing w:line="360" w:lineRule="auto"/>
        <w:ind w:firstLine="851"/>
        <w:jc w:val="both"/>
        <w:rPr>
          <w:bCs/>
          <w:highlight w:val="yellow"/>
        </w:rPr>
      </w:pPr>
      <w:r w:rsidRPr="00CF413B">
        <w:rPr>
          <w:b/>
          <w:bCs/>
        </w:rPr>
        <w:t>ATENTO:</w:t>
      </w:r>
      <w:r w:rsidRPr="00CF413B">
        <w:rPr>
          <w:bCs/>
        </w:rPr>
        <w:t xml:space="preserve"> a lo establecido </w:t>
      </w:r>
      <w:r w:rsidR="00C56C89">
        <w:rPr>
          <w:bCs/>
        </w:rPr>
        <w:t>por el Artículo 302 de la Constitución</w:t>
      </w:r>
      <w:r w:rsidRPr="00CF413B">
        <w:rPr>
          <w:bCs/>
        </w:rPr>
        <w:t>;</w:t>
      </w:r>
    </w:p>
    <w:p w:rsidR="001A4214" w:rsidRPr="00CF413B" w:rsidRDefault="001A4214" w:rsidP="001A4214">
      <w:pPr>
        <w:suppressAutoHyphens/>
        <w:spacing w:line="360" w:lineRule="auto"/>
        <w:jc w:val="center"/>
        <w:rPr>
          <w:b/>
          <w:bCs/>
        </w:rPr>
      </w:pPr>
      <w:r w:rsidRPr="00CF413B">
        <w:rPr>
          <w:b/>
          <w:bCs/>
        </w:rPr>
        <w:t>EL TRIBUNAL ACUERDA</w:t>
      </w:r>
    </w:p>
    <w:p w:rsidR="001A4214" w:rsidRPr="00CF413B" w:rsidRDefault="00EA18E2" w:rsidP="00EA18E2">
      <w:pPr>
        <w:suppressAutoHyphens/>
        <w:spacing w:line="360" w:lineRule="auto"/>
        <w:rPr>
          <w:bCs/>
        </w:rPr>
      </w:pPr>
      <w:r>
        <w:rPr>
          <w:b/>
          <w:bCs/>
        </w:rPr>
        <w:t xml:space="preserve">1) </w:t>
      </w:r>
      <w:r w:rsidR="001A4214" w:rsidRPr="00CF413B">
        <w:rPr>
          <w:bCs/>
        </w:rPr>
        <w:t>Ap</w:t>
      </w:r>
      <w:r>
        <w:rPr>
          <w:bCs/>
        </w:rPr>
        <w:t>robar el Informe que se adjunta; y</w:t>
      </w:r>
    </w:p>
    <w:p w:rsidR="001A4214" w:rsidRPr="00CF413B" w:rsidRDefault="00EA18E2" w:rsidP="00EA18E2">
      <w:pPr>
        <w:suppressAutoHyphens/>
        <w:spacing w:line="360" w:lineRule="auto"/>
        <w:rPr>
          <w:bCs/>
        </w:rPr>
      </w:pPr>
      <w:r w:rsidRPr="00EA18E2">
        <w:rPr>
          <w:b/>
          <w:bCs/>
        </w:rPr>
        <w:t>2)</w:t>
      </w:r>
      <w:r>
        <w:rPr>
          <w:bCs/>
        </w:rPr>
        <w:t xml:space="preserve"> </w:t>
      </w:r>
      <w:r w:rsidR="001A4214" w:rsidRPr="00CF413B">
        <w:rPr>
          <w:bCs/>
        </w:rPr>
        <w:t>Comunica</w:t>
      </w:r>
      <w:r w:rsidR="00691937">
        <w:rPr>
          <w:bCs/>
        </w:rPr>
        <w:t>r a la Intendencia y a la Junta Departamental de Durazno</w:t>
      </w:r>
      <w:r w:rsidR="00FE02AB">
        <w:rPr>
          <w:bCs/>
        </w:rPr>
        <w:t>.</w:t>
      </w:r>
    </w:p>
    <w:p w:rsidR="001A4214" w:rsidRDefault="001A4214" w:rsidP="00EA18E2">
      <w:pPr>
        <w:suppressAutoHyphens/>
        <w:spacing w:line="360" w:lineRule="auto"/>
        <w:jc w:val="both"/>
        <w:rPr>
          <w:bCs/>
        </w:rPr>
      </w:pPr>
    </w:p>
    <w:p w:rsidR="00EA18E2" w:rsidRDefault="009D02D4" w:rsidP="00EA18E2">
      <w:pPr>
        <w:suppressAutoHyphens/>
        <w:spacing w:line="360" w:lineRule="auto"/>
        <w:jc w:val="both"/>
        <w:rPr>
          <w:bCs/>
        </w:rPr>
      </w:pPr>
      <w:proofErr w:type="spellStart"/>
      <w:proofErr w:type="gramStart"/>
      <w:r>
        <w:rPr>
          <w:bCs/>
        </w:rPr>
        <w:t>l</w:t>
      </w:r>
      <w:r w:rsidR="00EA18E2">
        <w:rPr>
          <w:bCs/>
        </w:rPr>
        <w:t>c</w:t>
      </w:r>
      <w:proofErr w:type="spellEnd"/>
      <w:proofErr w:type="gramEnd"/>
    </w:p>
    <w:p w:rsidR="009D02D4" w:rsidRDefault="009D02D4" w:rsidP="00EA18E2">
      <w:pPr>
        <w:suppressAutoHyphens/>
        <w:spacing w:line="360" w:lineRule="auto"/>
        <w:jc w:val="both"/>
        <w:rPr>
          <w:bCs/>
        </w:rPr>
      </w:pPr>
    </w:p>
    <w:p w:rsidR="009D02D4" w:rsidRDefault="009D02D4" w:rsidP="00EA18E2">
      <w:pPr>
        <w:suppressAutoHyphens/>
        <w:spacing w:line="360" w:lineRule="auto"/>
        <w:jc w:val="both"/>
        <w:rPr>
          <w:bCs/>
        </w:rPr>
      </w:pPr>
    </w:p>
    <w:p w:rsidR="009D02D4" w:rsidRDefault="009D02D4" w:rsidP="00EA18E2">
      <w:pPr>
        <w:suppressAutoHyphens/>
        <w:spacing w:line="360" w:lineRule="auto"/>
        <w:jc w:val="both"/>
        <w:rPr>
          <w:bCs/>
        </w:rPr>
      </w:pPr>
    </w:p>
    <w:p w:rsidR="009D02D4" w:rsidRDefault="009D02D4" w:rsidP="009D02D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9D02D4" w:rsidRDefault="009D02D4" w:rsidP="001F686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INFORME</w:t>
      </w:r>
    </w:p>
    <w:p w:rsidR="009D02D4" w:rsidRDefault="009D02D4" w:rsidP="009D02D4">
      <w:pPr>
        <w:autoSpaceDE w:val="0"/>
        <w:autoSpaceDN w:val="0"/>
        <w:adjustRightInd w:val="0"/>
        <w:jc w:val="center"/>
        <w:rPr>
          <w:b/>
          <w:bCs/>
        </w:rPr>
      </w:pPr>
    </w:p>
    <w:p w:rsidR="009D02D4" w:rsidRDefault="009D02D4" w:rsidP="009D02D4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 xml:space="preserve">1) </w:t>
      </w:r>
      <w:r>
        <w:rPr>
          <w:b/>
          <w:bCs/>
        </w:rPr>
        <w:t>OBJETO</w:t>
      </w:r>
    </w:p>
    <w:p w:rsidR="009D02D4" w:rsidRDefault="009D02D4" w:rsidP="009D02D4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El presente informe se emite en ejercicio de la atribución asignada al Tribunal </w:t>
      </w:r>
      <w:r w:rsidR="002B7E3F">
        <w:t>de Cuentas por el Artículo 302 I</w:t>
      </w:r>
      <w:r>
        <w:t>nciso 2º de la Constitución de la República.</w:t>
      </w:r>
    </w:p>
    <w:p w:rsidR="009D02D4" w:rsidRDefault="009D02D4" w:rsidP="009D02D4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2) ANTECEDENTES</w:t>
      </w:r>
    </w:p>
    <w:p w:rsidR="009D02D4" w:rsidRDefault="009D02D4" w:rsidP="009D02D4">
      <w:pPr>
        <w:widowControl w:val="0"/>
        <w:suppressAutoHyphens/>
        <w:spacing w:line="360" w:lineRule="auto"/>
        <w:jc w:val="both"/>
        <w:rPr>
          <w:rFonts w:cs="Times New Roman"/>
          <w:snapToGrid w:val="0"/>
          <w:spacing w:val="-3"/>
          <w:szCs w:val="20"/>
          <w:lang w:val="es-ES_tradnl"/>
        </w:rPr>
      </w:pPr>
      <w:r>
        <w:rPr>
          <w:rFonts w:cs="Times New Roman"/>
          <w:b/>
          <w:snapToGrid w:val="0"/>
          <w:spacing w:val="-3"/>
          <w:szCs w:val="20"/>
          <w:lang w:val="es-ES_tradnl"/>
        </w:rPr>
        <w:t xml:space="preserve">2.1 </w:t>
      </w:r>
      <w:r>
        <w:rPr>
          <w:rFonts w:cs="Times New Roman"/>
          <w:snapToGrid w:val="0"/>
          <w:spacing w:val="-3"/>
          <w:szCs w:val="20"/>
          <w:lang w:val="es-ES_tradnl"/>
        </w:rPr>
        <w:t>El Artículo 158 del Presupuesto Quinquenal de la Intendencia de Durazno para el período 2016-2020, establece que: “Todo superávit acumulado al 31 de diciembre de 2015, será íntegramente aplicado a amortizaciones extraordinarias de las obligaciones departamentales. Si dichas obligaciones no existiesen o luego de canceladas las mismas hubiere remanente, se aplicará el mismo en obras de infraestructura y/o compra de equipos viales, todo conforme al Artículo 302 de la Constitución de la República. La Intendencia remitirá a la Junta Departamental, dentro de los 30 días siguientes a la aprobación definitiva de la rendición de cuentas del último quinquenio y de cada quinquenio sucesivo el destino específico del superávit si lo hubiera”.</w:t>
      </w:r>
    </w:p>
    <w:p w:rsidR="009D02D4" w:rsidRDefault="009D02D4" w:rsidP="009D02D4">
      <w:pPr>
        <w:widowControl w:val="0"/>
        <w:suppressAutoHyphens/>
        <w:spacing w:line="360" w:lineRule="auto"/>
        <w:jc w:val="both"/>
        <w:rPr>
          <w:rFonts w:cs="Times New Roman"/>
          <w:snapToGrid w:val="0"/>
          <w:spacing w:val="-3"/>
          <w:szCs w:val="20"/>
          <w:lang w:val="es-ES_tradnl"/>
        </w:rPr>
      </w:pPr>
      <w:r>
        <w:rPr>
          <w:rFonts w:cs="Times New Roman"/>
          <w:b/>
          <w:snapToGrid w:val="0"/>
          <w:spacing w:val="-3"/>
          <w:szCs w:val="20"/>
          <w:lang w:val="es-ES_tradnl"/>
        </w:rPr>
        <w:t>2.2</w:t>
      </w:r>
      <w:r>
        <w:rPr>
          <w:rFonts w:cs="Times New Roman"/>
          <w:snapToGrid w:val="0"/>
          <w:spacing w:val="-3"/>
          <w:szCs w:val="20"/>
          <w:lang w:val="es-ES_tradnl"/>
        </w:rPr>
        <w:t xml:space="preserve"> De acuerdo al Artículo 302 de la Constitución de la República, para la aplicación del superávit se requiere la resolución adoptada por la Junta Departamental, a propuesta del Intendente, previo i</w:t>
      </w:r>
      <w:r w:rsidR="001F6860">
        <w:rPr>
          <w:rFonts w:cs="Times New Roman"/>
          <w:snapToGrid w:val="0"/>
          <w:spacing w:val="-3"/>
          <w:szCs w:val="20"/>
          <w:lang w:val="es-ES_tradnl"/>
        </w:rPr>
        <w:t>nforme del Tribunal de Cuentas.</w:t>
      </w:r>
    </w:p>
    <w:p w:rsidR="009D02D4" w:rsidRDefault="009D02D4" w:rsidP="009D02D4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3) RESULTANCIAS DEL TRÀMITE</w:t>
      </w:r>
    </w:p>
    <w:p w:rsidR="009D02D4" w:rsidRDefault="009D02D4" w:rsidP="009D02D4">
      <w:pPr>
        <w:widowControl w:val="0"/>
        <w:suppressAutoHyphens/>
        <w:spacing w:line="360" w:lineRule="auto"/>
        <w:jc w:val="both"/>
        <w:rPr>
          <w:rFonts w:cs="Times New Roman"/>
          <w:snapToGrid w:val="0"/>
          <w:spacing w:val="-3"/>
          <w:szCs w:val="20"/>
          <w:lang w:val="es-ES_tradnl"/>
        </w:rPr>
      </w:pPr>
      <w:r>
        <w:rPr>
          <w:b/>
          <w:bCs/>
        </w:rPr>
        <w:t xml:space="preserve">3.1 </w:t>
      </w:r>
      <w:r>
        <w:rPr>
          <w:bCs/>
        </w:rPr>
        <w:t>La</w:t>
      </w:r>
      <w:r>
        <w:rPr>
          <w:rFonts w:cs="Times New Roman"/>
          <w:snapToGrid w:val="0"/>
          <w:spacing w:val="-3"/>
          <w:szCs w:val="20"/>
          <w:lang w:val="es-ES_tradnl"/>
        </w:rPr>
        <w:t xml:space="preserve"> Intendencia de Durazno, remitió a este Tribunal, el Oficio Nº 162/2017 de fecha 13/07/2017, relacionado con “… las obras a llevarse a cabo con el superávit acumulado del Presupuesto Departamental 2011-2016, cuyo monto es de </w:t>
      </w:r>
      <w:r w:rsidR="002B7E3F">
        <w:rPr>
          <w:rFonts w:cs="Times New Roman"/>
          <w:snapToGrid w:val="0"/>
          <w:spacing w:val="-3"/>
          <w:szCs w:val="20"/>
          <w:lang w:val="es-ES_tradnl"/>
        </w:rPr>
        <w:t xml:space="preserve">            </w:t>
      </w:r>
      <w:r>
        <w:rPr>
          <w:rFonts w:cs="Times New Roman"/>
          <w:snapToGrid w:val="0"/>
          <w:spacing w:val="-3"/>
          <w:szCs w:val="20"/>
          <w:lang w:val="es-ES_tradnl"/>
        </w:rPr>
        <w:t>$ 146.395.524….” (</w:t>
      </w:r>
      <w:proofErr w:type="gramStart"/>
      <w:r>
        <w:rPr>
          <w:rFonts w:cs="Times New Roman"/>
          <w:snapToGrid w:val="0"/>
          <w:spacing w:val="-3"/>
          <w:szCs w:val="20"/>
          <w:lang w:val="es-ES_tradnl"/>
        </w:rPr>
        <w:t>debió</w:t>
      </w:r>
      <w:proofErr w:type="gramEnd"/>
      <w:r>
        <w:rPr>
          <w:rFonts w:cs="Times New Roman"/>
          <w:snapToGrid w:val="0"/>
          <w:spacing w:val="-3"/>
          <w:szCs w:val="20"/>
          <w:lang w:val="es-ES_tradnl"/>
        </w:rPr>
        <w:t xml:space="preserve"> decir “Presupuesto 2011-2015”), de acuerdo a lo establecido en el Artículo 302 de la Constitución de la República y en cumplimiento del Artículo 158 del Presupuesto Quinquenal del período 2016-2020 de esa Intendencia.</w:t>
      </w:r>
    </w:p>
    <w:p w:rsidR="002B7E3F" w:rsidRDefault="002B7E3F" w:rsidP="009D02D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B7E3F" w:rsidRDefault="002B7E3F" w:rsidP="009D02D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9D02D4" w:rsidRDefault="009D02D4" w:rsidP="009D02D4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4) S</w:t>
      </w:r>
      <w:r w:rsidR="001F6860">
        <w:rPr>
          <w:b/>
          <w:bCs/>
        </w:rPr>
        <w:t>UPERAVIT A APLICAR</w:t>
      </w:r>
    </w:p>
    <w:p w:rsidR="009D02D4" w:rsidRDefault="009D02D4" w:rsidP="009D02D4">
      <w:pPr>
        <w:autoSpaceDE w:val="0"/>
        <w:autoSpaceDN w:val="0"/>
        <w:adjustRightInd w:val="0"/>
        <w:spacing w:line="360" w:lineRule="auto"/>
        <w:jc w:val="both"/>
      </w:pPr>
      <w:r>
        <w:rPr>
          <w:b/>
          <w:color w:val="000000"/>
        </w:rPr>
        <w:t>4.1</w:t>
      </w:r>
      <w:r>
        <w:rPr>
          <w:color w:val="000000"/>
        </w:rPr>
        <w:t xml:space="preserve"> De acuerdo a la Rendición de Cuentas presentada por la Intendencia </w:t>
      </w:r>
      <w:r w:rsidR="002B7E3F">
        <w:rPr>
          <w:color w:val="000000"/>
        </w:rPr>
        <w:t>de Durazno, correspondiente al E</w:t>
      </w:r>
      <w:r>
        <w:rPr>
          <w:color w:val="000000"/>
        </w:rPr>
        <w:t>jercicio finalizado el 31/12/2015, respecto de la que este Tribunal emitió</w:t>
      </w:r>
      <w:r w:rsidR="002B7E3F">
        <w:t xml:space="preserve"> el respectivo Dicta</w:t>
      </w:r>
      <w:r>
        <w:t xml:space="preserve">men en </w:t>
      </w:r>
      <w:r>
        <w:rPr>
          <w:color w:val="000000"/>
        </w:rPr>
        <w:t>sesión del 07/12/2016, el superávit</w:t>
      </w:r>
      <w:r w:rsidR="002B7E3F">
        <w:t xml:space="preserve"> de ese E</w:t>
      </w:r>
      <w:r>
        <w:t>jercicio fue de $ 52.188.066, alcanzando el superávit acumulado al 31/12/2015, la cifra de $ 146.467.811. La Junta Departamental adoptó Resolución No. 18/2017 de fecha 28/04/17, aprobando definitivament</w:t>
      </w:r>
      <w:r w:rsidR="002B7E3F">
        <w:t>e la Rendición de Cuentas 2015.</w:t>
      </w:r>
    </w:p>
    <w:p w:rsidR="009D02D4" w:rsidRDefault="009D02D4" w:rsidP="009D02D4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4.2 </w:t>
      </w:r>
      <w:r>
        <w:t xml:space="preserve">Por lo expuesto, la cifra de $ 146.467.811, se determina luego de deducidas las obligaciones que, al 31/12/2015 tenía la intendencia de Durazno, de acuerdo a lo presentado como “pasivo” en la referida Rendición de Cuentas del </w:t>
      </w:r>
      <w:r w:rsidR="002B7E3F">
        <w:t>E</w:t>
      </w:r>
      <w:r>
        <w:t>jercicio 2015, por lo que, al amparo de lo dispuesto por el Artículo 302 de la Constitución de la República, la referida cifra se puede aplicar a la ejecución de obras públicas, tal como lo pro</w:t>
      </w:r>
      <w:r w:rsidR="001F6860">
        <w:t>pone la Intendencia de Durazno.</w:t>
      </w:r>
    </w:p>
    <w:p w:rsidR="00252DA3" w:rsidRDefault="00252DA3" w:rsidP="00252DA3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4.3 </w:t>
      </w:r>
      <w:r>
        <w:t>De acuerdo a la información remitida por la Intendencia de Durazno, el detalle de obras a ejecutar es el siguiente:</w:t>
      </w:r>
    </w:p>
    <w:p w:rsidR="00252DA3" w:rsidRDefault="00252DA3" w:rsidP="00252DA3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$</w:t>
      </w:r>
    </w:p>
    <w:tbl>
      <w:tblPr>
        <w:tblpPr w:leftFromText="141" w:rightFromText="141" w:vertAnchor="text" w:horzAnchor="margin" w:tblpY="92"/>
        <w:tblW w:w="97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2"/>
        <w:gridCol w:w="2255"/>
      </w:tblGrid>
      <w:tr w:rsidR="00252DA3" w:rsidTr="00F97830">
        <w:trPr>
          <w:trHeight w:val="300"/>
        </w:trPr>
        <w:tc>
          <w:tcPr>
            <w:tcW w:w="6700" w:type="dxa"/>
            <w:noWrap/>
            <w:vAlign w:val="bottom"/>
            <w:hideMark/>
          </w:tcPr>
          <w:p w:rsidR="00252DA3" w:rsidRDefault="00252DA3" w:rsidP="00252DA3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>Terminación de obra Club del niño de Villa Carmen</w:t>
            </w:r>
          </w:p>
        </w:tc>
        <w:tc>
          <w:tcPr>
            <w:tcW w:w="2017" w:type="dxa"/>
            <w:noWrap/>
            <w:vAlign w:val="bottom"/>
            <w:hideMark/>
          </w:tcPr>
          <w:p w:rsidR="00252DA3" w:rsidRDefault="00252DA3" w:rsidP="007703E1">
            <w:pPr>
              <w:spacing w:line="360" w:lineRule="auto"/>
              <w:ind w:left="-290" w:right="676" w:firstLine="29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>1.500.000</w:t>
            </w:r>
          </w:p>
        </w:tc>
      </w:tr>
      <w:tr w:rsidR="00252DA3" w:rsidTr="00F97830">
        <w:trPr>
          <w:trHeight w:val="300"/>
        </w:trPr>
        <w:tc>
          <w:tcPr>
            <w:tcW w:w="6700" w:type="dxa"/>
            <w:noWrap/>
            <w:vAlign w:val="bottom"/>
            <w:hideMark/>
          </w:tcPr>
          <w:p w:rsidR="00252DA3" w:rsidRDefault="00252DA3" w:rsidP="00252DA3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>Importe no presupuestado obra reconstrucción del Teatro Español</w:t>
            </w:r>
          </w:p>
        </w:tc>
        <w:tc>
          <w:tcPr>
            <w:tcW w:w="2017" w:type="dxa"/>
            <w:noWrap/>
            <w:vAlign w:val="bottom"/>
            <w:hideMark/>
          </w:tcPr>
          <w:p w:rsidR="00252DA3" w:rsidRDefault="00252DA3" w:rsidP="007703E1">
            <w:pPr>
              <w:spacing w:line="360" w:lineRule="auto"/>
              <w:ind w:left="-290" w:right="676" w:firstLine="29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>40.000.000</w:t>
            </w:r>
          </w:p>
        </w:tc>
      </w:tr>
      <w:tr w:rsidR="00252DA3" w:rsidTr="00F97830">
        <w:trPr>
          <w:trHeight w:val="300"/>
        </w:trPr>
        <w:tc>
          <w:tcPr>
            <w:tcW w:w="6700" w:type="dxa"/>
            <w:noWrap/>
            <w:vAlign w:val="bottom"/>
            <w:hideMark/>
          </w:tcPr>
          <w:p w:rsidR="00252DA3" w:rsidRDefault="00252DA3" w:rsidP="00252DA3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>Construcción de infraestructura en padrones para Cartera de Tierras</w:t>
            </w:r>
          </w:p>
        </w:tc>
        <w:tc>
          <w:tcPr>
            <w:tcW w:w="2017" w:type="dxa"/>
            <w:noWrap/>
            <w:vAlign w:val="bottom"/>
            <w:hideMark/>
          </w:tcPr>
          <w:p w:rsidR="00252DA3" w:rsidRDefault="00252DA3" w:rsidP="007703E1">
            <w:pPr>
              <w:spacing w:line="360" w:lineRule="auto"/>
              <w:ind w:left="-290" w:right="676" w:firstLine="29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>25.000.000</w:t>
            </w:r>
          </w:p>
        </w:tc>
      </w:tr>
      <w:tr w:rsidR="00252DA3" w:rsidTr="00F97830">
        <w:trPr>
          <w:trHeight w:val="300"/>
        </w:trPr>
        <w:tc>
          <w:tcPr>
            <w:tcW w:w="6700" w:type="dxa"/>
            <w:noWrap/>
            <w:vAlign w:val="bottom"/>
            <w:hideMark/>
          </w:tcPr>
          <w:p w:rsidR="00252DA3" w:rsidRDefault="00252DA3" w:rsidP="00252DA3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 xml:space="preserve">Obras no presupuestadas en el </w:t>
            </w:r>
            <w:proofErr w:type="spellStart"/>
            <w:r>
              <w:rPr>
                <w:rFonts w:cs="Times New Roman"/>
                <w:color w:val="000000"/>
                <w:lang w:val="es-UY"/>
              </w:rPr>
              <w:t>Bioparque</w:t>
            </w:r>
            <w:proofErr w:type="spellEnd"/>
            <w:r>
              <w:rPr>
                <w:rFonts w:cs="Times New Roman"/>
                <w:color w:val="000000"/>
                <w:lang w:val="es-UY"/>
              </w:rPr>
              <w:t xml:space="preserve"> </w:t>
            </w:r>
          </w:p>
        </w:tc>
        <w:tc>
          <w:tcPr>
            <w:tcW w:w="2017" w:type="dxa"/>
            <w:noWrap/>
            <w:vAlign w:val="bottom"/>
            <w:hideMark/>
          </w:tcPr>
          <w:p w:rsidR="00252DA3" w:rsidRDefault="00252DA3" w:rsidP="007703E1">
            <w:pPr>
              <w:spacing w:line="360" w:lineRule="auto"/>
              <w:ind w:left="-290" w:right="676" w:firstLine="29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>34.895.524</w:t>
            </w:r>
          </w:p>
        </w:tc>
      </w:tr>
      <w:tr w:rsidR="00252DA3" w:rsidTr="00F97830">
        <w:trPr>
          <w:trHeight w:val="300"/>
        </w:trPr>
        <w:tc>
          <w:tcPr>
            <w:tcW w:w="6700" w:type="dxa"/>
            <w:noWrap/>
            <w:vAlign w:val="bottom"/>
            <w:hideMark/>
          </w:tcPr>
          <w:p w:rsidR="00252DA3" w:rsidRDefault="00252DA3" w:rsidP="00252DA3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 xml:space="preserve">Cerramiento y climatización piscina de Sarandí del </w:t>
            </w:r>
            <w:proofErr w:type="spellStart"/>
            <w:r>
              <w:rPr>
                <w:rFonts w:cs="Times New Roman"/>
                <w:color w:val="000000"/>
                <w:lang w:val="es-UY"/>
              </w:rPr>
              <w:t>Yi</w:t>
            </w:r>
            <w:proofErr w:type="spellEnd"/>
          </w:p>
        </w:tc>
        <w:tc>
          <w:tcPr>
            <w:tcW w:w="2017" w:type="dxa"/>
            <w:noWrap/>
            <w:vAlign w:val="bottom"/>
            <w:hideMark/>
          </w:tcPr>
          <w:p w:rsidR="00252DA3" w:rsidRDefault="00252DA3" w:rsidP="007703E1">
            <w:pPr>
              <w:spacing w:line="360" w:lineRule="auto"/>
              <w:ind w:left="-290" w:right="676" w:firstLine="29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>10.000.000</w:t>
            </w:r>
          </w:p>
        </w:tc>
      </w:tr>
      <w:tr w:rsidR="00252DA3" w:rsidTr="00F97830">
        <w:trPr>
          <w:trHeight w:val="300"/>
        </w:trPr>
        <w:tc>
          <w:tcPr>
            <w:tcW w:w="6700" w:type="dxa"/>
            <w:noWrap/>
            <w:vAlign w:val="bottom"/>
            <w:hideMark/>
          </w:tcPr>
          <w:p w:rsidR="00252DA3" w:rsidRDefault="00252DA3" w:rsidP="00252DA3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 xml:space="preserve">Construcción de infraestructura vial y equipamiento urbano </w:t>
            </w:r>
          </w:p>
        </w:tc>
        <w:tc>
          <w:tcPr>
            <w:tcW w:w="2017" w:type="dxa"/>
            <w:noWrap/>
            <w:vAlign w:val="bottom"/>
            <w:hideMark/>
          </w:tcPr>
          <w:p w:rsidR="00252DA3" w:rsidRDefault="00252DA3" w:rsidP="007703E1">
            <w:pPr>
              <w:spacing w:line="360" w:lineRule="auto"/>
              <w:ind w:left="-290" w:right="676" w:firstLine="29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>30.000.000</w:t>
            </w:r>
          </w:p>
        </w:tc>
      </w:tr>
      <w:tr w:rsidR="00252DA3" w:rsidTr="00F97830">
        <w:trPr>
          <w:trHeight w:val="300"/>
        </w:trPr>
        <w:tc>
          <w:tcPr>
            <w:tcW w:w="6700" w:type="dxa"/>
            <w:noWrap/>
            <w:vAlign w:val="bottom"/>
            <w:hideMark/>
          </w:tcPr>
          <w:p w:rsidR="00252DA3" w:rsidRDefault="00252DA3" w:rsidP="00252DA3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>Vertedero Residuos Ciudad de Durazno</w:t>
            </w:r>
          </w:p>
        </w:tc>
        <w:tc>
          <w:tcPr>
            <w:tcW w:w="2017" w:type="dxa"/>
            <w:noWrap/>
            <w:vAlign w:val="bottom"/>
            <w:hideMark/>
          </w:tcPr>
          <w:p w:rsidR="00252DA3" w:rsidRDefault="00252DA3" w:rsidP="007703E1">
            <w:pPr>
              <w:spacing w:line="360" w:lineRule="auto"/>
              <w:ind w:left="-290" w:right="676" w:firstLine="29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</w:rPr>
              <w:t>5.000.000</w:t>
            </w:r>
          </w:p>
        </w:tc>
      </w:tr>
      <w:tr w:rsidR="00252DA3" w:rsidTr="00F97830">
        <w:trPr>
          <w:trHeight w:val="300"/>
        </w:trPr>
        <w:tc>
          <w:tcPr>
            <w:tcW w:w="6700" w:type="dxa"/>
            <w:noWrap/>
            <w:vAlign w:val="bottom"/>
            <w:hideMark/>
          </w:tcPr>
          <w:p w:rsidR="00252DA3" w:rsidRDefault="00252DA3" w:rsidP="00252DA3">
            <w:pPr>
              <w:spacing w:line="360" w:lineRule="auto"/>
              <w:rPr>
                <w:rFonts w:cs="Times New Roman"/>
                <w:sz w:val="20"/>
                <w:szCs w:val="20"/>
                <w:lang w:val="es-UY" w:eastAsia="es-UY"/>
              </w:rPr>
            </w:pPr>
          </w:p>
        </w:tc>
        <w:tc>
          <w:tcPr>
            <w:tcW w:w="2017" w:type="dxa"/>
            <w:noWrap/>
            <w:vAlign w:val="bottom"/>
            <w:hideMark/>
          </w:tcPr>
          <w:p w:rsidR="00252DA3" w:rsidRDefault="00252DA3" w:rsidP="007703E1">
            <w:pPr>
              <w:spacing w:line="360" w:lineRule="auto"/>
              <w:ind w:left="-290" w:right="676" w:firstLine="290"/>
              <w:rPr>
                <w:rFonts w:cs="Times New Roman"/>
                <w:sz w:val="20"/>
                <w:szCs w:val="20"/>
                <w:lang w:val="es-UY" w:eastAsia="es-UY"/>
              </w:rPr>
            </w:pPr>
          </w:p>
        </w:tc>
      </w:tr>
      <w:tr w:rsidR="00252DA3" w:rsidRPr="002B7E3F" w:rsidTr="00F97830">
        <w:trPr>
          <w:trHeight w:val="80"/>
        </w:trPr>
        <w:tc>
          <w:tcPr>
            <w:tcW w:w="6700" w:type="dxa"/>
            <w:noWrap/>
            <w:vAlign w:val="bottom"/>
            <w:hideMark/>
          </w:tcPr>
          <w:p w:rsidR="00252DA3" w:rsidRDefault="00252DA3" w:rsidP="00252DA3">
            <w:pPr>
              <w:spacing w:line="36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lang w:val="es-UY"/>
              </w:rPr>
              <w:t>Total</w:t>
            </w:r>
          </w:p>
        </w:tc>
        <w:tc>
          <w:tcPr>
            <w:tcW w:w="2017" w:type="dxa"/>
            <w:noWrap/>
            <w:vAlign w:val="bottom"/>
            <w:hideMark/>
          </w:tcPr>
          <w:p w:rsidR="00252DA3" w:rsidRPr="002B7E3F" w:rsidRDefault="00252DA3" w:rsidP="007703E1">
            <w:pPr>
              <w:spacing w:line="360" w:lineRule="auto"/>
              <w:ind w:left="-290" w:right="676" w:firstLine="290"/>
              <w:jc w:val="right"/>
              <w:rPr>
                <w:rFonts w:cs="Times New Roman"/>
                <w:color w:val="000000"/>
                <w:sz w:val="22"/>
                <w:szCs w:val="22"/>
                <w:u w:val="single"/>
              </w:rPr>
            </w:pPr>
            <w:r w:rsidRPr="002B7E3F">
              <w:rPr>
                <w:rFonts w:cs="Times New Roman"/>
                <w:color w:val="000000"/>
                <w:u w:val="single"/>
              </w:rPr>
              <w:t>146.395.524</w:t>
            </w:r>
          </w:p>
        </w:tc>
      </w:tr>
    </w:tbl>
    <w:p w:rsidR="00252DA3" w:rsidRDefault="00252DA3" w:rsidP="00252DA3">
      <w:pPr>
        <w:autoSpaceDE w:val="0"/>
        <w:autoSpaceDN w:val="0"/>
        <w:adjustRightInd w:val="0"/>
        <w:spacing w:line="360" w:lineRule="auto"/>
        <w:jc w:val="both"/>
      </w:pPr>
    </w:p>
    <w:p w:rsidR="00252DA3" w:rsidRDefault="00252DA3" w:rsidP="00252DA3">
      <w:pPr>
        <w:autoSpaceDE w:val="0"/>
        <w:autoSpaceDN w:val="0"/>
        <w:adjustRightInd w:val="0"/>
        <w:spacing w:line="360" w:lineRule="auto"/>
        <w:jc w:val="both"/>
      </w:pPr>
      <w:r>
        <w:rPr>
          <w:b/>
          <w:color w:val="000000"/>
          <w:lang w:val="es-UY" w:eastAsia="es-UY"/>
        </w:rPr>
        <w:t>4.4</w:t>
      </w:r>
      <w:r>
        <w:rPr>
          <w:color w:val="000000"/>
          <w:lang w:val="es-UY" w:eastAsia="es-UY"/>
        </w:rPr>
        <w:t xml:space="preserve"> A la fecha, está en trámite en este Tribunal la Rendición de Cuentas de la Intendencia correspondiente al Ejercicio 2016, que presenta un superávit del ejercicio de $ 108:928.571.</w:t>
      </w:r>
    </w:p>
    <w:p w:rsidR="00252DA3" w:rsidRDefault="00252DA3" w:rsidP="00252DA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5) NORMAS Y CRITERIOS APLICABLES</w:t>
      </w:r>
    </w:p>
    <w:p w:rsidR="00252DA3" w:rsidRDefault="00252DA3" w:rsidP="00252DA3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5.1 </w:t>
      </w:r>
      <w:r>
        <w:t>De conformidad al Artículo 302 de la Constitución de la República, “Todo superávit deberá ser íntegramente aplicado a amortizaciones extraordinarias de las obligaciones departamentales. Si dichas obligaciones no existiesen, se aplicará a la ejecución de obras públicas o inversiones remuneradoras, debiendo ser adoptada la resolución por la Junta Departamental, a propuesta del Intendente y previo informe del Tribunal de Cuentas”.</w:t>
      </w:r>
    </w:p>
    <w:p w:rsidR="00252DA3" w:rsidRDefault="00252DA3" w:rsidP="00252DA3">
      <w:pPr>
        <w:suppressAutoHyphens/>
        <w:spacing w:line="360" w:lineRule="auto"/>
        <w:jc w:val="both"/>
        <w:rPr>
          <w:b/>
          <w:bCs/>
        </w:rPr>
      </w:pPr>
      <w:r>
        <w:rPr>
          <w:b/>
          <w:bCs/>
          <w:spacing w:val="-3"/>
        </w:rPr>
        <w:t>5</w:t>
      </w:r>
      <w:r>
        <w:rPr>
          <w:b/>
          <w:bCs/>
          <w:spacing w:val="-3"/>
          <w:lang w:val="es-ES_tradnl"/>
        </w:rPr>
        <w:t>.2</w:t>
      </w:r>
      <w:r>
        <w:rPr>
          <w:spacing w:val="-3"/>
          <w:lang w:val="es-ES_tradnl"/>
        </w:rPr>
        <w:t xml:space="preserve"> El informe del Tribunal tiene por objeto el control de los aspectos legales, verificando asimismo, que la proyección realizada sea acorde a la situación financiera de la Intendencia. Dicho informe, de acuerdo con la norma precitada, debe ser previo al pronunciamiento de la Junta Departamental.</w:t>
      </w:r>
    </w:p>
    <w:p w:rsidR="00252DA3" w:rsidRDefault="00252DA3" w:rsidP="00252DA3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6) CONCLUSIONES</w:t>
      </w:r>
    </w:p>
    <w:p w:rsidR="00252DA3" w:rsidRDefault="00252DA3" w:rsidP="00252DA3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 xml:space="preserve">6.1 </w:t>
      </w:r>
      <w:r>
        <w:t>Se ha dado cumplimiento a lo dispuesto por el Artículo 302 de la Constitución de la República al solicitarse el informe que compete a este  Tribunal, previamente a la aprobación por la Junta Departamental.</w:t>
      </w:r>
    </w:p>
    <w:p w:rsidR="00252DA3" w:rsidRDefault="00252DA3" w:rsidP="00252DA3">
      <w:pPr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>
        <w:rPr>
          <w:b/>
          <w:bCs/>
        </w:rPr>
        <w:t xml:space="preserve">6.2 </w:t>
      </w:r>
      <w:r>
        <w:t>Una vez aprobada la Resolución por la Junta Departamental, debe ser comunicada a este Tribunal dejando expresa constancia de que fueron canceladas todas las obligaciones existentes, exigibles y no exigibles al 31/12/2015, con arreglo a lo dispuesto en el Artículo 302 de l</w:t>
      </w:r>
      <w:r w:rsidR="001F6860">
        <w:t>a Constitución de la República.</w:t>
      </w:r>
    </w:p>
    <w:p w:rsidR="00252DA3" w:rsidRDefault="00252DA3" w:rsidP="00252DA3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6.3</w:t>
      </w:r>
      <w:r>
        <w:t xml:space="preserve"> Cumplido el extremo referido en el punto anterior,</w:t>
      </w:r>
      <w:r>
        <w:rPr>
          <w:b/>
        </w:rPr>
        <w:t xml:space="preserve"> </w:t>
      </w:r>
      <w:r>
        <w:t>en oportunidad de ejecutarse los gastos en obras públicas o inversiones remuneradoras que apruebe la Junta Departamental, su presentación en los registros contables deberá realizarse de forma que, de su posterior exposición en los estados correspondientes a las Rendiciones de Cuentas anuales de la Intendencia, resulte claramente establecido que los mismos se efectúan con cargo al referido superávit como fuente de financiamiento.</w:t>
      </w:r>
    </w:p>
    <w:p w:rsidR="00252DA3" w:rsidRDefault="00252DA3" w:rsidP="00252DA3">
      <w:pPr>
        <w:autoSpaceDE w:val="0"/>
        <w:autoSpaceDN w:val="0"/>
        <w:adjustRightInd w:val="0"/>
        <w:spacing w:line="360" w:lineRule="auto"/>
        <w:jc w:val="both"/>
      </w:pPr>
    </w:p>
    <w:p w:rsidR="009D02D4" w:rsidRDefault="00252DA3" w:rsidP="00252DA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proofErr w:type="spellStart"/>
      <w:proofErr w:type="gramStart"/>
      <w:r w:rsidRPr="009D02D4">
        <w:rPr>
          <w:rFonts w:cs="Times New Roman"/>
          <w:lang w:val="es-MX"/>
        </w:rPr>
        <w:t>lc</w:t>
      </w:r>
      <w:proofErr w:type="spellEnd"/>
      <w:proofErr w:type="gramEnd"/>
    </w:p>
    <w:sectPr w:rsidR="009D02D4" w:rsidSect="00861649">
      <w:footerReference w:type="default" r:id="rId8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E3F" w:rsidRDefault="002B7E3F" w:rsidP="002B7E3F">
      <w:r>
        <w:separator/>
      </w:r>
    </w:p>
  </w:endnote>
  <w:endnote w:type="continuationSeparator" w:id="0">
    <w:p w:rsidR="002B7E3F" w:rsidRDefault="002B7E3F" w:rsidP="002B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866516"/>
      <w:docPartObj>
        <w:docPartGallery w:val="Page Numbers (Bottom of Page)"/>
        <w:docPartUnique/>
      </w:docPartObj>
    </w:sdtPr>
    <w:sdtEndPr/>
    <w:sdtContent>
      <w:p w:rsidR="002B7E3F" w:rsidRDefault="002B7E3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CC">
          <w:rPr>
            <w:noProof/>
          </w:rPr>
          <w:t>1</w:t>
        </w:r>
        <w:r>
          <w:fldChar w:fldCharType="end"/>
        </w:r>
      </w:p>
    </w:sdtContent>
  </w:sdt>
  <w:p w:rsidR="002B7E3F" w:rsidRDefault="002B7E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E3F" w:rsidRDefault="002B7E3F" w:rsidP="002B7E3F">
      <w:r>
        <w:separator/>
      </w:r>
    </w:p>
  </w:footnote>
  <w:footnote w:type="continuationSeparator" w:id="0">
    <w:p w:rsidR="002B7E3F" w:rsidRDefault="002B7E3F" w:rsidP="002B7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43A"/>
    <w:multiLevelType w:val="hybridMultilevel"/>
    <w:tmpl w:val="705634A8"/>
    <w:lvl w:ilvl="0" w:tplc="9A12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14"/>
    <w:rsid w:val="00014FA3"/>
    <w:rsid w:val="0005229D"/>
    <w:rsid w:val="001A4214"/>
    <w:rsid w:val="001F6860"/>
    <w:rsid w:val="0023171D"/>
    <w:rsid w:val="00252DA3"/>
    <w:rsid w:val="002B7E3F"/>
    <w:rsid w:val="0056306D"/>
    <w:rsid w:val="00691937"/>
    <w:rsid w:val="006955AD"/>
    <w:rsid w:val="007147DF"/>
    <w:rsid w:val="00750A96"/>
    <w:rsid w:val="00763263"/>
    <w:rsid w:val="007703E1"/>
    <w:rsid w:val="00781DEF"/>
    <w:rsid w:val="00861649"/>
    <w:rsid w:val="008905ED"/>
    <w:rsid w:val="008E60F6"/>
    <w:rsid w:val="00913794"/>
    <w:rsid w:val="00927E4E"/>
    <w:rsid w:val="009D02D4"/>
    <w:rsid w:val="00A713B6"/>
    <w:rsid w:val="00B75AFC"/>
    <w:rsid w:val="00BD0CE9"/>
    <w:rsid w:val="00C56C89"/>
    <w:rsid w:val="00C75134"/>
    <w:rsid w:val="00CB2C70"/>
    <w:rsid w:val="00D552BB"/>
    <w:rsid w:val="00E43C1B"/>
    <w:rsid w:val="00E540CC"/>
    <w:rsid w:val="00EA18E2"/>
    <w:rsid w:val="00FE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21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8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7E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7E3F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B7E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E3F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21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8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7E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7E3F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B7E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E3F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912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 de Cuentas</dc:creator>
  <cp:lastModifiedBy>Tribunal1</cp:lastModifiedBy>
  <cp:revision>9</cp:revision>
  <cp:lastPrinted>2017-10-10T18:50:00Z</cp:lastPrinted>
  <dcterms:created xsi:type="dcterms:W3CDTF">2017-10-10T17:53:00Z</dcterms:created>
  <dcterms:modified xsi:type="dcterms:W3CDTF">2018-01-15T18:29:00Z</dcterms:modified>
</cp:coreProperties>
</file>