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41F" w:rsidRPr="00786EEB" w:rsidRDefault="00D0541F" w:rsidP="00F57E99">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3211/17</w:t>
      </w:r>
    </w:p>
    <w:p w:rsidR="00D0541F" w:rsidRDefault="00D0541F" w:rsidP="00F57E99">
      <w:pPr>
        <w:keepNext/>
        <w:widowControl w:val="0"/>
        <w:tabs>
          <w:tab w:val="center" w:pos="4253"/>
        </w:tabs>
        <w:jc w:val="right"/>
        <w:rPr>
          <w:rFonts w:cs="Arial"/>
          <w:b/>
          <w:lang w:val="es-ES_tradnl"/>
        </w:rPr>
      </w:pPr>
    </w:p>
    <w:p w:rsidR="00D0541F" w:rsidRPr="00762B34" w:rsidRDefault="00D0541F" w:rsidP="00F57E99">
      <w:pPr>
        <w:keepNext/>
        <w:widowControl w:val="0"/>
        <w:tabs>
          <w:tab w:val="center" w:pos="4253"/>
        </w:tabs>
        <w:jc w:val="center"/>
        <w:rPr>
          <w:rFonts w:cs="Arial"/>
          <w:b/>
          <w:lang w:val="es-ES_tradnl"/>
        </w:rPr>
      </w:pPr>
      <w:r w:rsidRPr="00762B34">
        <w:rPr>
          <w:rFonts w:cs="Arial"/>
          <w:b/>
          <w:lang w:val="es-ES_tradnl"/>
        </w:rPr>
        <w:t>RESOLUCION ADOPTADA POR EL</w:t>
      </w:r>
    </w:p>
    <w:p w:rsidR="00D0541F" w:rsidRPr="00762B34" w:rsidRDefault="00D0541F" w:rsidP="00F57E99">
      <w:pPr>
        <w:keepNext/>
        <w:widowControl w:val="0"/>
        <w:tabs>
          <w:tab w:val="left" w:pos="-720"/>
        </w:tabs>
        <w:jc w:val="center"/>
        <w:rPr>
          <w:rFonts w:cs="Arial"/>
          <w:b/>
          <w:lang w:val="es-ES_tradnl"/>
        </w:rPr>
      </w:pPr>
    </w:p>
    <w:p w:rsidR="00D0541F" w:rsidRPr="00762B34" w:rsidRDefault="00D0541F" w:rsidP="00F57E99">
      <w:pPr>
        <w:keepNext/>
        <w:widowControl w:val="0"/>
        <w:tabs>
          <w:tab w:val="center" w:pos="4253"/>
        </w:tabs>
        <w:jc w:val="center"/>
        <w:rPr>
          <w:rFonts w:cs="Arial"/>
          <w:b/>
          <w:lang w:val="es-ES_tradnl"/>
        </w:rPr>
      </w:pPr>
      <w:r w:rsidRPr="00762B34">
        <w:rPr>
          <w:rFonts w:cs="Arial"/>
          <w:b/>
          <w:lang w:val="es-ES_tradnl"/>
        </w:rPr>
        <w:t>TRIBUNAL DE CUENTAS</w:t>
      </w:r>
    </w:p>
    <w:p w:rsidR="00D0541F" w:rsidRPr="00762B34" w:rsidRDefault="00D0541F" w:rsidP="00F57E99">
      <w:pPr>
        <w:keepNext/>
        <w:widowControl w:val="0"/>
        <w:tabs>
          <w:tab w:val="left" w:pos="-720"/>
        </w:tabs>
        <w:jc w:val="center"/>
        <w:rPr>
          <w:rFonts w:cs="Arial"/>
          <w:b/>
          <w:lang w:val="es-ES_tradnl"/>
        </w:rPr>
      </w:pPr>
    </w:p>
    <w:p w:rsidR="00D0541F" w:rsidRPr="00762B34" w:rsidRDefault="00D0541F" w:rsidP="00F57E99">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27 DE SETIEMBRE </w:t>
      </w:r>
      <w:r>
        <w:rPr>
          <w:rFonts w:ascii="Helvetica" w:hAnsi="Helvetica"/>
          <w:b/>
          <w:lang w:val="es-ES_tradnl"/>
        </w:rPr>
        <w:t>DE 2017</w:t>
      </w:r>
    </w:p>
    <w:p w:rsidR="00D0541F" w:rsidRPr="00762B34" w:rsidRDefault="00D0541F" w:rsidP="00F57E99">
      <w:pPr>
        <w:keepNext/>
        <w:widowControl w:val="0"/>
        <w:tabs>
          <w:tab w:val="center" w:pos="4253"/>
        </w:tabs>
        <w:jc w:val="center"/>
        <w:rPr>
          <w:rFonts w:cs="Arial"/>
          <w:b/>
          <w:lang w:val="es-ES_tradnl"/>
        </w:rPr>
      </w:pPr>
    </w:p>
    <w:p w:rsidR="00D0541F" w:rsidRPr="00330403" w:rsidRDefault="00D0541F" w:rsidP="00F57E99">
      <w:pPr>
        <w:keepNext/>
        <w:widowControl w:val="0"/>
        <w:tabs>
          <w:tab w:val="center" w:pos="4253"/>
        </w:tabs>
        <w:jc w:val="center"/>
        <w:rPr>
          <w:rFonts w:cs="Arial"/>
          <w:b/>
          <w:lang w:val="es-UY"/>
        </w:rPr>
      </w:pPr>
      <w:r w:rsidRPr="00330403">
        <w:rPr>
          <w:rFonts w:cs="Arial"/>
          <w:b/>
          <w:lang w:val="es-UY"/>
        </w:rPr>
        <w:t>(E. E. Nº</w:t>
      </w:r>
      <w:r w:rsidRPr="00A9764B">
        <w:rPr>
          <w:rFonts w:cs="Arial"/>
          <w:b/>
          <w:lang w:val="es-UY"/>
        </w:rPr>
        <w:t>2017-17-1-0004327</w:t>
      </w:r>
      <w:r w:rsidRPr="00330403">
        <w:rPr>
          <w:rFonts w:cs="Arial"/>
          <w:b/>
          <w:lang w:val="es-UY"/>
        </w:rPr>
        <w:t xml:space="preserve">, </w:t>
      </w:r>
      <w:proofErr w:type="spellStart"/>
      <w:r w:rsidRPr="00330403">
        <w:rPr>
          <w:rFonts w:cs="Arial"/>
          <w:b/>
          <w:lang w:val="es-UY"/>
        </w:rPr>
        <w:t>Ent</w:t>
      </w:r>
      <w:proofErr w:type="spellEnd"/>
      <w:r w:rsidRPr="00330403">
        <w:rPr>
          <w:rFonts w:cs="Arial"/>
          <w:b/>
          <w:lang w:val="es-UY"/>
        </w:rPr>
        <w:t xml:space="preserve">. N° </w:t>
      </w:r>
      <w:r w:rsidRPr="00A9764B">
        <w:rPr>
          <w:rFonts w:cs="Arial"/>
          <w:b/>
          <w:lang w:val="es-UY"/>
        </w:rPr>
        <w:t>3485</w:t>
      </w:r>
      <w:r>
        <w:rPr>
          <w:rFonts w:cs="Arial"/>
          <w:b/>
          <w:lang w:val="es-UY"/>
        </w:rPr>
        <w:t>/17</w:t>
      </w:r>
      <w:r w:rsidRPr="00330403">
        <w:rPr>
          <w:rFonts w:cs="Arial"/>
          <w:b/>
          <w:lang w:val="es-UY"/>
        </w:rPr>
        <w:t>)</w:t>
      </w:r>
    </w:p>
    <w:p w:rsidR="00EB6BB9" w:rsidRPr="00EB6BB9" w:rsidRDefault="00EB6BB9" w:rsidP="00F57E99">
      <w:pPr>
        <w:keepNext/>
        <w:widowControl w:val="0"/>
        <w:tabs>
          <w:tab w:val="center" w:pos="4253"/>
        </w:tabs>
        <w:spacing w:line="360" w:lineRule="auto"/>
        <w:jc w:val="center"/>
        <w:rPr>
          <w:rFonts w:cs="Arial"/>
          <w:b/>
          <w:lang w:val="es-ES_tradnl"/>
        </w:rPr>
      </w:pPr>
    </w:p>
    <w:p w:rsidR="00EC67D1" w:rsidRPr="00EB6BB9" w:rsidRDefault="00EC67D1" w:rsidP="00F57E99">
      <w:pPr>
        <w:keepNext/>
        <w:widowControl w:val="0"/>
        <w:autoSpaceDE w:val="0"/>
        <w:autoSpaceDN w:val="0"/>
        <w:adjustRightInd w:val="0"/>
        <w:spacing w:line="360" w:lineRule="auto"/>
        <w:ind w:firstLine="851"/>
        <w:jc w:val="both"/>
        <w:rPr>
          <w:rFonts w:cs="Arial"/>
        </w:rPr>
      </w:pPr>
      <w:r w:rsidRPr="00EB6BB9">
        <w:rPr>
          <w:rFonts w:cs="Arial"/>
          <w:b/>
          <w:bCs/>
        </w:rPr>
        <w:t xml:space="preserve">VISTO: </w:t>
      </w:r>
      <w:r w:rsidRPr="00EB6BB9">
        <w:rPr>
          <w:rFonts w:cs="Arial"/>
        </w:rPr>
        <w:t>la Rendición de Cuentas y Balance de Ejecución Presupuestal de la Intendencia de San José correspondiente al ejercicio 2016;</w:t>
      </w:r>
    </w:p>
    <w:p w:rsidR="00EC67D1" w:rsidRPr="00EB6BB9" w:rsidRDefault="00EC67D1" w:rsidP="00F57E99">
      <w:pPr>
        <w:keepNext/>
        <w:widowControl w:val="0"/>
        <w:tabs>
          <w:tab w:val="left" w:pos="284"/>
        </w:tabs>
        <w:autoSpaceDE w:val="0"/>
        <w:autoSpaceDN w:val="0"/>
        <w:adjustRightInd w:val="0"/>
        <w:spacing w:line="360" w:lineRule="auto"/>
        <w:ind w:firstLine="851"/>
        <w:jc w:val="both"/>
        <w:rPr>
          <w:rFonts w:cs="Arial"/>
        </w:rPr>
      </w:pPr>
      <w:r w:rsidRPr="00EB6BB9">
        <w:rPr>
          <w:rFonts w:cs="Arial"/>
          <w:b/>
          <w:bCs/>
        </w:rPr>
        <w:t xml:space="preserve">RESULTANDO: </w:t>
      </w:r>
      <w:r w:rsidRPr="00EB6BB9">
        <w:rPr>
          <w:rFonts w:cs="Arial"/>
        </w:rP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EC67D1" w:rsidRPr="00EB6BB9" w:rsidRDefault="00EC67D1" w:rsidP="00F57E99">
      <w:pPr>
        <w:keepNext/>
        <w:widowControl w:val="0"/>
        <w:autoSpaceDE w:val="0"/>
        <w:autoSpaceDN w:val="0"/>
        <w:adjustRightInd w:val="0"/>
        <w:spacing w:line="360" w:lineRule="auto"/>
        <w:ind w:firstLine="851"/>
        <w:jc w:val="both"/>
        <w:rPr>
          <w:rFonts w:cs="Arial"/>
        </w:rPr>
      </w:pPr>
      <w:r w:rsidRPr="00EB6BB9">
        <w:rPr>
          <w:rFonts w:cs="Arial"/>
          <w:b/>
          <w:bCs/>
        </w:rPr>
        <w:t xml:space="preserve">CONSIDERANDO: </w:t>
      </w:r>
      <w:r w:rsidRPr="00EB6BB9">
        <w:rPr>
          <w:rFonts w:cs="Arial"/>
        </w:rPr>
        <w:t>que las conclusiones y evidencias obtenidas son las que se expresan en el Informe de Auditoría, que incluye Dictamen e Informe a la Administración;</w:t>
      </w:r>
    </w:p>
    <w:p w:rsidR="00EC67D1" w:rsidRPr="00EB6BB9" w:rsidRDefault="00EC67D1" w:rsidP="00F57E99">
      <w:pPr>
        <w:keepNext/>
        <w:widowControl w:val="0"/>
        <w:autoSpaceDE w:val="0"/>
        <w:autoSpaceDN w:val="0"/>
        <w:adjustRightInd w:val="0"/>
        <w:spacing w:line="360" w:lineRule="auto"/>
        <w:ind w:firstLine="851"/>
        <w:jc w:val="both"/>
        <w:rPr>
          <w:rFonts w:cs="Arial"/>
        </w:rPr>
      </w:pPr>
      <w:r w:rsidRPr="00EB6BB9">
        <w:rPr>
          <w:rFonts w:cs="Arial"/>
          <w:b/>
          <w:bCs/>
        </w:rPr>
        <w:t xml:space="preserve">ATENTO: </w:t>
      </w:r>
      <w:r w:rsidRPr="00EB6BB9">
        <w:rPr>
          <w:rFonts w:cs="Arial"/>
        </w:rPr>
        <w:t>a lo dispuesto por el Artículo 211 Literal C) de la Constitución de la República;</w:t>
      </w:r>
    </w:p>
    <w:p w:rsidR="00EC67D1" w:rsidRPr="00EB6BB9" w:rsidRDefault="00EC67D1" w:rsidP="00F57E99">
      <w:pPr>
        <w:keepNext/>
        <w:widowControl w:val="0"/>
        <w:autoSpaceDE w:val="0"/>
        <w:autoSpaceDN w:val="0"/>
        <w:adjustRightInd w:val="0"/>
        <w:spacing w:line="360" w:lineRule="auto"/>
        <w:jc w:val="center"/>
        <w:rPr>
          <w:rFonts w:cs="Arial"/>
          <w:b/>
          <w:bCs/>
        </w:rPr>
      </w:pPr>
      <w:r w:rsidRPr="00EB6BB9">
        <w:rPr>
          <w:rFonts w:cs="Arial"/>
          <w:b/>
          <w:bCs/>
        </w:rPr>
        <w:t>EL TRIBUNAL ACUERDA</w:t>
      </w:r>
    </w:p>
    <w:p w:rsidR="00EC67D1" w:rsidRPr="00EB6BB9" w:rsidRDefault="00EC67D1" w:rsidP="00F57E99">
      <w:pPr>
        <w:pStyle w:val="Prrafodelista"/>
        <w:keepNext/>
        <w:widowControl w:val="0"/>
        <w:numPr>
          <w:ilvl w:val="0"/>
          <w:numId w:val="9"/>
        </w:numPr>
        <w:tabs>
          <w:tab w:val="left" w:pos="284"/>
        </w:tabs>
        <w:autoSpaceDE w:val="0"/>
        <w:autoSpaceDN w:val="0"/>
        <w:adjustRightInd w:val="0"/>
        <w:spacing w:line="360" w:lineRule="auto"/>
        <w:jc w:val="both"/>
        <w:rPr>
          <w:rFonts w:cs="Arial"/>
        </w:rPr>
      </w:pPr>
      <w:r w:rsidRPr="00EB6BB9">
        <w:rPr>
          <w:rFonts w:cs="Arial"/>
        </w:rPr>
        <w:t>Expedirse en los términos del Informe de Auditoría que se adjunta;</w:t>
      </w:r>
    </w:p>
    <w:p w:rsidR="00EC67D1" w:rsidRPr="00F57E99" w:rsidRDefault="00EC67D1" w:rsidP="00F57E99">
      <w:pPr>
        <w:pStyle w:val="Prrafodelista"/>
        <w:keepNext/>
        <w:widowControl w:val="0"/>
        <w:numPr>
          <w:ilvl w:val="0"/>
          <w:numId w:val="9"/>
        </w:numPr>
        <w:tabs>
          <w:tab w:val="left" w:pos="426"/>
        </w:tabs>
        <w:autoSpaceDE w:val="0"/>
        <w:autoSpaceDN w:val="0"/>
        <w:adjustRightInd w:val="0"/>
        <w:spacing w:line="360" w:lineRule="auto"/>
        <w:jc w:val="both"/>
        <w:rPr>
          <w:rFonts w:cs="Arial"/>
        </w:rPr>
      </w:pPr>
      <w:r w:rsidRPr="00F57E99">
        <w:rPr>
          <w:rFonts w:cs="Arial"/>
        </w:rPr>
        <w:t>Comunicar la presente Resolución a la Intendencia y a la Junta</w:t>
      </w:r>
      <w:r w:rsidR="00F57E99" w:rsidRPr="00F57E99">
        <w:rPr>
          <w:rFonts w:cs="Arial"/>
        </w:rPr>
        <w:t xml:space="preserve"> </w:t>
      </w:r>
      <w:r w:rsidRPr="00F57E99">
        <w:rPr>
          <w:rFonts w:cs="Arial"/>
        </w:rPr>
        <w:t>Departamental de San José;</w:t>
      </w:r>
    </w:p>
    <w:p w:rsidR="009E675A" w:rsidRDefault="006E619A" w:rsidP="00F57E99">
      <w:pPr>
        <w:pStyle w:val="Prrafodelista"/>
        <w:keepNext/>
        <w:widowControl w:val="0"/>
        <w:numPr>
          <w:ilvl w:val="0"/>
          <w:numId w:val="9"/>
        </w:numPr>
      </w:pPr>
      <w:r>
        <w:t>Dar cuenta a la Asamblea General.</w:t>
      </w:r>
    </w:p>
    <w:p w:rsidR="00F57E99" w:rsidRDefault="00F57E99" w:rsidP="00F57E99">
      <w:pPr>
        <w:keepNext/>
        <w:widowControl w:val="0"/>
      </w:pPr>
    </w:p>
    <w:p w:rsidR="006E619A" w:rsidRPr="00F57E99" w:rsidRDefault="006E619A" w:rsidP="00F57E99">
      <w:pPr>
        <w:pStyle w:val="Prrafodelista"/>
        <w:keepNext/>
        <w:widowControl w:val="0"/>
        <w:ind w:left="0"/>
        <w:rPr>
          <w:sz w:val="20"/>
          <w:szCs w:val="20"/>
        </w:rPr>
      </w:pPr>
      <w:r w:rsidRPr="00F57E99">
        <w:rPr>
          <w:sz w:val="20"/>
          <w:szCs w:val="20"/>
        </w:rPr>
        <w:t>CLC</w:t>
      </w:r>
    </w:p>
    <w:p w:rsidR="00330403" w:rsidRDefault="00330403" w:rsidP="00F57E99">
      <w:pPr>
        <w:keepNext/>
        <w:widowControl w:val="0"/>
        <w:rPr>
          <w:sz w:val="20"/>
          <w:szCs w:val="20"/>
        </w:rPr>
      </w:pPr>
    </w:p>
    <w:p w:rsidR="00330403" w:rsidRDefault="00330403" w:rsidP="00F57E99">
      <w:pPr>
        <w:keepNext/>
        <w:widowControl w:val="0"/>
        <w:rPr>
          <w:sz w:val="20"/>
          <w:szCs w:val="20"/>
        </w:rPr>
      </w:pPr>
    </w:p>
    <w:p w:rsidR="00330403" w:rsidRDefault="00330403" w:rsidP="00F57E99">
      <w:pPr>
        <w:keepNext/>
        <w:widowControl w:val="0"/>
        <w:rPr>
          <w:sz w:val="20"/>
          <w:szCs w:val="20"/>
        </w:rPr>
      </w:pPr>
    </w:p>
    <w:p w:rsidR="00330403" w:rsidRDefault="00330403" w:rsidP="00F57E99">
      <w:pPr>
        <w:keepNext/>
        <w:widowControl w:val="0"/>
        <w:rPr>
          <w:sz w:val="20"/>
          <w:szCs w:val="20"/>
        </w:rPr>
      </w:pPr>
    </w:p>
    <w:p w:rsidR="00330403" w:rsidRDefault="00330403" w:rsidP="00F57E99">
      <w:pPr>
        <w:keepNext/>
        <w:widowControl w:val="0"/>
        <w:rPr>
          <w:sz w:val="20"/>
          <w:szCs w:val="20"/>
        </w:rPr>
      </w:pPr>
    </w:p>
    <w:p w:rsidR="00330403" w:rsidRDefault="00330403" w:rsidP="00F57E99">
      <w:pPr>
        <w:keepNext/>
        <w:widowControl w:val="0"/>
        <w:rPr>
          <w:sz w:val="20"/>
          <w:szCs w:val="20"/>
        </w:rPr>
      </w:pPr>
    </w:p>
    <w:p w:rsidR="00330403" w:rsidRDefault="00330403" w:rsidP="00F57E99">
      <w:pPr>
        <w:keepNext/>
        <w:widowControl w:val="0"/>
        <w:rPr>
          <w:sz w:val="20"/>
          <w:szCs w:val="20"/>
        </w:rPr>
      </w:pPr>
    </w:p>
    <w:p w:rsidR="00330403" w:rsidRDefault="00330403" w:rsidP="00F57E99">
      <w:pPr>
        <w:keepNext/>
        <w:widowControl w:val="0"/>
        <w:rPr>
          <w:sz w:val="20"/>
          <w:szCs w:val="20"/>
        </w:rPr>
      </w:pPr>
    </w:p>
    <w:p w:rsidR="00330403" w:rsidRDefault="00330403" w:rsidP="00F57E99">
      <w:pPr>
        <w:keepNext/>
        <w:widowControl w:val="0"/>
        <w:tabs>
          <w:tab w:val="center" w:pos="4253"/>
        </w:tabs>
        <w:spacing w:line="360" w:lineRule="auto"/>
        <w:mirrorIndents/>
        <w:jc w:val="center"/>
        <w:rPr>
          <w:rFonts w:cs="Arial"/>
          <w:b/>
          <w:lang w:val="es-ES_tradnl"/>
        </w:rPr>
      </w:pPr>
      <w:r w:rsidRPr="007B2143">
        <w:rPr>
          <w:rFonts w:cs="Arial"/>
          <w:b/>
          <w:lang w:val="es-ES_tradnl"/>
        </w:rPr>
        <w:lastRenderedPageBreak/>
        <w:t>DICTAMEN</w:t>
      </w:r>
    </w:p>
    <w:p w:rsidR="00330403" w:rsidRPr="007B2143" w:rsidRDefault="00330403" w:rsidP="00F57E99">
      <w:pPr>
        <w:keepNext/>
        <w:widowControl w:val="0"/>
        <w:tabs>
          <w:tab w:val="center" w:pos="4253"/>
        </w:tabs>
        <w:spacing w:line="360" w:lineRule="auto"/>
        <w:mirrorIndents/>
        <w:jc w:val="center"/>
        <w:rPr>
          <w:rFonts w:cs="Arial"/>
          <w:b/>
          <w:lang w:val="es-ES_tradnl"/>
        </w:rPr>
      </w:pPr>
    </w:p>
    <w:p w:rsidR="00330403" w:rsidRPr="00A15DE4" w:rsidRDefault="00330403" w:rsidP="00F57E99">
      <w:pPr>
        <w:pStyle w:val="Textoindependiente"/>
        <w:keepNext/>
        <w:widowControl w:val="0"/>
        <w:suppressAutoHyphens w:val="0"/>
        <w:spacing w:after="0" w:line="360" w:lineRule="auto"/>
        <w:rPr>
          <w:rFonts w:cs="Arial"/>
          <w:kern w:val="0"/>
          <w:szCs w:val="24"/>
          <w:lang w:val="x-none" w:eastAsia="es-ES"/>
        </w:rPr>
      </w:pPr>
      <w:r w:rsidRPr="00A15DE4">
        <w:rPr>
          <w:rFonts w:cs="Arial"/>
          <w:szCs w:val="24"/>
        </w:rPr>
        <w:t xml:space="preserve">     </w:t>
      </w:r>
      <w:r w:rsidRPr="00A15DE4">
        <w:rPr>
          <w:rFonts w:cs="Arial"/>
          <w:kern w:val="0"/>
          <w:szCs w:val="24"/>
          <w:lang w:val="x-none" w:eastAsia="es-ES"/>
        </w:rPr>
        <w:t xml:space="preserve">    El Tribunal de Cuentas ha examinado la Rendición de Cuentas y el Balance de Ejecución Presupuestal de la Intendencia de </w:t>
      </w:r>
      <w:r w:rsidRPr="00A15DE4">
        <w:rPr>
          <w:rFonts w:cs="Arial"/>
          <w:kern w:val="0"/>
          <w:szCs w:val="24"/>
          <w:lang w:val="es-ES" w:eastAsia="es-ES"/>
        </w:rPr>
        <w:t xml:space="preserve">San José </w:t>
      </w:r>
      <w:r w:rsidRPr="00A15DE4">
        <w:rPr>
          <w:rFonts w:cs="Arial"/>
          <w:kern w:val="0"/>
          <w:szCs w:val="24"/>
          <w:lang w:val="x-none" w:eastAsia="es-ES"/>
        </w:rPr>
        <w:t xml:space="preserve"> correspondiente al ejercicio 2016, que incluye los siguientes estados: de Ejecución Presupuestal con relación a los Créditos y a los Recursos, Resultado del Ejercicio, Resultado Acumulado y otros estados complementarios.</w:t>
      </w:r>
    </w:p>
    <w:p w:rsidR="00330403" w:rsidRPr="00A15DE4" w:rsidRDefault="00330403" w:rsidP="00F57E99">
      <w:pPr>
        <w:keepNext/>
        <w:widowControl w:val="0"/>
        <w:spacing w:line="360" w:lineRule="auto"/>
        <w:jc w:val="both"/>
        <w:rPr>
          <w:rFonts w:cs="Arial"/>
          <w:lang w:val="x-none"/>
        </w:rPr>
      </w:pPr>
      <w:r w:rsidRPr="00A15DE4">
        <w:rPr>
          <w:rFonts w:cs="Arial"/>
          <w:lang w:val="x-none"/>
        </w:rPr>
        <w:t>También se presentan, en caso de corresponder, los incumplimientos legales constatados por el Tribunal de Cuentas en el curso de la auditoría efectuada.</w:t>
      </w:r>
    </w:p>
    <w:p w:rsidR="00330403" w:rsidRPr="00A15DE4" w:rsidRDefault="00330403" w:rsidP="00F57E99">
      <w:pPr>
        <w:pStyle w:val="Subttulo"/>
        <w:keepNext/>
        <w:widowControl w:val="0"/>
        <w:suppressAutoHyphens w:val="0"/>
        <w:mirrorIndents/>
        <w:rPr>
          <w:rFonts w:ascii="Arial" w:hAnsi="Arial" w:cs="Arial"/>
          <w:b w:val="0"/>
          <w:color w:val="FF0000"/>
          <w:szCs w:val="24"/>
          <w:lang w:val="x-none"/>
        </w:rPr>
      </w:pPr>
    </w:p>
    <w:p w:rsidR="00330403" w:rsidRPr="00A15DE4" w:rsidRDefault="00330403" w:rsidP="00F57E99">
      <w:pPr>
        <w:pStyle w:val="Subttulo"/>
        <w:keepNext/>
        <w:widowControl w:val="0"/>
        <w:suppressAutoHyphens w:val="0"/>
        <w:mirrorIndents/>
        <w:rPr>
          <w:rFonts w:ascii="Arial" w:hAnsi="Arial" w:cs="Arial"/>
          <w:bCs/>
          <w:szCs w:val="24"/>
        </w:rPr>
      </w:pPr>
      <w:r w:rsidRPr="00A15DE4">
        <w:rPr>
          <w:rFonts w:ascii="Arial" w:hAnsi="Arial" w:cs="Arial"/>
          <w:bCs/>
          <w:szCs w:val="24"/>
        </w:rPr>
        <w:t>Responsabilidad de la Intendencia</w:t>
      </w:r>
    </w:p>
    <w:p w:rsidR="00330403" w:rsidRPr="00A15DE4" w:rsidRDefault="00330403" w:rsidP="00F57E99">
      <w:pPr>
        <w:pStyle w:val="Subttulo"/>
        <w:keepNext/>
        <w:widowControl w:val="0"/>
        <w:suppressAutoHyphens w:val="0"/>
        <w:mirrorIndents/>
        <w:rPr>
          <w:rFonts w:ascii="Arial" w:hAnsi="Arial" w:cs="Arial"/>
          <w:b w:val="0"/>
          <w:szCs w:val="24"/>
        </w:rPr>
      </w:pPr>
      <w:r w:rsidRPr="00A15DE4">
        <w:rPr>
          <w:rFonts w:ascii="Arial" w:hAnsi="Arial" w:cs="Arial"/>
          <w:b w:val="0"/>
          <w:szCs w:val="24"/>
        </w:rPr>
        <w:t xml:space="preserve">     La Intendencia 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330403" w:rsidRPr="00A15DE4" w:rsidRDefault="00330403" w:rsidP="00F57E99">
      <w:pPr>
        <w:pStyle w:val="Subttulo"/>
        <w:keepNext/>
        <w:widowControl w:val="0"/>
        <w:suppressAutoHyphens w:val="0"/>
        <w:mirrorIndents/>
        <w:rPr>
          <w:rFonts w:ascii="Arial" w:hAnsi="Arial" w:cs="Arial"/>
          <w:b w:val="0"/>
          <w:szCs w:val="24"/>
        </w:rPr>
      </w:pPr>
    </w:p>
    <w:p w:rsidR="00330403" w:rsidRPr="00A15DE4" w:rsidRDefault="00330403" w:rsidP="00F57E99">
      <w:pPr>
        <w:pStyle w:val="Subttulo"/>
        <w:keepNext/>
        <w:widowControl w:val="0"/>
        <w:suppressAutoHyphens w:val="0"/>
        <w:mirrorIndents/>
        <w:rPr>
          <w:rFonts w:ascii="Arial" w:hAnsi="Arial" w:cs="Arial"/>
          <w:bCs/>
          <w:szCs w:val="24"/>
        </w:rPr>
      </w:pPr>
      <w:r w:rsidRPr="00A15DE4">
        <w:rPr>
          <w:rFonts w:ascii="Arial" w:hAnsi="Arial" w:cs="Arial"/>
          <w:bCs/>
          <w:szCs w:val="24"/>
        </w:rPr>
        <w:t>Responsabilidad del auditor</w:t>
      </w:r>
    </w:p>
    <w:p w:rsidR="00330403" w:rsidRDefault="00330403" w:rsidP="00F57E99">
      <w:pPr>
        <w:keepNext/>
        <w:widowControl w:val="0"/>
        <w:spacing w:line="360" w:lineRule="auto"/>
        <w:ind w:firstLine="426"/>
        <w:mirrorIndents/>
        <w:jc w:val="both"/>
        <w:rPr>
          <w:rFonts w:eastAsia="Calibri" w:cs="Arial"/>
          <w:lang w:val="es-UY" w:eastAsia="en-US"/>
        </w:rPr>
      </w:pPr>
      <w:r w:rsidRPr="00A15DE4">
        <w:rPr>
          <w:rFonts w:eastAsia="Calibri" w:cs="Arial"/>
          <w:lang w:val="es-UY" w:eastAsia="en-U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F57E99" w:rsidRDefault="00F57E99" w:rsidP="00F57E99">
      <w:pPr>
        <w:keepNext/>
        <w:widowControl w:val="0"/>
        <w:spacing w:line="360" w:lineRule="auto"/>
        <w:ind w:firstLine="426"/>
        <w:mirrorIndents/>
        <w:jc w:val="both"/>
        <w:rPr>
          <w:rFonts w:eastAsia="Calibri" w:cs="Arial"/>
          <w:lang w:val="es-UY" w:eastAsia="en-US"/>
        </w:rPr>
      </w:pPr>
    </w:p>
    <w:p w:rsidR="00C8259A" w:rsidRPr="00A15DE4" w:rsidRDefault="00C8259A" w:rsidP="00F57E99">
      <w:pPr>
        <w:keepNext/>
        <w:widowControl w:val="0"/>
        <w:spacing w:line="360" w:lineRule="auto"/>
        <w:ind w:firstLine="426"/>
        <w:mirrorIndents/>
        <w:jc w:val="both"/>
        <w:rPr>
          <w:rFonts w:eastAsia="Calibri" w:cs="Arial"/>
          <w:lang w:val="es-UY" w:eastAsia="en-US"/>
        </w:rPr>
      </w:pPr>
    </w:p>
    <w:p w:rsidR="00330403" w:rsidRPr="00A15DE4" w:rsidRDefault="00330403" w:rsidP="00F57E99">
      <w:pPr>
        <w:keepNext/>
        <w:widowControl w:val="0"/>
        <w:spacing w:line="360" w:lineRule="auto"/>
        <w:mirrorIndents/>
        <w:jc w:val="both"/>
        <w:rPr>
          <w:rFonts w:eastAsia="Calibri" w:cs="Arial"/>
          <w:lang w:val="es-UY" w:eastAsia="en-US"/>
        </w:rPr>
      </w:pPr>
      <w:r w:rsidRPr="00A15DE4">
        <w:rPr>
          <w:rFonts w:eastAsia="Calibri" w:cs="Arial"/>
          <w:lang w:val="es-UY" w:eastAsia="en-US"/>
        </w:rPr>
        <w:t xml:space="preserve">     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330403" w:rsidRDefault="00330403" w:rsidP="00F57E99">
      <w:pPr>
        <w:keepNext/>
        <w:widowControl w:val="0"/>
        <w:spacing w:line="360" w:lineRule="auto"/>
        <w:mirrorIndents/>
        <w:jc w:val="both"/>
        <w:rPr>
          <w:rFonts w:eastAsia="Calibri" w:cs="Arial"/>
          <w:lang w:val="es-UY" w:eastAsia="en-US"/>
        </w:rPr>
      </w:pPr>
      <w:r w:rsidRPr="00A15DE4">
        <w:rPr>
          <w:rFonts w:eastAsia="Calibri" w:cs="Arial"/>
          <w:lang w:val="es-UY" w:eastAsia="en-US"/>
        </w:rPr>
        <w:t xml:space="preserve">     Se considera que la evidencia de auditoría obtenida brinda una base suficiente y apropiada para sustentar la opinión.</w:t>
      </w:r>
    </w:p>
    <w:p w:rsidR="00330403" w:rsidRPr="00A15DE4" w:rsidRDefault="00330403" w:rsidP="00F57E99">
      <w:pPr>
        <w:pStyle w:val="Textoindependiente"/>
        <w:keepNext/>
        <w:widowControl w:val="0"/>
        <w:suppressAutoHyphens w:val="0"/>
        <w:spacing w:after="0" w:line="360" w:lineRule="auto"/>
        <w:mirrorIndents/>
        <w:rPr>
          <w:rFonts w:cs="Arial"/>
          <w:b/>
          <w:bCs/>
          <w:kern w:val="0"/>
          <w:szCs w:val="24"/>
          <w:lang w:val="es-ES"/>
        </w:rPr>
      </w:pPr>
      <w:r w:rsidRPr="00A15DE4">
        <w:rPr>
          <w:rFonts w:cs="Arial"/>
          <w:b/>
          <w:bCs/>
          <w:kern w:val="0"/>
          <w:szCs w:val="24"/>
          <w:lang w:val="es-ES"/>
        </w:rPr>
        <w:t>Opinión</w:t>
      </w:r>
    </w:p>
    <w:p w:rsidR="00330403" w:rsidRDefault="00330403" w:rsidP="00F57E99">
      <w:pPr>
        <w:pStyle w:val="Textoindependiente"/>
        <w:keepNext/>
        <w:widowControl w:val="0"/>
        <w:suppressAutoHyphens w:val="0"/>
        <w:spacing w:after="0" w:line="360" w:lineRule="auto"/>
        <w:rPr>
          <w:rFonts w:cs="Arial"/>
        </w:rPr>
      </w:pPr>
      <w:r w:rsidRPr="00A15DE4">
        <w:rPr>
          <w:rFonts w:cs="Arial"/>
          <w:szCs w:val="24"/>
        </w:rPr>
        <w:t xml:space="preserve">     </w:t>
      </w:r>
      <w:r w:rsidRPr="00A15DE4">
        <w:rPr>
          <w:rFonts w:cs="Arial"/>
          <w:kern w:val="0"/>
          <w:szCs w:val="24"/>
          <w:lang w:val="x-none" w:eastAsia="es-ES"/>
        </w:rPr>
        <w:t xml:space="preserve">     En opinión del Tribunal de Cuentas, los estados mencionados presentan razonablemente, en todos sus aspectos importantes, </w:t>
      </w:r>
      <w:r w:rsidRPr="00B475B9">
        <w:rPr>
          <w:rFonts w:cs="Arial"/>
        </w:rPr>
        <w:t>la ejecución presupuestal</w:t>
      </w:r>
      <w:r>
        <w:rPr>
          <w:rFonts w:cs="Arial"/>
        </w:rPr>
        <w:t xml:space="preserve"> de los recursos y de los créditos, </w:t>
      </w:r>
      <w:r w:rsidRPr="00A15DE4">
        <w:rPr>
          <w:rFonts w:cs="Arial"/>
          <w:kern w:val="0"/>
          <w:szCs w:val="24"/>
          <w:lang w:val="x-none" w:eastAsia="es-ES"/>
        </w:rPr>
        <w:t>el resultado del ejercicio y el</w:t>
      </w:r>
      <w:r>
        <w:rPr>
          <w:rFonts w:cs="Arial"/>
          <w:kern w:val="0"/>
          <w:szCs w:val="24"/>
          <w:lang w:val="x-none" w:eastAsia="es-ES"/>
        </w:rPr>
        <w:t xml:space="preserve"> resultado acumulado </w:t>
      </w:r>
      <w:r>
        <w:rPr>
          <w:rFonts w:cs="Arial"/>
          <w:kern w:val="0"/>
          <w:szCs w:val="24"/>
          <w:lang w:val="es-ES" w:eastAsia="es-ES"/>
        </w:rPr>
        <w:t xml:space="preserve">por el ejercicio </w:t>
      </w:r>
      <w:r w:rsidRPr="00B475B9">
        <w:rPr>
          <w:rFonts w:cs="Arial"/>
        </w:rPr>
        <w:t>finalizado el 31/12/201</w:t>
      </w:r>
      <w:r>
        <w:rPr>
          <w:rFonts w:cs="Arial"/>
        </w:rPr>
        <w:t>6</w:t>
      </w:r>
      <w:r w:rsidRPr="00B475B9">
        <w:rPr>
          <w:rFonts w:cs="Arial"/>
        </w:rPr>
        <w:t xml:space="preserve">, de acuerdo a las normas establecidas en el TOCAF y </w:t>
      </w:r>
      <w:smartTag w:uri="urn:schemas-microsoft-com:office:smarttags" w:element="PersonName">
        <w:smartTagPr>
          <w:attr w:name="ProductID" w:val="la Resoluci￳n"/>
        </w:smartTagPr>
        <w:r w:rsidRPr="00B475B9">
          <w:rPr>
            <w:rFonts w:cs="Arial"/>
          </w:rPr>
          <w:t>la Resolución</w:t>
        </w:r>
      </w:smartTag>
      <w:r w:rsidRPr="00B475B9">
        <w:rPr>
          <w:rFonts w:cs="Arial"/>
        </w:rPr>
        <w:t xml:space="preserve"> de este Cuerpo de fecha 28/01/04.</w:t>
      </w:r>
    </w:p>
    <w:p w:rsidR="00330403" w:rsidRPr="00A15DE4" w:rsidRDefault="00330403" w:rsidP="00F57E99">
      <w:pPr>
        <w:keepNext/>
        <w:widowControl w:val="0"/>
        <w:spacing w:line="360" w:lineRule="auto"/>
        <w:mirrorIndents/>
        <w:rPr>
          <w:rFonts w:cs="Arial"/>
        </w:rPr>
      </w:pPr>
      <w:r w:rsidRPr="00A15DE4">
        <w:rPr>
          <w:rFonts w:cs="Arial"/>
        </w:rPr>
        <w:t xml:space="preserve">     Con relación al cumplimiento de la normativa vigente, en el transcurso de la auditoría realizada, se ha constatado que:</w:t>
      </w:r>
    </w:p>
    <w:p w:rsidR="00330403" w:rsidRPr="00A15DE4" w:rsidRDefault="00330403" w:rsidP="00F57E99">
      <w:pPr>
        <w:keepNext/>
        <w:widowControl w:val="0"/>
        <w:numPr>
          <w:ilvl w:val="0"/>
          <w:numId w:val="2"/>
        </w:numPr>
        <w:tabs>
          <w:tab w:val="clear" w:pos="786"/>
          <w:tab w:val="num" w:pos="0"/>
          <w:tab w:val="left" w:pos="142"/>
          <w:tab w:val="num" w:pos="284"/>
          <w:tab w:val="num" w:pos="426"/>
          <w:tab w:val="center" w:pos="567"/>
        </w:tabs>
        <w:spacing w:line="360" w:lineRule="auto"/>
        <w:ind w:left="0" w:firstLine="0"/>
        <w:mirrorIndents/>
        <w:jc w:val="both"/>
        <w:rPr>
          <w:rFonts w:cs="Arial"/>
        </w:rPr>
      </w:pPr>
      <w:r w:rsidRPr="00A15DE4">
        <w:rPr>
          <w:rFonts w:cs="Arial"/>
          <w:b/>
        </w:rPr>
        <w:t>Artículo 94 del TOCAF y Ordenanza N° 81 del Tribunal de Cuentas:</w:t>
      </w:r>
      <w:r w:rsidRPr="00A15DE4">
        <w:rPr>
          <w:rFonts w:cs="Arial"/>
        </w:rPr>
        <w:t xml:space="preserve"> La Intendencia no cuenta con un sistema de contabilidad patrimonial que le permita cumplir con lo establecido por dichas normas.</w:t>
      </w:r>
    </w:p>
    <w:p w:rsidR="00330403" w:rsidRPr="00A15DE4" w:rsidRDefault="00330403" w:rsidP="00F57E99">
      <w:pPr>
        <w:keepNext/>
        <w:widowControl w:val="0"/>
        <w:numPr>
          <w:ilvl w:val="0"/>
          <w:numId w:val="2"/>
        </w:numPr>
        <w:tabs>
          <w:tab w:val="clear" w:pos="786"/>
          <w:tab w:val="num" w:pos="0"/>
          <w:tab w:val="left" w:pos="142"/>
          <w:tab w:val="num" w:pos="284"/>
          <w:tab w:val="num" w:pos="426"/>
          <w:tab w:val="center" w:pos="567"/>
        </w:tabs>
        <w:spacing w:line="360" w:lineRule="auto"/>
        <w:ind w:left="0" w:firstLine="0"/>
        <w:mirrorIndents/>
        <w:jc w:val="both"/>
        <w:rPr>
          <w:rFonts w:cs="Arial"/>
        </w:rPr>
      </w:pPr>
      <w:r w:rsidRPr="00A15DE4">
        <w:rPr>
          <w:rFonts w:cs="Arial"/>
          <w:b/>
        </w:rPr>
        <w:t>Artículos 84 y 97 del TOCAF</w:t>
      </w:r>
      <w:r w:rsidRPr="00A15DE4">
        <w:rPr>
          <w:rFonts w:cs="Arial"/>
          <w:b/>
          <w:bCs/>
        </w:rPr>
        <w:t xml:space="preserve">: </w:t>
      </w:r>
      <w:r w:rsidRPr="00A15DE4">
        <w:rPr>
          <w:rFonts w:cs="Arial"/>
        </w:rPr>
        <w:t>Si bien varias de las incorporaciones efectuadas en el 2016 se incluyen en el inventario con su respectivo costo y fecha de incorporación, no todos los bienes se encuentran valuados ni se identif</w:t>
      </w:r>
      <w:r w:rsidR="00F57E99">
        <w:rPr>
          <w:rFonts w:cs="Arial"/>
        </w:rPr>
        <w:t>ica su fecha de incorporación.</w:t>
      </w:r>
    </w:p>
    <w:p w:rsidR="00330403" w:rsidRPr="00A15DE4" w:rsidRDefault="00330403" w:rsidP="00F57E99">
      <w:pPr>
        <w:keepNext/>
        <w:widowControl w:val="0"/>
        <w:numPr>
          <w:ilvl w:val="0"/>
          <w:numId w:val="2"/>
        </w:numPr>
        <w:tabs>
          <w:tab w:val="num" w:pos="0"/>
          <w:tab w:val="left" w:pos="142"/>
          <w:tab w:val="left" w:pos="284"/>
          <w:tab w:val="center" w:pos="426"/>
        </w:tabs>
        <w:spacing w:line="360" w:lineRule="auto"/>
        <w:ind w:left="0" w:firstLine="0"/>
        <w:mirrorIndents/>
        <w:jc w:val="both"/>
        <w:rPr>
          <w:rFonts w:cs="Arial"/>
        </w:rPr>
      </w:pPr>
      <w:r w:rsidRPr="00A15DE4">
        <w:rPr>
          <w:rFonts w:cs="Arial"/>
          <w:b/>
        </w:rPr>
        <w:t xml:space="preserve">Artículo 128 Numeral 1) del TOCAF y Resolución del 28/01/04 del Tribunal de Cuentas: </w:t>
      </w:r>
      <w:r w:rsidRPr="00A15DE4">
        <w:rPr>
          <w:rFonts w:cs="Arial"/>
        </w:rPr>
        <w:t>En el estado demostrativo del grado de cumplimiento de los objetivos y metas programadas, no se incluyeron, para la totalidad de las obras, las metas previstas y las alcanzadas en unidades físicas y los costos previstos y los resultantes.</w:t>
      </w:r>
    </w:p>
    <w:p w:rsidR="00330403" w:rsidRPr="00A15DE4" w:rsidRDefault="00330403" w:rsidP="00F57E99">
      <w:pPr>
        <w:keepNext/>
        <w:widowControl w:val="0"/>
        <w:numPr>
          <w:ilvl w:val="0"/>
          <w:numId w:val="2"/>
        </w:numPr>
        <w:tabs>
          <w:tab w:val="num" w:pos="0"/>
          <w:tab w:val="left" w:pos="142"/>
          <w:tab w:val="left" w:pos="284"/>
          <w:tab w:val="center" w:pos="426"/>
        </w:tabs>
        <w:spacing w:line="360" w:lineRule="auto"/>
        <w:ind w:left="0" w:firstLine="0"/>
        <w:mirrorIndents/>
        <w:jc w:val="both"/>
        <w:rPr>
          <w:rFonts w:cs="Arial"/>
        </w:rPr>
      </w:pPr>
      <w:r w:rsidRPr="00A15DE4">
        <w:rPr>
          <w:rFonts w:cs="Arial"/>
          <w:b/>
          <w:color w:val="000000"/>
        </w:rPr>
        <w:t>Artículo 7 de la Ley N° 16.002:</w:t>
      </w:r>
      <w:r w:rsidRPr="00A15DE4">
        <w:rPr>
          <w:rFonts w:cs="Arial"/>
          <w:color w:val="000000"/>
        </w:rPr>
        <w:t xml:space="preserve"> No se dio cumplimiento a la norma que establece que los funcionarios públicos, que se desempeñen en régimen de dedicación total, no podrán percibir retribución adicional por trabajo en horas extras.</w:t>
      </w:r>
    </w:p>
    <w:p w:rsidR="00330403" w:rsidRPr="00A15DE4" w:rsidRDefault="00330403" w:rsidP="00F57E99">
      <w:pPr>
        <w:keepNext/>
        <w:widowControl w:val="0"/>
        <w:numPr>
          <w:ilvl w:val="0"/>
          <w:numId w:val="2"/>
        </w:numPr>
        <w:tabs>
          <w:tab w:val="clear" w:pos="786"/>
          <w:tab w:val="num" w:pos="0"/>
          <w:tab w:val="left" w:pos="142"/>
          <w:tab w:val="left" w:pos="284"/>
          <w:tab w:val="left" w:pos="426"/>
          <w:tab w:val="center" w:pos="567"/>
        </w:tabs>
        <w:spacing w:line="360" w:lineRule="auto"/>
        <w:ind w:left="0" w:firstLine="0"/>
        <w:mirrorIndents/>
        <w:jc w:val="both"/>
        <w:rPr>
          <w:rFonts w:cs="Arial"/>
        </w:rPr>
      </w:pPr>
      <w:r w:rsidRPr="00A15DE4">
        <w:rPr>
          <w:rFonts w:cs="Arial"/>
          <w:b/>
        </w:rPr>
        <w:t xml:space="preserve">Artículo 49 de la Ley N° 18.651: </w:t>
      </w:r>
      <w:r w:rsidRPr="00A15DE4">
        <w:rPr>
          <w:rFonts w:eastAsia="Calibri" w:cs="Arial"/>
          <w:lang w:val="es-UY" w:eastAsia="en-US"/>
        </w:rPr>
        <w:t>En el ejercicio 2016 no se dio cumplimiento a lo dispuesto en esta norma al no haber contratado personas con discapacidad e</w:t>
      </w:r>
      <w:r w:rsidRPr="00A15DE4">
        <w:rPr>
          <w:rFonts w:eastAsia="Calibri" w:cs="Arial"/>
          <w:lang w:eastAsia="en-US"/>
        </w:rPr>
        <w:t>n una proporción mínima no inferior al 4% (cuatro por ciento) de sus vacantes.</w:t>
      </w:r>
    </w:p>
    <w:p w:rsidR="00330403" w:rsidRPr="00A15DE4" w:rsidRDefault="00330403" w:rsidP="00F57E99">
      <w:pPr>
        <w:keepNext/>
        <w:widowControl w:val="0"/>
        <w:numPr>
          <w:ilvl w:val="0"/>
          <w:numId w:val="2"/>
        </w:numPr>
        <w:tabs>
          <w:tab w:val="clear" w:pos="786"/>
          <w:tab w:val="num" w:pos="0"/>
          <w:tab w:val="left" w:pos="142"/>
          <w:tab w:val="left" w:pos="284"/>
          <w:tab w:val="center" w:pos="426"/>
          <w:tab w:val="left" w:pos="709"/>
        </w:tabs>
        <w:spacing w:line="360" w:lineRule="auto"/>
        <w:ind w:left="0" w:firstLine="0"/>
        <w:mirrorIndents/>
        <w:jc w:val="both"/>
        <w:rPr>
          <w:rFonts w:cs="Arial"/>
        </w:rPr>
      </w:pPr>
      <w:r w:rsidRPr="00A15DE4">
        <w:rPr>
          <w:rFonts w:cs="Arial"/>
          <w:b/>
          <w:bCs/>
          <w:color w:val="000000"/>
        </w:rPr>
        <w:t>Convenio Nº 30 de la OIT</w:t>
      </w:r>
      <w:r w:rsidRPr="00A15DE4">
        <w:rPr>
          <w:rFonts w:cs="Arial"/>
          <w:b/>
          <w:bCs/>
        </w:rPr>
        <w:t xml:space="preserve">: </w:t>
      </w:r>
      <w:r w:rsidRPr="00A15DE4">
        <w:rPr>
          <w:rFonts w:cs="Arial"/>
        </w:rPr>
        <w:t>Las liquidaciones de horas extras realizadas en el ejercicio 2016, en algunos casos han superado los límit</w:t>
      </w:r>
      <w:r w:rsidR="00F57E99">
        <w:rPr>
          <w:rFonts w:cs="Arial"/>
        </w:rPr>
        <w:t>es establecidos por esta norma.</w:t>
      </w:r>
    </w:p>
    <w:p w:rsidR="00330403" w:rsidRPr="00F57E99" w:rsidRDefault="00330403" w:rsidP="00F57E99">
      <w:pPr>
        <w:pStyle w:val="Prrafodelista"/>
        <w:keepNext/>
        <w:widowControl w:val="0"/>
        <w:numPr>
          <w:ilvl w:val="0"/>
          <w:numId w:val="2"/>
        </w:numPr>
        <w:tabs>
          <w:tab w:val="clear" w:pos="786"/>
          <w:tab w:val="num" w:pos="0"/>
          <w:tab w:val="left" w:pos="142"/>
          <w:tab w:val="left" w:pos="284"/>
          <w:tab w:val="left" w:pos="426"/>
          <w:tab w:val="left" w:pos="851"/>
        </w:tabs>
        <w:spacing w:line="360" w:lineRule="auto"/>
        <w:ind w:left="0" w:firstLine="0"/>
        <w:mirrorIndents/>
        <w:jc w:val="both"/>
        <w:rPr>
          <w:rFonts w:cs="Arial"/>
        </w:rPr>
      </w:pPr>
      <w:r w:rsidRPr="00A15DE4">
        <w:rPr>
          <w:rFonts w:cs="Arial"/>
          <w:b/>
          <w:kern w:val="18"/>
        </w:rPr>
        <w:t xml:space="preserve">Artículo 13 Numeral 18 de la Ley N° 19.272: </w:t>
      </w:r>
      <w:r w:rsidRPr="00A15DE4">
        <w:rPr>
          <w:rFonts w:cs="Arial"/>
          <w:kern w:val="18"/>
        </w:rPr>
        <w:t>Los Municipios no realizaron la Rendición de Cuentas ante el Gobierno Departamental correspondiente al ejercicio 2016.</w:t>
      </w:r>
    </w:p>
    <w:p w:rsidR="00F57E99" w:rsidRDefault="00F57E99" w:rsidP="00F57E99">
      <w:pPr>
        <w:keepNext/>
        <w:widowControl w:val="0"/>
        <w:tabs>
          <w:tab w:val="num" w:pos="0"/>
          <w:tab w:val="left" w:pos="142"/>
          <w:tab w:val="left" w:pos="284"/>
          <w:tab w:val="left" w:pos="426"/>
          <w:tab w:val="left" w:pos="851"/>
        </w:tabs>
        <w:spacing w:line="360" w:lineRule="auto"/>
        <w:mirrorIndents/>
        <w:jc w:val="both"/>
        <w:rPr>
          <w:rFonts w:cs="Arial"/>
        </w:rPr>
      </w:pPr>
    </w:p>
    <w:p w:rsidR="00330403" w:rsidRPr="00A15DE4" w:rsidRDefault="00330403" w:rsidP="00F57E99">
      <w:pPr>
        <w:keepNext/>
        <w:widowControl w:val="0"/>
        <w:tabs>
          <w:tab w:val="num" w:pos="0"/>
          <w:tab w:val="left" w:pos="142"/>
          <w:tab w:val="center" w:pos="426"/>
          <w:tab w:val="left" w:pos="851"/>
          <w:tab w:val="left" w:pos="993"/>
        </w:tabs>
        <w:spacing w:line="360" w:lineRule="auto"/>
        <w:mirrorIndents/>
        <w:jc w:val="both"/>
        <w:rPr>
          <w:rFonts w:cs="Arial"/>
          <w:bCs/>
          <w:highlight w:val="yellow"/>
        </w:rPr>
      </w:pPr>
      <w:r w:rsidRPr="00A15DE4">
        <w:rPr>
          <w:rFonts w:cs="Arial"/>
        </w:rPr>
        <w:t xml:space="preserve">Asimismo, durante el ejercicio, el Tribunal de Cuentas observó gastos, los que fueron reiterados por el ordenador y puestos oportunamente en conocimiento de la Junta Departamental por contravenir las siguientes normas: </w:t>
      </w:r>
      <w:r w:rsidRPr="00A15DE4">
        <w:rPr>
          <w:rFonts w:cs="Arial"/>
          <w:lang w:val="es-MX"/>
        </w:rPr>
        <w:t>Artículos 15  y L</w:t>
      </w:r>
      <w:r w:rsidRPr="00A15DE4">
        <w:rPr>
          <w:rFonts w:cs="Arial"/>
          <w:bCs/>
          <w:lang w:val="es-MX"/>
        </w:rPr>
        <w:t xml:space="preserve">iteral C) del Artículo 48 </w:t>
      </w:r>
      <w:r w:rsidRPr="00A15DE4">
        <w:rPr>
          <w:rFonts w:cs="Arial"/>
          <w:lang w:val="es-MX"/>
        </w:rPr>
        <w:t>del TOCAF y Ley N° 18.083.</w:t>
      </w:r>
    </w:p>
    <w:p w:rsidR="00330403" w:rsidRDefault="00330403" w:rsidP="00F57E99">
      <w:pPr>
        <w:keepNext/>
        <w:widowControl w:val="0"/>
        <w:tabs>
          <w:tab w:val="left" w:pos="5325"/>
          <w:tab w:val="right" w:pos="9070"/>
        </w:tabs>
        <w:spacing w:line="360" w:lineRule="auto"/>
        <w:mirrorIndents/>
        <w:jc w:val="right"/>
        <w:rPr>
          <w:rFonts w:cs="Arial"/>
        </w:rPr>
      </w:pPr>
      <w:r w:rsidRPr="00A15DE4">
        <w:rPr>
          <w:rFonts w:cs="Arial"/>
        </w:rPr>
        <w:t>Mont</w:t>
      </w:r>
      <w:r w:rsidR="00F57E99">
        <w:rPr>
          <w:rFonts w:cs="Arial"/>
        </w:rPr>
        <w:t>evideo, 12 de setiembre de 2017</w:t>
      </w:r>
    </w:p>
    <w:p w:rsidR="00330403" w:rsidRPr="00A15DE4" w:rsidRDefault="00330403" w:rsidP="00F57E99">
      <w:pPr>
        <w:keepNext/>
        <w:widowControl w:val="0"/>
        <w:autoSpaceDE w:val="0"/>
        <w:autoSpaceDN w:val="0"/>
        <w:adjustRightInd w:val="0"/>
        <w:spacing w:line="360" w:lineRule="auto"/>
        <w:mirrorIndents/>
        <w:jc w:val="both"/>
        <w:rPr>
          <w:rFonts w:cs="Arial"/>
        </w:rPr>
      </w:pPr>
    </w:p>
    <w:p w:rsidR="00330403" w:rsidRDefault="00330403" w:rsidP="00F57E99">
      <w:pPr>
        <w:keepNext/>
        <w:widowControl w:val="0"/>
        <w:tabs>
          <w:tab w:val="left" w:pos="426"/>
        </w:tabs>
        <w:spacing w:line="360" w:lineRule="auto"/>
        <w:mirrorIndents/>
        <w:jc w:val="right"/>
        <w:rPr>
          <w:rFonts w:cs="Arial"/>
          <w:kern w:val="18"/>
        </w:rPr>
      </w:pPr>
    </w:p>
    <w:p w:rsidR="00C8259A" w:rsidRDefault="00C8259A" w:rsidP="00F57E99">
      <w:pPr>
        <w:keepNext/>
        <w:widowControl w:val="0"/>
        <w:tabs>
          <w:tab w:val="left" w:pos="426"/>
        </w:tabs>
        <w:spacing w:line="360" w:lineRule="auto"/>
        <w:mirrorIndents/>
        <w:jc w:val="right"/>
        <w:rPr>
          <w:rFonts w:cs="Arial"/>
          <w:kern w:val="18"/>
        </w:rPr>
      </w:pPr>
    </w:p>
    <w:p w:rsidR="00C8259A" w:rsidRDefault="00C8259A" w:rsidP="00F57E99">
      <w:pPr>
        <w:keepNext/>
        <w:widowControl w:val="0"/>
        <w:tabs>
          <w:tab w:val="left" w:pos="426"/>
        </w:tabs>
        <w:spacing w:line="360" w:lineRule="auto"/>
        <w:mirrorIndents/>
        <w:jc w:val="right"/>
        <w:rPr>
          <w:rFonts w:cs="Arial"/>
          <w:kern w:val="18"/>
        </w:rPr>
      </w:pPr>
    </w:p>
    <w:p w:rsidR="00C8259A" w:rsidRPr="00A15DE4" w:rsidRDefault="00C8259A" w:rsidP="00F57E99">
      <w:pPr>
        <w:keepNext/>
        <w:widowControl w:val="0"/>
        <w:tabs>
          <w:tab w:val="left" w:pos="426"/>
        </w:tabs>
        <w:spacing w:line="360" w:lineRule="auto"/>
        <w:mirrorIndents/>
        <w:jc w:val="right"/>
        <w:rPr>
          <w:rFonts w:cs="Arial"/>
          <w:kern w:val="18"/>
        </w:rPr>
      </w:pPr>
    </w:p>
    <w:p w:rsidR="00330403" w:rsidRPr="00A15DE4" w:rsidRDefault="00330403" w:rsidP="00F57E99">
      <w:pPr>
        <w:pStyle w:val="Ttulo1"/>
        <w:keepNext/>
        <w:widowControl w:val="0"/>
        <w:suppressAutoHyphens w:val="0"/>
        <w:spacing w:after="0"/>
        <w:mirrorIndents/>
        <w:jc w:val="center"/>
        <w:rPr>
          <w:rFonts w:cs="Arial"/>
          <w:szCs w:val="24"/>
        </w:rPr>
      </w:pPr>
      <w:bookmarkStart w:id="1" w:name="_Toc396901059"/>
      <w:r w:rsidRPr="00A15DE4">
        <w:rPr>
          <w:rFonts w:cs="Arial"/>
          <w:szCs w:val="24"/>
        </w:rPr>
        <w:t>INFORME A LA ADMINISTRACIÓN</w:t>
      </w:r>
      <w:bookmarkEnd w:id="1"/>
    </w:p>
    <w:p w:rsidR="00330403" w:rsidRPr="00A15DE4" w:rsidRDefault="00330403" w:rsidP="00F57E99">
      <w:pPr>
        <w:keepNext/>
        <w:widowControl w:val="0"/>
        <w:spacing w:line="360" w:lineRule="auto"/>
        <w:mirrorIndents/>
        <w:rPr>
          <w:rFonts w:cs="Arial"/>
          <w:b/>
        </w:rPr>
      </w:pPr>
    </w:p>
    <w:p w:rsidR="00330403" w:rsidRPr="00A15DE4" w:rsidRDefault="00330403" w:rsidP="00F57E99">
      <w:pPr>
        <w:pStyle w:val="Textoindependiente2"/>
        <w:keepNext/>
        <w:widowControl w:val="0"/>
        <w:suppressAutoHyphens w:val="0"/>
        <w:mirrorIndents/>
        <w:jc w:val="both"/>
        <w:rPr>
          <w:rFonts w:ascii="Arial" w:hAnsi="Arial" w:cs="Arial"/>
          <w:szCs w:val="24"/>
        </w:rPr>
      </w:pPr>
      <w:r w:rsidRPr="00A15DE4">
        <w:rPr>
          <w:rFonts w:ascii="Arial" w:hAnsi="Arial" w:cs="Arial"/>
          <w:szCs w:val="24"/>
        </w:rPr>
        <w:t xml:space="preserve">     El Tribunal de Cuentas ha examinado la Rendición de Cuentas y Balance de Ejecución Presupuestal de la Intendencia de San José correspondientes al ejercicio finalizado el 31/12/2016 y ha emitido su correspondiente Dictamen.</w:t>
      </w:r>
    </w:p>
    <w:p w:rsidR="00330403" w:rsidRPr="00A15DE4" w:rsidRDefault="00330403" w:rsidP="00F57E99">
      <w:pPr>
        <w:pStyle w:val="Textoindependiente2"/>
        <w:keepNext/>
        <w:widowControl w:val="0"/>
        <w:suppressAutoHyphens w:val="0"/>
        <w:mirrorIndents/>
        <w:jc w:val="both"/>
        <w:rPr>
          <w:rFonts w:ascii="Arial" w:hAnsi="Arial" w:cs="Arial"/>
          <w:szCs w:val="24"/>
        </w:rPr>
      </w:pPr>
      <w:r w:rsidRPr="00A15DE4">
        <w:rPr>
          <w:rFonts w:ascii="Arial" w:hAnsi="Arial" w:cs="Arial"/>
          <w:szCs w:val="24"/>
        </w:rPr>
        <w:t xml:space="preserve">     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cumplimiento de las recomendaciones presentadas en el informe de auditoría del Ejercicio anterior.</w:t>
      </w:r>
    </w:p>
    <w:p w:rsidR="00330403" w:rsidRPr="00A15DE4" w:rsidRDefault="00330403" w:rsidP="00F57E99">
      <w:pPr>
        <w:pStyle w:val="Textoindependiente2"/>
        <w:keepNext/>
        <w:widowControl w:val="0"/>
        <w:suppressAutoHyphens w:val="0"/>
        <w:mirrorIndents/>
        <w:jc w:val="both"/>
        <w:rPr>
          <w:rFonts w:ascii="Arial" w:hAnsi="Arial" w:cs="Arial"/>
          <w:szCs w:val="24"/>
        </w:rPr>
      </w:pPr>
    </w:p>
    <w:p w:rsidR="00330403" w:rsidRPr="000A612E" w:rsidRDefault="00330403" w:rsidP="00F57E99">
      <w:pPr>
        <w:pStyle w:val="Textoindependiente2"/>
        <w:keepNext/>
        <w:widowControl w:val="0"/>
        <w:numPr>
          <w:ilvl w:val="0"/>
          <w:numId w:val="5"/>
        </w:numPr>
        <w:suppressAutoHyphens w:val="0"/>
        <w:mirrorIndents/>
        <w:jc w:val="both"/>
        <w:rPr>
          <w:rFonts w:ascii="Arial" w:hAnsi="Arial" w:cs="Arial"/>
          <w:b/>
          <w:bCs/>
          <w:iCs/>
          <w:szCs w:val="24"/>
        </w:rPr>
      </w:pPr>
      <w:bookmarkStart w:id="2" w:name="_Toc396901060"/>
      <w:r w:rsidRPr="00A15DE4">
        <w:rPr>
          <w:rFonts w:ascii="Arial" w:hAnsi="Arial" w:cs="Arial"/>
          <w:b/>
          <w:bCs/>
          <w:iCs/>
          <w:szCs w:val="24"/>
        </w:rPr>
        <w:t>Constataciones que no afectan la opinión</w:t>
      </w:r>
      <w:bookmarkEnd w:id="2"/>
    </w:p>
    <w:p w:rsidR="00330403" w:rsidRPr="00A15DE4" w:rsidRDefault="00330403" w:rsidP="00F57E99">
      <w:pPr>
        <w:pStyle w:val="Textoindependiente2"/>
        <w:keepNext/>
        <w:widowControl w:val="0"/>
        <w:suppressAutoHyphens w:val="0"/>
        <w:mirrorIndents/>
        <w:jc w:val="both"/>
        <w:rPr>
          <w:rStyle w:val="Ttulo2Car"/>
          <w:rFonts w:cs="Arial"/>
          <w:szCs w:val="24"/>
        </w:rPr>
      </w:pPr>
      <w:r w:rsidRPr="00A15DE4">
        <w:rPr>
          <w:rStyle w:val="Ttulo2Car"/>
          <w:rFonts w:cs="Arial"/>
          <w:szCs w:val="24"/>
        </w:rPr>
        <w:t>1.1 Ejecución de la Junta Departamental</w:t>
      </w:r>
    </w:p>
    <w:p w:rsidR="00330403" w:rsidRPr="00A15DE4" w:rsidRDefault="00330403" w:rsidP="00F57E99">
      <w:pPr>
        <w:pStyle w:val="Textoindependiente"/>
        <w:keepNext/>
        <w:widowControl w:val="0"/>
        <w:suppressAutoHyphens w:val="0"/>
        <w:spacing w:after="0" w:line="360" w:lineRule="auto"/>
        <w:mirrorIndents/>
        <w:rPr>
          <w:rFonts w:cs="Arial"/>
          <w:szCs w:val="24"/>
          <w:lang w:val="es-ES"/>
        </w:rPr>
      </w:pPr>
      <w:r w:rsidRPr="00A15DE4">
        <w:rPr>
          <w:rFonts w:cs="Arial"/>
          <w:szCs w:val="24"/>
          <w:lang w:val="es-ES"/>
        </w:rPr>
        <w:t>En el documento de la Rendición de Cuentas de la Intendencia, el importe  “ejecutado” por la Junta Departamental es de $ 32.547.436, y en el documento de la Junta Departamental se exponen $ 34.178.018,72. La diferencia se debe a que la Intendencia incluyó como ejecutado, el importe transferido y no lo que la Junta Departamental realmente ejecutó. Al respecto corresponde señalar que la Rendición de Cuentas del Legislativo fue aprobada por la Comisión de Presupuesto y Asuntos Financieros con fecha 07/08/2017, por lo que a la fecha de presentación del documento de la Intendencia, no se contaba con la respectiva</w:t>
      </w:r>
      <w:r w:rsidR="00C8259A">
        <w:rPr>
          <w:rFonts w:cs="Arial"/>
          <w:szCs w:val="24"/>
          <w:lang w:val="es-ES"/>
        </w:rPr>
        <w:t xml:space="preserve"> información en forma oficial.</w:t>
      </w:r>
    </w:p>
    <w:p w:rsidR="00330403" w:rsidRPr="00A15DE4" w:rsidRDefault="00330403" w:rsidP="00F57E99">
      <w:pPr>
        <w:pStyle w:val="Ttulo2"/>
        <w:keepNext/>
        <w:widowControl w:val="0"/>
        <w:suppressAutoHyphens w:val="0"/>
        <w:spacing w:after="0"/>
        <w:mirrorIndents/>
        <w:rPr>
          <w:rStyle w:val="Ttulo2Car"/>
          <w:rFonts w:cs="Arial"/>
          <w:b/>
          <w:szCs w:val="24"/>
        </w:rPr>
      </w:pPr>
      <w:bookmarkStart w:id="3" w:name="_Toc396901062"/>
      <w:r w:rsidRPr="00A15DE4">
        <w:rPr>
          <w:rStyle w:val="Ttulo2Car"/>
          <w:rFonts w:cs="Arial"/>
          <w:b/>
          <w:szCs w:val="24"/>
        </w:rPr>
        <w:t>1.2 Juicios pendientes</w:t>
      </w:r>
      <w:bookmarkEnd w:id="3"/>
    </w:p>
    <w:p w:rsidR="00330403" w:rsidRPr="00A15DE4" w:rsidRDefault="00330403" w:rsidP="00F57E99">
      <w:pPr>
        <w:keepNext/>
        <w:widowControl w:val="0"/>
        <w:spacing w:line="360" w:lineRule="auto"/>
        <w:mirrorIndents/>
        <w:jc w:val="both"/>
        <w:rPr>
          <w:rFonts w:cs="Arial"/>
        </w:rPr>
      </w:pPr>
      <w:r w:rsidRPr="00A15DE4">
        <w:rPr>
          <w:rFonts w:cs="Arial"/>
        </w:rPr>
        <w:t>En el documento de Rendición de Cuentas 2016 se exponen los juicios contra la Intendencia que no cuentan con sentencia definitiva, que ascienden a            $ 700.000 y U$S 560.000.</w:t>
      </w:r>
    </w:p>
    <w:p w:rsidR="00330403" w:rsidRDefault="00330403" w:rsidP="00F57E99">
      <w:pPr>
        <w:keepNext/>
        <w:widowControl w:val="0"/>
        <w:spacing w:line="360" w:lineRule="auto"/>
        <w:mirrorIndents/>
        <w:jc w:val="both"/>
        <w:rPr>
          <w:rFonts w:cs="Arial"/>
        </w:rPr>
      </w:pPr>
      <w:r w:rsidRPr="00A15DE4">
        <w:rPr>
          <w:rFonts w:cs="Arial"/>
        </w:rPr>
        <w:t>El resultado acumulado puede estar sujeto a modificaciones por las posibles erogaciones que  eventualmente resulten de los mencionados juicios.</w:t>
      </w:r>
    </w:p>
    <w:p w:rsidR="00330403" w:rsidRPr="000A612E" w:rsidRDefault="00330403" w:rsidP="00F57E99">
      <w:pPr>
        <w:keepNext/>
        <w:widowControl w:val="0"/>
        <w:spacing w:line="360" w:lineRule="auto"/>
        <w:mirrorIndents/>
        <w:jc w:val="both"/>
        <w:rPr>
          <w:rFonts w:cs="Arial"/>
        </w:rPr>
      </w:pPr>
    </w:p>
    <w:p w:rsidR="00330403" w:rsidRPr="00A15DE4" w:rsidRDefault="00330403" w:rsidP="00F57E99">
      <w:pPr>
        <w:pStyle w:val="Ttulo2"/>
        <w:keepNext/>
        <w:widowControl w:val="0"/>
        <w:suppressAutoHyphens w:val="0"/>
        <w:spacing w:after="0"/>
        <w:mirrorIndents/>
        <w:rPr>
          <w:rFonts w:cs="Arial"/>
          <w:szCs w:val="24"/>
        </w:rPr>
      </w:pPr>
      <w:bookmarkStart w:id="4" w:name="_Toc396901063"/>
      <w:r w:rsidRPr="00A15DE4">
        <w:rPr>
          <w:rFonts w:cs="Arial"/>
          <w:bCs/>
          <w:iCs/>
          <w:szCs w:val="24"/>
        </w:rPr>
        <w:t xml:space="preserve">2- </w:t>
      </w:r>
      <w:r w:rsidRPr="00A15DE4">
        <w:rPr>
          <w:rFonts w:cs="Arial"/>
          <w:szCs w:val="24"/>
        </w:rPr>
        <w:t>Incumplimientos de normas</w:t>
      </w:r>
      <w:bookmarkEnd w:id="4"/>
    </w:p>
    <w:p w:rsidR="00330403" w:rsidRPr="00A15DE4" w:rsidRDefault="00330403" w:rsidP="00F57E99">
      <w:pPr>
        <w:pStyle w:val="Textoindependiente"/>
        <w:keepNext/>
        <w:widowControl w:val="0"/>
        <w:suppressAutoHyphens w:val="0"/>
        <w:spacing w:after="0" w:line="360" w:lineRule="auto"/>
        <w:mirrorIndents/>
        <w:rPr>
          <w:rFonts w:cs="Arial"/>
          <w:szCs w:val="24"/>
          <w:lang w:val="es-ES"/>
        </w:rPr>
      </w:pPr>
      <w:r w:rsidRPr="00A15DE4">
        <w:rPr>
          <w:rFonts w:cs="Arial"/>
          <w:szCs w:val="24"/>
          <w:lang w:val="es-ES"/>
        </w:rPr>
        <w:t xml:space="preserve">En relación al incumplimiento de normas, corresponde realizar </w:t>
      </w:r>
      <w:r>
        <w:rPr>
          <w:rFonts w:cs="Arial"/>
          <w:szCs w:val="24"/>
          <w:lang w:val="es-ES"/>
        </w:rPr>
        <w:t>las siguientes consideraciones:</w:t>
      </w:r>
    </w:p>
    <w:p w:rsidR="00330403" w:rsidRPr="00A15DE4" w:rsidRDefault="00C8259A" w:rsidP="00F57E99">
      <w:pPr>
        <w:keepNext/>
        <w:widowControl w:val="0"/>
        <w:tabs>
          <w:tab w:val="left" w:pos="5325"/>
          <w:tab w:val="right" w:pos="9070"/>
        </w:tabs>
        <w:spacing w:line="360" w:lineRule="auto"/>
        <w:mirrorIndents/>
        <w:rPr>
          <w:rFonts w:cs="Arial"/>
          <w:b/>
        </w:rPr>
      </w:pPr>
      <w:bookmarkStart w:id="5" w:name="_Toc396901066"/>
      <w:bookmarkStart w:id="6" w:name="_Toc177977159"/>
      <w:bookmarkStart w:id="7" w:name="_Toc306713795"/>
      <w:r>
        <w:rPr>
          <w:rFonts w:cs="Arial"/>
          <w:b/>
        </w:rPr>
        <w:t>2.1 Excesos de gastos</w:t>
      </w:r>
    </w:p>
    <w:p w:rsidR="00330403" w:rsidRPr="000A612E" w:rsidRDefault="00330403" w:rsidP="00F57E99">
      <w:pPr>
        <w:keepNext/>
        <w:widowControl w:val="0"/>
        <w:tabs>
          <w:tab w:val="left" w:pos="5325"/>
          <w:tab w:val="right" w:pos="9070"/>
        </w:tabs>
        <w:spacing w:line="360" w:lineRule="auto"/>
        <w:mirrorIndents/>
        <w:jc w:val="both"/>
        <w:rPr>
          <w:rFonts w:cs="Arial"/>
        </w:rPr>
      </w:pPr>
      <w:r w:rsidRPr="00A15DE4">
        <w:rPr>
          <w:rFonts w:cs="Arial"/>
        </w:rPr>
        <w:t>Si bien se recurrió al mecanismo de trasposición de objetos, en el ejercicio 2016 se produjeron excesos de gastos por un total de $ 225.120.810. No obstante, en otros objetos de gastos se produjeron economías por un importe de $ 142.665.145. La Contadora Delegada y el Tribunal de Cuentas observaron gastos p</w:t>
      </w:r>
      <w:r>
        <w:rPr>
          <w:rFonts w:cs="Arial"/>
        </w:rPr>
        <w:t>or estos conceptos.</w:t>
      </w:r>
    </w:p>
    <w:p w:rsidR="00330403" w:rsidRPr="00A15DE4" w:rsidRDefault="00330403" w:rsidP="00F57E99">
      <w:pPr>
        <w:keepNext/>
        <w:widowControl w:val="0"/>
        <w:tabs>
          <w:tab w:val="left" w:pos="5325"/>
          <w:tab w:val="right" w:pos="9070"/>
        </w:tabs>
        <w:spacing w:line="360" w:lineRule="auto"/>
        <w:mirrorIndents/>
        <w:rPr>
          <w:rFonts w:cs="Arial"/>
          <w:b/>
        </w:rPr>
      </w:pPr>
      <w:r w:rsidRPr="00A15DE4">
        <w:rPr>
          <w:rFonts w:cs="Arial"/>
          <w:b/>
        </w:rPr>
        <w:t>2.2 Artículo 49 de la Ley Nº 18.651</w:t>
      </w:r>
      <w:bookmarkEnd w:id="5"/>
    </w:p>
    <w:p w:rsidR="00330403" w:rsidRPr="00A15DE4" w:rsidRDefault="00330403" w:rsidP="00F57E99">
      <w:pPr>
        <w:pStyle w:val="Textoindependiente"/>
        <w:keepNext/>
        <w:widowControl w:val="0"/>
        <w:suppressAutoHyphens w:val="0"/>
        <w:spacing w:after="0" w:line="360" w:lineRule="auto"/>
        <w:mirrorIndents/>
        <w:rPr>
          <w:rStyle w:val="Ttulo2Car"/>
          <w:rFonts w:cs="Arial"/>
          <w:b w:val="0"/>
          <w:szCs w:val="24"/>
          <w:lang w:eastAsia="en-US"/>
        </w:rPr>
      </w:pPr>
      <w:r w:rsidRPr="00A15DE4">
        <w:rPr>
          <w:rFonts w:cs="Arial"/>
          <w:szCs w:val="24"/>
        </w:rPr>
        <w:t>Durante el ejercicio 2016 se produjeron 47 vacantes, por lo que se debería</w:t>
      </w:r>
      <w:r w:rsidRPr="00A15DE4">
        <w:rPr>
          <w:rStyle w:val="Ttulo2Car"/>
          <w:rFonts w:cs="Arial"/>
          <w:b w:val="0"/>
          <w:szCs w:val="24"/>
        </w:rPr>
        <w:t xml:space="preserve"> haber ocupado por lo menos dos personas con discapacidad que reuniera</w:t>
      </w:r>
      <w:r w:rsidRPr="00A15DE4">
        <w:rPr>
          <w:rStyle w:val="Ttulo2Car"/>
          <w:rFonts w:cs="Arial"/>
          <w:b w:val="0"/>
          <w:szCs w:val="24"/>
          <w:lang w:eastAsia="en-US"/>
        </w:rPr>
        <w:t xml:space="preserve"> condiciones de idoneidad para el cargo, a efectos de cumplir con la exigencia mínima del 4% de las vacantes producidas.</w:t>
      </w:r>
    </w:p>
    <w:p w:rsidR="00330403" w:rsidRPr="00A15DE4" w:rsidRDefault="00330403" w:rsidP="00F57E99">
      <w:pPr>
        <w:pStyle w:val="Textoindependiente"/>
        <w:keepNext/>
        <w:widowControl w:val="0"/>
        <w:suppressAutoHyphens w:val="0"/>
        <w:spacing w:after="0" w:line="360" w:lineRule="auto"/>
        <w:mirrorIndents/>
        <w:rPr>
          <w:rStyle w:val="Ttulo2Car"/>
          <w:rFonts w:cs="Arial"/>
          <w:b w:val="0"/>
          <w:szCs w:val="24"/>
          <w:lang w:eastAsia="en-US"/>
        </w:rPr>
      </w:pPr>
    </w:p>
    <w:bookmarkEnd w:id="6"/>
    <w:bookmarkEnd w:id="7"/>
    <w:p w:rsidR="00330403" w:rsidRPr="00A15DE4" w:rsidRDefault="00330403" w:rsidP="00F57E99">
      <w:pPr>
        <w:keepNext/>
        <w:widowControl w:val="0"/>
        <w:tabs>
          <w:tab w:val="left" w:pos="0"/>
        </w:tabs>
        <w:spacing w:line="360" w:lineRule="auto"/>
        <w:mirrorIndents/>
        <w:rPr>
          <w:rFonts w:cs="Arial"/>
          <w:b/>
        </w:rPr>
      </w:pPr>
      <w:r w:rsidRPr="00A15DE4">
        <w:rPr>
          <w:rFonts w:cs="Arial"/>
          <w:b/>
        </w:rPr>
        <w:t>3- Debilidades de control interno</w:t>
      </w:r>
    </w:p>
    <w:p w:rsidR="00330403" w:rsidRPr="00A15DE4" w:rsidRDefault="00330403" w:rsidP="00F57E99">
      <w:pPr>
        <w:keepNext/>
        <w:widowControl w:val="0"/>
        <w:spacing w:line="360" w:lineRule="auto"/>
        <w:mirrorIndents/>
        <w:rPr>
          <w:rStyle w:val="Ttulo2Car"/>
          <w:rFonts w:cs="Arial"/>
        </w:rPr>
      </w:pPr>
    </w:p>
    <w:p w:rsidR="00330403" w:rsidRPr="00A15DE4" w:rsidRDefault="00330403" w:rsidP="00F57E99">
      <w:pPr>
        <w:keepNext/>
        <w:widowControl w:val="0"/>
        <w:tabs>
          <w:tab w:val="left" w:pos="0"/>
          <w:tab w:val="left" w:pos="8505"/>
        </w:tabs>
        <w:spacing w:line="360" w:lineRule="auto"/>
        <w:mirrorIndents/>
        <w:rPr>
          <w:rFonts w:cs="Arial"/>
          <w:b/>
        </w:rPr>
      </w:pPr>
      <w:r w:rsidRPr="00A15DE4">
        <w:rPr>
          <w:rFonts w:cs="Arial"/>
          <w:b/>
        </w:rPr>
        <w:t>3.1 Respecto a recursos o manejo de fondos</w:t>
      </w:r>
    </w:p>
    <w:p w:rsidR="00330403" w:rsidRPr="000A612E" w:rsidRDefault="00330403" w:rsidP="00F57E99">
      <w:pPr>
        <w:pStyle w:val="Textoindependiente"/>
        <w:keepNext/>
        <w:widowControl w:val="0"/>
        <w:suppressAutoHyphens w:val="0"/>
        <w:spacing w:after="0" w:line="360" w:lineRule="auto"/>
        <w:mirrorIndents/>
        <w:rPr>
          <w:rFonts w:cs="Arial"/>
          <w:szCs w:val="24"/>
        </w:rPr>
      </w:pPr>
      <w:r w:rsidRPr="00A15DE4">
        <w:rPr>
          <w:rFonts w:cs="Arial"/>
          <w:szCs w:val="24"/>
        </w:rPr>
        <w:t>Si bien los movimientos bancarios son controlados y supervisados por el Departamento de Hacienda, no se documenta en forma fehaciente la realizaci</w:t>
      </w:r>
      <w:r>
        <w:rPr>
          <w:rFonts w:cs="Arial"/>
          <w:szCs w:val="24"/>
        </w:rPr>
        <w:t>ón de conciliaciones bancarias.</w:t>
      </w:r>
    </w:p>
    <w:p w:rsidR="00330403" w:rsidRPr="00A15DE4" w:rsidRDefault="00330403" w:rsidP="00F57E99">
      <w:pPr>
        <w:keepNext/>
        <w:widowControl w:val="0"/>
        <w:numPr>
          <w:ilvl w:val="1"/>
          <w:numId w:val="4"/>
        </w:numPr>
        <w:tabs>
          <w:tab w:val="left" w:pos="0"/>
        </w:tabs>
        <w:spacing w:line="360" w:lineRule="auto"/>
        <w:mirrorIndents/>
        <w:rPr>
          <w:rFonts w:cs="Arial"/>
          <w:b/>
        </w:rPr>
      </w:pPr>
      <w:r w:rsidRPr="00A15DE4">
        <w:rPr>
          <w:rFonts w:cs="Arial"/>
          <w:b/>
        </w:rPr>
        <w:t>Respecto del área compras</w:t>
      </w:r>
    </w:p>
    <w:p w:rsidR="00330403" w:rsidRPr="00A15DE4" w:rsidRDefault="00330403" w:rsidP="00F57E99">
      <w:pPr>
        <w:pStyle w:val="Textoindependiente2"/>
        <w:keepNext/>
        <w:widowControl w:val="0"/>
        <w:tabs>
          <w:tab w:val="left" w:pos="284"/>
        </w:tabs>
        <w:suppressAutoHyphens w:val="0"/>
        <w:mirrorIndents/>
        <w:jc w:val="both"/>
        <w:rPr>
          <w:rStyle w:val="Ttulo2Car"/>
          <w:rFonts w:cs="Arial"/>
          <w:b w:val="0"/>
          <w:szCs w:val="24"/>
        </w:rPr>
      </w:pPr>
      <w:r>
        <w:rPr>
          <w:rStyle w:val="Ttulo2Car"/>
          <w:rFonts w:cs="Arial"/>
          <w:b w:val="0"/>
          <w:szCs w:val="24"/>
        </w:rPr>
        <w:t xml:space="preserve">1 - </w:t>
      </w:r>
      <w:r w:rsidRPr="00A15DE4">
        <w:rPr>
          <w:rStyle w:val="Ttulo2Car"/>
          <w:rFonts w:cs="Arial"/>
          <w:b w:val="0"/>
          <w:szCs w:val="24"/>
        </w:rPr>
        <w:t>No hay manuales de procedimientos.</w:t>
      </w:r>
    </w:p>
    <w:p w:rsidR="00330403" w:rsidRPr="00A15DE4" w:rsidRDefault="00330403" w:rsidP="00F57E99">
      <w:pPr>
        <w:pStyle w:val="Textoindependiente"/>
        <w:keepNext/>
        <w:widowControl w:val="0"/>
        <w:suppressAutoHyphens w:val="0"/>
        <w:spacing w:after="0" w:line="360" w:lineRule="auto"/>
        <w:mirrorIndents/>
        <w:rPr>
          <w:rFonts w:cs="Arial"/>
          <w:szCs w:val="24"/>
        </w:rPr>
      </w:pPr>
      <w:r w:rsidRPr="00A15DE4">
        <w:rPr>
          <w:rFonts w:cs="Arial"/>
          <w:szCs w:val="24"/>
        </w:rPr>
        <w:t>2</w:t>
      </w:r>
      <w:r>
        <w:rPr>
          <w:rFonts w:cs="Arial"/>
          <w:szCs w:val="24"/>
        </w:rPr>
        <w:t xml:space="preserve"> </w:t>
      </w:r>
      <w:r w:rsidRPr="00A15DE4">
        <w:rPr>
          <w:rFonts w:cs="Arial"/>
          <w:szCs w:val="24"/>
        </w:rPr>
        <w:t>-</w:t>
      </w:r>
      <w:r>
        <w:rPr>
          <w:rFonts w:cs="Arial"/>
          <w:szCs w:val="24"/>
        </w:rPr>
        <w:t xml:space="preserve"> </w:t>
      </w:r>
      <w:r w:rsidRPr="00A15DE4">
        <w:rPr>
          <w:rFonts w:cs="Arial"/>
          <w:szCs w:val="24"/>
        </w:rPr>
        <w:t xml:space="preserve">Sólo se deja constancia documentada de la realización de conciliaciones y/o </w:t>
      </w:r>
      <w:proofErr w:type="spellStart"/>
      <w:r w:rsidRPr="00A15DE4">
        <w:rPr>
          <w:rFonts w:cs="Arial"/>
          <w:szCs w:val="24"/>
        </w:rPr>
        <w:t>circularizaciones</w:t>
      </w:r>
      <w:proofErr w:type="spellEnd"/>
      <w:r w:rsidRPr="00A15DE4">
        <w:rPr>
          <w:rFonts w:cs="Arial"/>
          <w:szCs w:val="24"/>
        </w:rPr>
        <w:t xml:space="preserve"> respecto a los saldos incluidos como obligaciones presupuestales impagas de las deudas con organismos públicos, pero no de las deudas con particulares.</w:t>
      </w:r>
    </w:p>
    <w:p w:rsidR="00330403" w:rsidRPr="00A15DE4" w:rsidRDefault="00330403" w:rsidP="00F57E99">
      <w:pPr>
        <w:pStyle w:val="Textoindependiente"/>
        <w:keepNext/>
        <w:widowControl w:val="0"/>
        <w:suppressAutoHyphens w:val="0"/>
        <w:spacing w:after="0" w:line="360" w:lineRule="auto"/>
        <w:mirrorIndents/>
        <w:rPr>
          <w:rFonts w:cs="Arial"/>
          <w:szCs w:val="24"/>
        </w:rPr>
      </w:pPr>
      <w:r w:rsidRPr="00A15DE4">
        <w:rPr>
          <w:rFonts w:cs="Arial"/>
          <w:szCs w:val="24"/>
        </w:rPr>
        <w:t>3</w:t>
      </w:r>
      <w:r>
        <w:rPr>
          <w:rFonts w:cs="Arial"/>
          <w:szCs w:val="24"/>
        </w:rPr>
        <w:t xml:space="preserve"> - </w:t>
      </w:r>
      <w:r w:rsidRPr="00A15DE4">
        <w:rPr>
          <w:rFonts w:cs="Arial"/>
          <w:szCs w:val="24"/>
        </w:rPr>
        <w:t>No se efectúan recuentos físicos de inventarios por funcionarios independientes a las funciones de compra, recepción y custodia de los bienes.</w:t>
      </w:r>
    </w:p>
    <w:p w:rsidR="00330403" w:rsidRPr="00A15DE4" w:rsidRDefault="00330403" w:rsidP="00F57E99">
      <w:pPr>
        <w:keepNext/>
        <w:widowControl w:val="0"/>
        <w:tabs>
          <w:tab w:val="left" w:pos="284"/>
        </w:tabs>
        <w:spacing w:line="360" w:lineRule="auto"/>
        <w:mirrorIndents/>
        <w:rPr>
          <w:rStyle w:val="Ttulo2Car"/>
          <w:rFonts w:cs="Arial"/>
          <w:b w:val="0"/>
        </w:rPr>
      </w:pPr>
    </w:p>
    <w:p w:rsidR="00330403" w:rsidRPr="00A15DE4" w:rsidRDefault="00330403" w:rsidP="00F57E99">
      <w:pPr>
        <w:keepNext/>
        <w:widowControl w:val="0"/>
        <w:spacing w:line="360" w:lineRule="auto"/>
        <w:mirrorIndents/>
        <w:rPr>
          <w:rStyle w:val="Ttulo2Car"/>
          <w:rFonts w:cs="Arial"/>
        </w:rPr>
      </w:pPr>
      <w:r w:rsidRPr="00A15DE4">
        <w:rPr>
          <w:rStyle w:val="Ttulo2Car"/>
          <w:rFonts w:cs="Arial"/>
        </w:rPr>
        <w:t>3.3 Respecto de las adquisiciones de los Municipios</w:t>
      </w:r>
    </w:p>
    <w:p w:rsidR="00330403" w:rsidRPr="00A15DE4" w:rsidRDefault="00330403" w:rsidP="00F57E99">
      <w:pPr>
        <w:keepNext/>
        <w:widowControl w:val="0"/>
        <w:spacing w:line="360" w:lineRule="auto"/>
        <w:mirrorIndents/>
        <w:jc w:val="both"/>
        <w:rPr>
          <w:rStyle w:val="Ttulo2Car"/>
          <w:rFonts w:cs="Arial"/>
          <w:b w:val="0"/>
        </w:rPr>
      </w:pPr>
      <w:r w:rsidRPr="00A15DE4">
        <w:rPr>
          <w:rStyle w:val="Ttulo2Car"/>
          <w:rFonts w:cs="Arial"/>
          <w:b w:val="0"/>
        </w:rPr>
        <w:t>Si bien se instrumentaron procedimientos a efectos de que los gastos de los Municipios sean ordenados por el propio Municipio tal como lo establece la Ley 19.272, existen gastos cuyo destino es para los Municipios que son ejecutados por parte de la Intendencia. Al respecto, no existe una reglamentación específica que delimite cuales son los gastos que, teniendo como destino los Municipios, serán ejecutados por la Intendencia, de forma de asegurar y controlar que la Intendencia no ejecute gastos cuya competencia s</w:t>
      </w:r>
      <w:r w:rsidR="00C8259A">
        <w:rPr>
          <w:rStyle w:val="Ttulo2Car"/>
          <w:rFonts w:cs="Arial"/>
          <w:b w:val="0"/>
        </w:rPr>
        <w:t>ea exclusiva de los Municipios.</w:t>
      </w:r>
    </w:p>
    <w:p w:rsidR="00330403" w:rsidRPr="000A612E" w:rsidRDefault="00330403" w:rsidP="00F57E99">
      <w:pPr>
        <w:keepNext/>
        <w:widowControl w:val="0"/>
        <w:numPr>
          <w:ilvl w:val="0"/>
          <w:numId w:val="3"/>
        </w:numPr>
        <w:spacing w:line="360" w:lineRule="auto"/>
        <w:ind w:left="426" w:hanging="426"/>
        <w:mirrorIndents/>
        <w:jc w:val="both"/>
        <w:rPr>
          <w:rFonts w:cs="Arial"/>
          <w:b/>
        </w:rPr>
      </w:pPr>
      <w:bookmarkStart w:id="8" w:name="_Toc396901068"/>
      <w:r w:rsidRPr="00A15DE4">
        <w:rPr>
          <w:rFonts w:cs="Arial"/>
          <w:b/>
        </w:rPr>
        <w:t>Recomendaciones</w:t>
      </w:r>
      <w:bookmarkEnd w:id="8"/>
    </w:p>
    <w:p w:rsidR="00330403" w:rsidRPr="000A612E" w:rsidRDefault="00330403" w:rsidP="00F57E99">
      <w:pPr>
        <w:keepNext/>
        <w:widowControl w:val="0"/>
        <w:spacing w:line="360" w:lineRule="auto"/>
        <w:mirrorIndents/>
        <w:rPr>
          <w:rFonts w:cs="Arial"/>
          <w:b/>
        </w:rPr>
      </w:pPr>
      <w:bookmarkStart w:id="9" w:name="_Toc396901069"/>
      <w:r w:rsidRPr="00A15DE4">
        <w:rPr>
          <w:rFonts w:cs="Arial"/>
          <w:b/>
        </w:rPr>
        <w:t>4.1 Recomendaciones del ejercicio anterior cumplida</w:t>
      </w:r>
      <w:bookmarkEnd w:id="9"/>
      <w:r>
        <w:rPr>
          <w:rFonts w:cs="Arial"/>
          <w:b/>
        </w:rPr>
        <w:t>s</w:t>
      </w:r>
    </w:p>
    <w:p w:rsidR="00330403" w:rsidRPr="000A612E" w:rsidRDefault="00330403" w:rsidP="00F57E99">
      <w:pPr>
        <w:pStyle w:val="Encabezado"/>
        <w:keepNext/>
        <w:widowControl w:val="0"/>
        <w:tabs>
          <w:tab w:val="clear" w:pos="4252"/>
          <w:tab w:val="clear" w:pos="8504"/>
          <w:tab w:val="left" w:pos="142"/>
          <w:tab w:val="left" w:pos="284"/>
          <w:tab w:val="center" w:pos="567"/>
          <w:tab w:val="right" w:pos="8838"/>
        </w:tabs>
        <w:suppressAutoHyphens w:val="0"/>
        <w:mirrorIndents/>
        <w:rPr>
          <w:rFonts w:cs="Arial"/>
          <w:szCs w:val="24"/>
        </w:rPr>
      </w:pPr>
      <w:r w:rsidRPr="00A15DE4">
        <w:rPr>
          <w:rFonts w:cs="Arial"/>
          <w:b/>
          <w:szCs w:val="24"/>
        </w:rPr>
        <w:t>4.1.1 Artículo 225 de la Constitución de la República, Ordenanza N° 71 con la redacción dada por la Resolución del Tribunal de Cuentas de 01/07/98:</w:t>
      </w:r>
      <w:r w:rsidRPr="00A15DE4">
        <w:rPr>
          <w:rFonts w:cs="Arial"/>
          <w:szCs w:val="24"/>
        </w:rPr>
        <w:t xml:space="preserve"> Se dio correcto tratamiento a la observación enunciada en el párrafo 4.3), que fuera formulada por el Tribunal de Cuentas al dictaminar respecto del Presupuesto Quinquenal 2016-2020, y que fue acepta</w:t>
      </w:r>
      <w:r w:rsidR="00C8259A">
        <w:rPr>
          <w:rFonts w:cs="Arial"/>
          <w:szCs w:val="24"/>
        </w:rPr>
        <w:t>da por la Junta Departamental.</w:t>
      </w:r>
    </w:p>
    <w:p w:rsidR="00330403" w:rsidRPr="00A15DE4" w:rsidRDefault="00330403" w:rsidP="00F57E99">
      <w:pPr>
        <w:keepNext/>
        <w:widowControl w:val="0"/>
        <w:tabs>
          <w:tab w:val="left" w:pos="142"/>
          <w:tab w:val="center" w:pos="567"/>
          <w:tab w:val="num" w:pos="786"/>
        </w:tabs>
        <w:spacing w:line="360" w:lineRule="auto"/>
        <w:mirrorIndents/>
        <w:jc w:val="both"/>
        <w:rPr>
          <w:rFonts w:cs="Arial"/>
          <w:b/>
          <w:bCs/>
        </w:rPr>
      </w:pPr>
      <w:r w:rsidRPr="00A15DE4">
        <w:rPr>
          <w:rFonts w:cs="Arial"/>
          <w:b/>
          <w:bCs/>
        </w:rPr>
        <w:t>4.1.2 Artículo 33 del TOCAF</w:t>
      </w:r>
    </w:p>
    <w:p w:rsidR="00330403" w:rsidRPr="00A15DE4" w:rsidRDefault="00330403" w:rsidP="00F57E99">
      <w:pPr>
        <w:keepNext/>
        <w:widowControl w:val="0"/>
        <w:tabs>
          <w:tab w:val="left" w:pos="142"/>
          <w:tab w:val="center" w:pos="567"/>
          <w:tab w:val="num" w:pos="786"/>
        </w:tabs>
        <w:spacing w:line="360" w:lineRule="auto"/>
        <w:mirrorIndents/>
        <w:jc w:val="both"/>
        <w:rPr>
          <w:rFonts w:cs="Arial"/>
          <w:snapToGrid w:val="0"/>
        </w:rPr>
      </w:pPr>
      <w:r w:rsidRPr="00A15DE4">
        <w:rPr>
          <w:rFonts w:cs="Arial"/>
          <w:snapToGrid w:val="0"/>
        </w:rPr>
        <w:t xml:space="preserve">En el ejercicio 2016 se realizó una licitación pública, a efectos de subsanar el incumplimiento de los ejercicios anteriores, de que se continuaban ejecutando licitaciones que se </w:t>
      </w:r>
      <w:r>
        <w:rPr>
          <w:rFonts w:cs="Arial"/>
          <w:snapToGrid w:val="0"/>
        </w:rPr>
        <w:t>encontraban vencidas.</w:t>
      </w:r>
    </w:p>
    <w:p w:rsidR="00330403" w:rsidRPr="00A15DE4" w:rsidRDefault="00330403" w:rsidP="00F57E99">
      <w:pPr>
        <w:keepNext/>
        <w:widowControl w:val="0"/>
        <w:spacing w:line="360" w:lineRule="auto"/>
        <w:mirrorIndents/>
        <w:rPr>
          <w:rFonts w:cs="Arial"/>
          <w:b/>
        </w:rPr>
      </w:pPr>
      <w:bookmarkStart w:id="10" w:name="_Toc396901086"/>
      <w:r w:rsidRPr="00A15DE4">
        <w:rPr>
          <w:rFonts w:cs="Arial"/>
          <w:b/>
        </w:rPr>
        <w:t>4.1.3 Conciliaciones de saldos con Organismos Públicos</w:t>
      </w:r>
      <w:bookmarkEnd w:id="10"/>
    </w:p>
    <w:p w:rsidR="00330403" w:rsidRPr="00A15DE4" w:rsidRDefault="00330403" w:rsidP="00F57E99">
      <w:pPr>
        <w:keepNext/>
        <w:widowControl w:val="0"/>
        <w:spacing w:line="360" w:lineRule="auto"/>
        <w:mirrorIndents/>
        <w:jc w:val="both"/>
        <w:rPr>
          <w:rFonts w:cs="Arial"/>
        </w:rPr>
      </w:pPr>
      <w:r w:rsidRPr="00A15DE4">
        <w:rPr>
          <w:rFonts w:cs="Arial"/>
        </w:rPr>
        <w:t xml:space="preserve">En el documento de la Rendición de Cuentas se adjuntan las certificaciones de los Organismos Públicos con el detalle de las deudas y </w:t>
      </w:r>
      <w:r>
        <w:rPr>
          <w:rFonts w:cs="Arial"/>
        </w:rPr>
        <w:t>las conciliaciones respectivas.</w:t>
      </w:r>
    </w:p>
    <w:p w:rsidR="00330403" w:rsidRPr="00A15DE4" w:rsidRDefault="00330403" w:rsidP="00F57E99">
      <w:pPr>
        <w:keepNext/>
        <w:widowControl w:val="0"/>
        <w:spacing w:line="360" w:lineRule="auto"/>
        <w:mirrorIndents/>
        <w:jc w:val="both"/>
        <w:rPr>
          <w:rStyle w:val="Ttulo2Car"/>
          <w:rFonts w:cs="Arial"/>
        </w:rPr>
      </w:pPr>
      <w:r w:rsidRPr="00A15DE4">
        <w:rPr>
          <w:rStyle w:val="Ttulo2Car"/>
          <w:rFonts w:cs="Arial"/>
        </w:rPr>
        <w:t>4.1.4 Endeudamiento financiero</w:t>
      </w:r>
    </w:p>
    <w:p w:rsidR="00330403" w:rsidRPr="00A15DE4" w:rsidRDefault="00330403" w:rsidP="00F57E99">
      <w:pPr>
        <w:keepNext/>
        <w:widowControl w:val="0"/>
        <w:spacing w:line="360" w:lineRule="auto"/>
        <w:mirrorIndents/>
        <w:jc w:val="both"/>
        <w:rPr>
          <w:rFonts w:cs="Arial"/>
        </w:rPr>
      </w:pPr>
      <w:r w:rsidRPr="00A15DE4">
        <w:rPr>
          <w:rFonts w:cs="Arial"/>
        </w:rPr>
        <w:t>Los importes correspondientes al endeudamiento financiero, fueron expuestos en forma correcta en el Estado Nº 9 Evolución del endeudamiento financiero, de acuerdo al Instructivo para la elaboración de las Rendiciones de Cuentas de los Gobiernos Departamentales aprobado</w:t>
      </w:r>
      <w:r>
        <w:rPr>
          <w:rFonts w:cs="Arial"/>
        </w:rPr>
        <w:t xml:space="preserve"> por Resolución del 28/01/2004.</w:t>
      </w:r>
    </w:p>
    <w:p w:rsidR="00330403" w:rsidRPr="00A15DE4" w:rsidRDefault="00330403" w:rsidP="00F57E99">
      <w:pPr>
        <w:keepNext/>
        <w:widowControl w:val="0"/>
        <w:spacing w:line="360" w:lineRule="auto"/>
        <w:mirrorIndents/>
        <w:rPr>
          <w:rStyle w:val="Ttulo2Car"/>
          <w:rFonts w:cs="Arial"/>
          <w:b w:val="0"/>
        </w:rPr>
      </w:pPr>
      <w:r w:rsidRPr="00A15DE4">
        <w:rPr>
          <w:rFonts w:cs="Arial"/>
          <w:b/>
          <w:bCs/>
        </w:rPr>
        <w:t>4.1.5 Gastos y pagos en Municipios</w:t>
      </w:r>
    </w:p>
    <w:p w:rsidR="00330403" w:rsidRPr="00A15DE4" w:rsidRDefault="00330403" w:rsidP="00F57E99">
      <w:pPr>
        <w:keepNext/>
        <w:widowControl w:val="0"/>
        <w:spacing w:line="360" w:lineRule="auto"/>
        <w:mirrorIndents/>
        <w:jc w:val="both"/>
        <w:rPr>
          <w:rFonts w:cs="Arial"/>
          <w:color w:val="000000"/>
          <w:lang w:eastAsia="es-UY"/>
        </w:rPr>
      </w:pPr>
      <w:r w:rsidRPr="00A15DE4">
        <w:rPr>
          <w:rFonts w:cs="Arial"/>
          <w:bCs/>
        </w:rPr>
        <w:t>Se instrumentaron procedimientos a efectos de que los gastos y pagos de los  Municipios fueran ordenados acorde a lo prescripto por la Ley Nº 19.272, en N</w:t>
      </w:r>
      <w:r w:rsidRPr="00A15DE4">
        <w:rPr>
          <w:rFonts w:cs="Arial"/>
          <w:color w:val="000000"/>
          <w:lang w:eastAsia="es-UY"/>
        </w:rPr>
        <w:t>umeral 3) del Artículo 12, y Numeral 5) del Artículo 14.</w:t>
      </w:r>
    </w:p>
    <w:p w:rsidR="00330403" w:rsidRPr="00A15DE4" w:rsidRDefault="00330403" w:rsidP="00F57E99">
      <w:pPr>
        <w:keepNext/>
        <w:widowControl w:val="0"/>
        <w:tabs>
          <w:tab w:val="left" w:pos="142"/>
          <w:tab w:val="center" w:pos="567"/>
          <w:tab w:val="num" w:pos="786"/>
        </w:tabs>
        <w:spacing w:line="360" w:lineRule="auto"/>
        <w:mirrorIndents/>
        <w:jc w:val="both"/>
        <w:rPr>
          <w:rFonts w:cs="Arial"/>
          <w:snapToGrid w:val="0"/>
        </w:rPr>
      </w:pPr>
    </w:p>
    <w:p w:rsidR="00330403" w:rsidRPr="000A612E" w:rsidRDefault="00330403" w:rsidP="00F57E99">
      <w:pPr>
        <w:keepNext/>
        <w:widowControl w:val="0"/>
        <w:spacing w:line="360" w:lineRule="auto"/>
        <w:mirrorIndents/>
        <w:rPr>
          <w:rFonts w:cs="Arial"/>
          <w:b/>
        </w:rPr>
      </w:pPr>
      <w:r w:rsidRPr="00A15DE4">
        <w:rPr>
          <w:rFonts w:cs="Arial"/>
          <w:b/>
        </w:rPr>
        <w:t>4.2 Recomendación del ejercicio anterior parcialmente cumplida</w:t>
      </w:r>
    </w:p>
    <w:p w:rsidR="00330403" w:rsidRPr="00A15DE4" w:rsidRDefault="00330403" w:rsidP="00F57E99">
      <w:pPr>
        <w:keepNext/>
        <w:widowControl w:val="0"/>
        <w:tabs>
          <w:tab w:val="left" w:pos="142"/>
          <w:tab w:val="center" w:pos="567"/>
        </w:tabs>
        <w:spacing w:line="360" w:lineRule="auto"/>
        <w:mirrorIndents/>
        <w:jc w:val="both"/>
        <w:rPr>
          <w:rFonts w:cs="Arial"/>
          <w:b/>
          <w:bCs/>
        </w:rPr>
      </w:pPr>
      <w:r w:rsidRPr="00A15DE4">
        <w:rPr>
          <w:rFonts w:cs="Arial"/>
          <w:b/>
        </w:rPr>
        <w:t>Inventario (Artículos 84 y 97 del TOCAF</w:t>
      </w:r>
      <w:r w:rsidRPr="00A15DE4">
        <w:rPr>
          <w:rFonts w:cs="Arial"/>
          <w:b/>
          <w:bCs/>
        </w:rPr>
        <w:t>)</w:t>
      </w:r>
    </w:p>
    <w:p w:rsidR="00330403" w:rsidRPr="00A15DE4" w:rsidRDefault="00330403" w:rsidP="00F57E99">
      <w:pPr>
        <w:keepNext/>
        <w:widowControl w:val="0"/>
        <w:tabs>
          <w:tab w:val="left" w:pos="142"/>
          <w:tab w:val="center" w:pos="567"/>
        </w:tabs>
        <w:spacing w:line="360" w:lineRule="auto"/>
        <w:mirrorIndents/>
        <w:jc w:val="both"/>
        <w:rPr>
          <w:rFonts w:cs="Arial"/>
        </w:rPr>
      </w:pPr>
      <w:r w:rsidRPr="00A15DE4">
        <w:rPr>
          <w:rFonts w:cs="Arial"/>
        </w:rPr>
        <w:t>Varias de las incorporaciones efectuadas en el 2016 fueron incluidas en el inventario con su respectivo costo y fecha de incorporación.</w:t>
      </w:r>
    </w:p>
    <w:p w:rsidR="00330403" w:rsidRPr="00A15DE4" w:rsidRDefault="00330403" w:rsidP="00F57E99">
      <w:pPr>
        <w:keepNext/>
        <w:widowControl w:val="0"/>
        <w:spacing w:line="360" w:lineRule="auto"/>
        <w:mirrorIndents/>
        <w:rPr>
          <w:rStyle w:val="Ttulo2Car"/>
          <w:rFonts w:cs="Arial"/>
          <w:b w:val="0"/>
          <w:bCs/>
        </w:rPr>
      </w:pPr>
    </w:p>
    <w:p w:rsidR="00330403" w:rsidRPr="00A15DE4" w:rsidRDefault="00330403" w:rsidP="00F57E99">
      <w:pPr>
        <w:keepNext/>
        <w:widowControl w:val="0"/>
        <w:spacing w:line="360" w:lineRule="auto"/>
        <w:mirrorIndents/>
        <w:rPr>
          <w:rFonts w:cs="Arial"/>
          <w:b/>
        </w:rPr>
      </w:pPr>
      <w:bookmarkStart w:id="11" w:name="_Toc396901071"/>
      <w:r w:rsidRPr="00A15DE4">
        <w:rPr>
          <w:rFonts w:cs="Arial"/>
          <w:b/>
        </w:rPr>
        <w:t>4.3 Recomendaciones del ejercicio anterior no cumplidas</w:t>
      </w:r>
      <w:bookmarkEnd w:id="11"/>
    </w:p>
    <w:p w:rsidR="00330403" w:rsidRPr="00A15DE4" w:rsidRDefault="00330403" w:rsidP="00F57E99">
      <w:pPr>
        <w:keepNext/>
        <w:widowControl w:val="0"/>
        <w:spacing w:line="360" w:lineRule="auto"/>
        <w:mirrorIndents/>
        <w:rPr>
          <w:rFonts w:cs="Arial"/>
        </w:rPr>
      </w:pPr>
    </w:p>
    <w:p w:rsidR="00330403" w:rsidRPr="00A15DE4" w:rsidRDefault="00330403" w:rsidP="00F57E99">
      <w:pPr>
        <w:keepNext/>
        <w:widowControl w:val="0"/>
        <w:spacing w:line="360" w:lineRule="auto"/>
        <w:mirrorIndents/>
        <w:rPr>
          <w:rFonts w:cs="Arial"/>
          <w:b/>
        </w:rPr>
      </w:pPr>
      <w:bookmarkStart w:id="12" w:name="_Toc396901074"/>
      <w:r w:rsidRPr="00A15DE4">
        <w:rPr>
          <w:rFonts w:cs="Arial"/>
          <w:b/>
        </w:rPr>
        <w:t>4.3.1 Artículo 94 del TOCAF y en la Ordenanza N° 81 de este Tribunal</w:t>
      </w:r>
      <w:bookmarkEnd w:id="12"/>
    </w:p>
    <w:p w:rsidR="00330403" w:rsidRPr="00A15DE4" w:rsidRDefault="00330403" w:rsidP="00F57E99">
      <w:pPr>
        <w:keepNext/>
        <w:widowControl w:val="0"/>
        <w:spacing w:line="360" w:lineRule="auto"/>
        <w:mirrorIndents/>
        <w:jc w:val="both"/>
        <w:rPr>
          <w:rFonts w:cs="Arial"/>
        </w:rPr>
      </w:pPr>
      <w:r w:rsidRPr="00A15DE4">
        <w:rPr>
          <w:rFonts w:cs="Arial"/>
        </w:rPr>
        <w:t xml:space="preserve">La Intendencia deberá implementar un sistema de contabilidad que suministre la información que permita </w:t>
      </w:r>
      <w:r>
        <w:rPr>
          <w:rFonts w:cs="Arial"/>
        </w:rPr>
        <w:t>conocer la gestión patrimonial.</w:t>
      </w:r>
    </w:p>
    <w:p w:rsidR="00330403" w:rsidRPr="00A15DE4" w:rsidRDefault="00330403" w:rsidP="00F57E99">
      <w:pPr>
        <w:keepNext/>
        <w:widowControl w:val="0"/>
        <w:spacing w:line="360" w:lineRule="auto"/>
        <w:mirrorIndents/>
        <w:rPr>
          <w:rFonts w:cs="Arial"/>
          <w:b/>
        </w:rPr>
      </w:pPr>
      <w:bookmarkStart w:id="13" w:name="_Toc396901075"/>
      <w:r w:rsidRPr="00A15DE4">
        <w:rPr>
          <w:rFonts w:cs="Arial"/>
          <w:b/>
        </w:rPr>
        <w:t>4.3.2 Artículos 84 y 97 del TOCAF</w:t>
      </w:r>
      <w:bookmarkEnd w:id="13"/>
    </w:p>
    <w:p w:rsidR="00330403" w:rsidRPr="00A15DE4" w:rsidRDefault="00330403" w:rsidP="00F57E99">
      <w:pPr>
        <w:keepNext/>
        <w:widowControl w:val="0"/>
        <w:spacing w:line="360" w:lineRule="auto"/>
        <w:mirrorIndents/>
        <w:jc w:val="both"/>
        <w:rPr>
          <w:rFonts w:cs="Arial"/>
        </w:rPr>
      </w:pPr>
      <w:r w:rsidRPr="00A15DE4">
        <w:rPr>
          <w:rFonts w:cs="Arial"/>
        </w:rPr>
        <w:t xml:space="preserve">Se deberá mantener un registro permanente de la totalidad de los bienes de uso que integran el patrimonio de la Intendencia incluyendo, entre otros aspectos, la fecha de incorporación de cada bien, así como otros elementos </w:t>
      </w:r>
      <w:r>
        <w:rPr>
          <w:rFonts w:cs="Arial"/>
        </w:rPr>
        <w:t>que permitan su identificación.</w:t>
      </w:r>
    </w:p>
    <w:p w:rsidR="00330403" w:rsidRPr="00A15DE4" w:rsidRDefault="00330403" w:rsidP="00F57E99">
      <w:pPr>
        <w:keepNext/>
        <w:widowControl w:val="0"/>
        <w:spacing w:line="360" w:lineRule="auto"/>
        <w:mirrorIndents/>
        <w:jc w:val="both"/>
        <w:rPr>
          <w:rFonts w:cs="Arial"/>
          <w:b/>
        </w:rPr>
      </w:pPr>
      <w:bookmarkStart w:id="14" w:name="_Toc239140108"/>
      <w:bookmarkStart w:id="15" w:name="_Toc396901077"/>
      <w:r w:rsidRPr="00A15DE4">
        <w:rPr>
          <w:rFonts w:cs="Arial"/>
          <w:b/>
        </w:rPr>
        <w:t>4.3.3 Artículo 128 Numeral 1) del TOCAF y por el Instructivo del Tribunal de Cuentas aprobado por Resolución del 28/01/04</w:t>
      </w:r>
    </w:p>
    <w:bookmarkEnd w:id="14"/>
    <w:bookmarkEnd w:id="15"/>
    <w:p w:rsidR="00330403" w:rsidRDefault="00330403" w:rsidP="00F57E99">
      <w:pPr>
        <w:keepNext/>
        <w:widowControl w:val="0"/>
        <w:spacing w:line="360" w:lineRule="auto"/>
        <w:mirrorIndents/>
        <w:jc w:val="both"/>
        <w:rPr>
          <w:rFonts w:cs="Arial"/>
        </w:rPr>
      </w:pPr>
      <w:r w:rsidRPr="00A15DE4">
        <w:rPr>
          <w:rFonts w:cs="Arial"/>
        </w:rPr>
        <w:t>Se deberá incluir en el documento de Rendición de Cuentas el “Estado demostrativo del grado de cumplimiento de los objetivos y metas” el cual expone el detalle de las obras ejecutadas, tanto previstas como no previstas, identificando para cada obra, las unidades físicas proyectadas y ejecutadas, así como los costos presupuestados y resultantes.</w:t>
      </w:r>
    </w:p>
    <w:p w:rsidR="00330403" w:rsidRPr="00A15DE4" w:rsidRDefault="00330403" w:rsidP="00F57E99">
      <w:pPr>
        <w:keepNext/>
        <w:widowControl w:val="0"/>
        <w:spacing w:line="360" w:lineRule="auto"/>
        <w:mirrorIndents/>
        <w:rPr>
          <w:rFonts w:cs="Arial"/>
          <w:b/>
        </w:rPr>
      </w:pPr>
      <w:bookmarkStart w:id="16" w:name="_Toc396901084"/>
      <w:r w:rsidRPr="00A15DE4">
        <w:rPr>
          <w:rFonts w:cs="Arial"/>
          <w:b/>
        </w:rPr>
        <w:t xml:space="preserve">4.3.4 </w:t>
      </w:r>
      <w:r w:rsidRPr="00A15DE4">
        <w:rPr>
          <w:rFonts w:cs="Arial"/>
          <w:b/>
          <w:kern w:val="18"/>
        </w:rPr>
        <w:t>Artículo 7 de la Ley Nº 16.002</w:t>
      </w:r>
      <w:bookmarkEnd w:id="16"/>
    </w:p>
    <w:p w:rsidR="00330403" w:rsidRPr="00A15DE4" w:rsidRDefault="00330403" w:rsidP="00F57E99">
      <w:pPr>
        <w:keepNext/>
        <w:widowControl w:val="0"/>
        <w:spacing w:line="360" w:lineRule="auto"/>
        <w:mirrorIndents/>
        <w:rPr>
          <w:rFonts w:cs="Arial"/>
          <w:kern w:val="18"/>
        </w:rPr>
      </w:pPr>
      <w:r w:rsidRPr="00A15DE4">
        <w:rPr>
          <w:rFonts w:cs="Arial"/>
          <w:kern w:val="18"/>
        </w:rPr>
        <w:t>Los funcionarios públicos que se desempeñen en régimen de dedicación total no podrán percibir retribución adicion</w:t>
      </w:r>
      <w:r>
        <w:rPr>
          <w:rFonts w:cs="Arial"/>
          <w:kern w:val="18"/>
        </w:rPr>
        <w:t>al por trabajo en horas extras.</w:t>
      </w:r>
    </w:p>
    <w:p w:rsidR="00330403" w:rsidRPr="00A15DE4" w:rsidRDefault="00330403" w:rsidP="00F57E99">
      <w:pPr>
        <w:keepNext/>
        <w:widowControl w:val="0"/>
        <w:spacing w:line="360" w:lineRule="auto"/>
        <w:mirrorIndents/>
        <w:rPr>
          <w:rFonts w:cs="Arial"/>
          <w:b/>
        </w:rPr>
      </w:pPr>
      <w:bookmarkStart w:id="17" w:name="_Toc396901085"/>
      <w:r w:rsidRPr="00A15DE4">
        <w:rPr>
          <w:rFonts w:cs="Arial"/>
          <w:b/>
        </w:rPr>
        <w:t xml:space="preserve">4.3.5 </w:t>
      </w:r>
      <w:r w:rsidRPr="00A15DE4">
        <w:rPr>
          <w:rFonts w:cs="Arial"/>
          <w:b/>
          <w:kern w:val="18"/>
        </w:rPr>
        <w:t>Artículo 49 de la Ley Nº 18.651</w:t>
      </w:r>
      <w:bookmarkEnd w:id="17"/>
    </w:p>
    <w:p w:rsidR="00330403" w:rsidRPr="00A15DE4" w:rsidRDefault="00330403" w:rsidP="00F57E99">
      <w:pPr>
        <w:keepNext/>
        <w:widowControl w:val="0"/>
        <w:spacing w:line="360" w:lineRule="auto"/>
        <w:mirrorIndents/>
        <w:jc w:val="both"/>
        <w:rPr>
          <w:rFonts w:cs="Arial"/>
          <w:kern w:val="18"/>
        </w:rPr>
      </w:pPr>
      <w:r w:rsidRPr="00A15DE4">
        <w:rPr>
          <w:rFonts w:cs="Arial"/>
          <w:kern w:val="18"/>
        </w:rPr>
        <w:t>Los Gobiernos Departamentales deberán ocupar personas con discapacidad que reúnan condiciones de idoneidad para el cargo en una proporción mínima no inferior al 4% (cuat</w:t>
      </w:r>
      <w:r>
        <w:rPr>
          <w:rFonts w:cs="Arial"/>
          <w:kern w:val="18"/>
        </w:rPr>
        <w:t>ro por ciento) de sus vacantes.</w:t>
      </w:r>
    </w:p>
    <w:p w:rsidR="00330403" w:rsidRPr="00A15DE4" w:rsidRDefault="00330403" w:rsidP="00F57E99">
      <w:pPr>
        <w:keepNext/>
        <w:widowControl w:val="0"/>
        <w:spacing w:line="360" w:lineRule="auto"/>
        <w:mirrorIndents/>
        <w:rPr>
          <w:rFonts w:cs="Arial"/>
          <w:b/>
        </w:rPr>
      </w:pPr>
      <w:bookmarkStart w:id="18" w:name="_Toc396901078"/>
      <w:r w:rsidRPr="00A15DE4">
        <w:rPr>
          <w:rFonts w:cs="Arial"/>
          <w:b/>
        </w:rPr>
        <w:t xml:space="preserve">4.3.6 </w:t>
      </w:r>
      <w:bookmarkEnd w:id="18"/>
      <w:r w:rsidRPr="00A15DE4">
        <w:rPr>
          <w:rFonts w:cs="Arial"/>
          <w:b/>
        </w:rPr>
        <w:t>Convenio N° 30 de la OIT y Ordenanza Nº 61</w:t>
      </w:r>
    </w:p>
    <w:p w:rsidR="00330403" w:rsidRPr="00A15DE4" w:rsidRDefault="00330403" w:rsidP="00F57E99">
      <w:pPr>
        <w:keepNext/>
        <w:widowControl w:val="0"/>
        <w:spacing w:line="360" w:lineRule="auto"/>
        <w:mirrorIndents/>
        <w:jc w:val="both"/>
        <w:rPr>
          <w:rFonts w:cs="Arial"/>
        </w:rPr>
      </w:pPr>
      <w:r w:rsidRPr="00A15DE4">
        <w:rPr>
          <w:rFonts w:cs="Arial"/>
        </w:rPr>
        <w:t xml:space="preserve">Debe tenerse presente que el otorgamiento de horas extras a los funcionarios de la Intendencia debe realizarse de acuerdo con el principio general que establece que no se podrán trabajar más de 48 horas semanales, incluyendo las horas simples y las extras, </w:t>
      </w:r>
      <w:r w:rsidRPr="00A15DE4">
        <w:rPr>
          <w:rFonts w:cs="Arial"/>
          <w:bCs/>
        </w:rPr>
        <w:t>y que las horas de trabajo por día no pueden exceder de diez</w:t>
      </w:r>
      <w:r>
        <w:rPr>
          <w:rFonts w:cs="Arial"/>
        </w:rPr>
        <w:t>.</w:t>
      </w:r>
    </w:p>
    <w:p w:rsidR="00330403" w:rsidRPr="00A15DE4" w:rsidRDefault="00330403" w:rsidP="00F57E99">
      <w:pPr>
        <w:keepNext/>
        <w:widowControl w:val="0"/>
        <w:spacing w:line="360" w:lineRule="auto"/>
        <w:mirrorIndents/>
        <w:jc w:val="both"/>
        <w:rPr>
          <w:rStyle w:val="Ttulo2Car"/>
          <w:rFonts w:cs="Arial"/>
        </w:rPr>
      </w:pPr>
      <w:r w:rsidRPr="00A15DE4">
        <w:rPr>
          <w:rStyle w:val="Ttulo2Car"/>
          <w:rFonts w:cs="Arial"/>
        </w:rPr>
        <w:t>4.3.7 Control interno</w:t>
      </w:r>
    </w:p>
    <w:p w:rsidR="00330403" w:rsidRPr="00A15DE4" w:rsidRDefault="00330403" w:rsidP="00F57E99">
      <w:pPr>
        <w:keepNext/>
        <w:widowControl w:val="0"/>
        <w:spacing w:line="360" w:lineRule="auto"/>
        <w:mirrorIndents/>
        <w:jc w:val="both"/>
        <w:rPr>
          <w:rFonts w:cs="Arial"/>
          <w:kern w:val="18"/>
        </w:rPr>
      </w:pPr>
      <w:r w:rsidRPr="00A15DE4">
        <w:rPr>
          <w:rFonts w:cs="Arial"/>
          <w:kern w:val="18"/>
        </w:rPr>
        <w:t>La Intendencia debe tomar las medidas necesarias para subsanar las  debilidades de control interno expuestas en el Capítulo 3).</w:t>
      </w:r>
    </w:p>
    <w:p w:rsidR="00330403" w:rsidRPr="00A15DE4" w:rsidRDefault="00330403" w:rsidP="00F57E99">
      <w:pPr>
        <w:keepNext/>
        <w:widowControl w:val="0"/>
        <w:spacing w:line="360" w:lineRule="auto"/>
        <w:mirrorIndents/>
        <w:rPr>
          <w:rFonts w:cs="Arial"/>
          <w:b/>
        </w:rPr>
      </w:pPr>
      <w:bookmarkStart w:id="19" w:name="_Toc396901081"/>
      <w:r w:rsidRPr="00A15DE4">
        <w:rPr>
          <w:rFonts w:cs="Arial"/>
          <w:b/>
        </w:rPr>
        <w:t>4.4 Recomendaciones del ejercicio</w:t>
      </w:r>
      <w:bookmarkEnd w:id="19"/>
    </w:p>
    <w:p w:rsidR="00330403" w:rsidRPr="00A15DE4" w:rsidRDefault="00330403" w:rsidP="00F57E99">
      <w:pPr>
        <w:keepNext/>
        <w:widowControl w:val="0"/>
        <w:spacing w:line="360" w:lineRule="auto"/>
        <w:mirrorIndents/>
        <w:jc w:val="both"/>
        <w:rPr>
          <w:rFonts w:cs="Arial"/>
        </w:rPr>
      </w:pPr>
      <w:r w:rsidRPr="00A15DE4">
        <w:rPr>
          <w:rFonts w:cs="Arial"/>
        </w:rPr>
        <w:t>Se reiteran las recomendaciones señaladas en el apartado 4.3 y se agregan las siguientes</w:t>
      </w:r>
      <w:r>
        <w:rPr>
          <w:rFonts w:cs="Arial"/>
        </w:rPr>
        <w:t>:</w:t>
      </w:r>
    </w:p>
    <w:p w:rsidR="00330403" w:rsidRPr="00A15DE4" w:rsidRDefault="00330403" w:rsidP="00F57E99">
      <w:pPr>
        <w:keepNext/>
        <w:widowControl w:val="0"/>
        <w:spacing w:line="360" w:lineRule="auto"/>
        <w:mirrorIndents/>
        <w:jc w:val="both"/>
        <w:rPr>
          <w:rFonts w:cs="Arial"/>
          <w:b/>
        </w:rPr>
      </w:pPr>
      <w:r w:rsidRPr="00A15DE4">
        <w:rPr>
          <w:rFonts w:cs="Arial"/>
          <w:b/>
          <w:kern w:val="18"/>
        </w:rPr>
        <w:t>4.4.1 Rendición de Cuentas anual del Municipio ante el Gobierno Departamental</w:t>
      </w:r>
    </w:p>
    <w:p w:rsidR="00330403" w:rsidRPr="00A15DE4" w:rsidRDefault="00330403" w:rsidP="00F57E99">
      <w:pPr>
        <w:keepNext/>
        <w:widowControl w:val="0"/>
        <w:tabs>
          <w:tab w:val="left" w:pos="426"/>
        </w:tabs>
        <w:spacing w:line="360" w:lineRule="auto"/>
        <w:mirrorIndents/>
        <w:jc w:val="both"/>
        <w:rPr>
          <w:rFonts w:cs="Arial"/>
          <w:kern w:val="18"/>
        </w:rPr>
      </w:pPr>
      <w:r w:rsidRPr="00A15DE4">
        <w:rPr>
          <w:rFonts w:cs="Arial"/>
          <w:kern w:val="18"/>
        </w:rPr>
        <w:t>A efectos de dar cumplimiento a lo dispuesto en el Artículo 13 Numeral 18 de la Ley N° 19.272,</w:t>
      </w:r>
      <w:r w:rsidRPr="00A15DE4">
        <w:rPr>
          <w:rFonts w:cs="Arial"/>
          <w:b/>
          <w:kern w:val="18"/>
        </w:rPr>
        <w:t xml:space="preserve"> </w:t>
      </w:r>
      <w:r w:rsidR="00C8259A" w:rsidRPr="00C8259A">
        <w:rPr>
          <w:rFonts w:cs="Arial"/>
          <w:kern w:val="18"/>
        </w:rPr>
        <w:t>l</w:t>
      </w:r>
      <w:r w:rsidRPr="00A15DE4">
        <w:rPr>
          <w:rFonts w:cs="Arial"/>
          <w:kern w:val="18"/>
        </w:rPr>
        <w:t xml:space="preserve">os Municipios deben realizar la Rendición de Cuentas anual </w:t>
      </w:r>
      <w:r>
        <w:rPr>
          <w:rFonts w:cs="Arial"/>
          <w:kern w:val="18"/>
        </w:rPr>
        <w:t>ante el Gobierno Departamental.</w:t>
      </w:r>
    </w:p>
    <w:p w:rsidR="00330403" w:rsidRPr="00A15DE4" w:rsidRDefault="00330403" w:rsidP="00F57E99">
      <w:pPr>
        <w:keepNext/>
        <w:widowControl w:val="0"/>
        <w:tabs>
          <w:tab w:val="left" w:pos="426"/>
        </w:tabs>
        <w:spacing w:line="360" w:lineRule="auto"/>
        <w:mirrorIndents/>
        <w:jc w:val="both"/>
        <w:rPr>
          <w:rFonts w:cs="Arial"/>
          <w:b/>
          <w:kern w:val="18"/>
        </w:rPr>
      </w:pPr>
      <w:r w:rsidRPr="00A15DE4">
        <w:rPr>
          <w:rFonts w:cs="Arial"/>
          <w:b/>
          <w:kern w:val="18"/>
        </w:rPr>
        <w:t>4.4.2 Competencias de los Municipios</w:t>
      </w:r>
    </w:p>
    <w:p w:rsidR="00330403" w:rsidRDefault="00330403" w:rsidP="00F57E99">
      <w:pPr>
        <w:keepNext/>
        <w:widowControl w:val="0"/>
        <w:tabs>
          <w:tab w:val="left" w:pos="426"/>
        </w:tabs>
        <w:spacing w:line="360" w:lineRule="auto"/>
        <w:mirrorIndents/>
        <w:jc w:val="both"/>
        <w:rPr>
          <w:rFonts w:cs="Arial"/>
          <w:kern w:val="18"/>
        </w:rPr>
      </w:pPr>
      <w:r w:rsidRPr="00A15DE4">
        <w:rPr>
          <w:rFonts w:cs="Arial"/>
          <w:kern w:val="18"/>
        </w:rPr>
        <w:t>Se deben instrumentar los mecanismos necesarios que permitan verificar que se respeten las competencias de los Municipios de acuerdo a lo establecido en  y los artículos 7 y 13 de la Ley</w:t>
      </w:r>
      <w:r>
        <w:rPr>
          <w:rFonts w:cs="Arial"/>
          <w:kern w:val="18"/>
        </w:rPr>
        <w:t xml:space="preserve"> 1</w:t>
      </w:r>
      <w:r w:rsidR="00C8259A">
        <w:rPr>
          <w:rFonts w:cs="Arial"/>
          <w:kern w:val="18"/>
        </w:rPr>
        <w:t>9.272.</w:t>
      </w:r>
    </w:p>
    <w:p w:rsidR="00330403" w:rsidRPr="00A15DE4" w:rsidRDefault="00330403" w:rsidP="00F57E99">
      <w:pPr>
        <w:keepNext/>
        <w:widowControl w:val="0"/>
        <w:tabs>
          <w:tab w:val="left" w:pos="426"/>
        </w:tabs>
        <w:spacing w:line="360" w:lineRule="auto"/>
        <w:mirrorIndents/>
        <w:jc w:val="right"/>
        <w:rPr>
          <w:rFonts w:cs="Arial"/>
          <w:kern w:val="18"/>
        </w:rPr>
      </w:pPr>
      <w:r w:rsidRPr="00A15DE4">
        <w:rPr>
          <w:rFonts w:cs="Arial"/>
        </w:rPr>
        <w:t>Mont</w:t>
      </w:r>
      <w:r w:rsidR="00C8259A">
        <w:rPr>
          <w:rFonts w:cs="Arial"/>
        </w:rPr>
        <w:t>evideo, 12 de setiembre de 2017</w:t>
      </w:r>
    </w:p>
    <w:p w:rsidR="00330403" w:rsidRPr="006E619A" w:rsidRDefault="00330403" w:rsidP="00F57E99">
      <w:pPr>
        <w:keepNext/>
        <w:widowControl w:val="0"/>
        <w:rPr>
          <w:sz w:val="20"/>
          <w:szCs w:val="20"/>
        </w:rPr>
      </w:pPr>
      <w:r>
        <w:rPr>
          <w:sz w:val="20"/>
          <w:szCs w:val="20"/>
        </w:rPr>
        <w:t>CLC</w:t>
      </w:r>
    </w:p>
    <w:sectPr w:rsidR="00330403" w:rsidRPr="006E619A" w:rsidSect="00D0541F">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11EA"/>
    <w:multiLevelType w:val="hybridMultilevel"/>
    <w:tmpl w:val="0848F502"/>
    <w:lvl w:ilvl="0" w:tplc="380A0011">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1BFC4BBD"/>
    <w:multiLevelType w:val="hybridMultilevel"/>
    <w:tmpl w:val="0BCE32D8"/>
    <w:lvl w:ilvl="0" w:tplc="B240EDF8">
      <w:start w:val="4"/>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341D6DD5"/>
    <w:multiLevelType w:val="hybridMultilevel"/>
    <w:tmpl w:val="64BCD720"/>
    <w:lvl w:ilvl="0" w:tplc="FA2886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FE449AB"/>
    <w:multiLevelType w:val="hybridMultilevel"/>
    <w:tmpl w:val="CB8C6FCC"/>
    <w:lvl w:ilvl="0" w:tplc="380A0011">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42185C5D"/>
    <w:multiLevelType w:val="hybridMultilevel"/>
    <w:tmpl w:val="9EF809F6"/>
    <w:lvl w:ilvl="0" w:tplc="168C36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ABB38C7"/>
    <w:multiLevelType w:val="hybridMultilevel"/>
    <w:tmpl w:val="B678CDE0"/>
    <w:lvl w:ilvl="0" w:tplc="C20E2138">
      <w:start w:val="1"/>
      <w:numFmt w:val="decimal"/>
      <w:lvlText w:val="%1)"/>
      <w:lvlJc w:val="left"/>
      <w:pPr>
        <w:ind w:left="360" w:hanging="360"/>
      </w:pPr>
      <w:rPr>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
    <w:nsid w:val="6656373E"/>
    <w:multiLevelType w:val="hybridMultilevel"/>
    <w:tmpl w:val="1F7C24F2"/>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nsid w:val="6E5330BB"/>
    <w:multiLevelType w:val="hybridMultilevel"/>
    <w:tmpl w:val="1154319E"/>
    <w:lvl w:ilvl="0" w:tplc="3F0C0CB2">
      <w:start w:val="1"/>
      <w:numFmt w:val="decimal"/>
      <w:lvlText w:val="%1 - "/>
      <w:lvlJc w:val="left"/>
      <w:pPr>
        <w:tabs>
          <w:tab w:val="num" w:pos="786"/>
        </w:tabs>
        <w:ind w:left="786" w:hanging="360"/>
      </w:pPr>
      <w:rPr>
        <w:rFonts w:cs="Times New Roman" w:hint="default"/>
        <w:b/>
        <w:i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6E730111"/>
    <w:multiLevelType w:val="multilevel"/>
    <w:tmpl w:val="4D5E60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1"/>
  </w:num>
  <w:num w:numId="4">
    <w:abstractNumId w:val="8"/>
  </w:num>
  <w:num w:numId="5">
    <w:abstractNumId w:val="4"/>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C67D1"/>
    <w:rsid w:val="00057847"/>
    <w:rsid w:val="00330403"/>
    <w:rsid w:val="006E1481"/>
    <w:rsid w:val="006E619A"/>
    <w:rsid w:val="009C11C1"/>
    <w:rsid w:val="009E675A"/>
    <w:rsid w:val="00A6400E"/>
    <w:rsid w:val="00A9764B"/>
    <w:rsid w:val="00C8259A"/>
    <w:rsid w:val="00CD6E43"/>
    <w:rsid w:val="00D0541F"/>
    <w:rsid w:val="00E374F8"/>
    <w:rsid w:val="00EB6BB9"/>
    <w:rsid w:val="00EC67D1"/>
    <w:rsid w:val="00F57E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7D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C67D1"/>
    <w:pPr>
      <w:suppressAutoHyphens/>
      <w:spacing w:after="180" w:line="360" w:lineRule="auto"/>
      <w:outlineLvl w:val="0"/>
    </w:pPr>
    <w:rPr>
      <w:b/>
      <w:caps/>
      <w:kern w:val="1"/>
      <w:szCs w:val="20"/>
      <w:lang w:eastAsia="ar-SA"/>
    </w:rPr>
  </w:style>
  <w:style w:type="paragraph" w:styleId="Ttulo2">
    <w:name w:val="heading 2"/>
    <w:basedOn w:val="Normal"/>
    <w:next w:val="Textoindependiente"/>
    <w:link w:val="Ttulo2Car"/>
    <w:qFormat/>
    <w:rsid w:val="00330403"/>
    <w:pPr>
      <w:suppressAutoHyphens/>
      <w:spacing w:after="170" w:line="360" w:lineRule="auto"/>
      <w:outlineLvl w:val="1"/>
    </w:pPr>
    <w:rPr>
      <w:b/>
      <w:kern w:val="1"/>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C67D1"/>
    <w:rPr>
      <w:rFonts w:ascii="Arial" w:eastAsia="Times New Roman" w:hAnsi="Arial" w:cs="Times New Roman"/>
      <w:b/>
      <w:caps/>
      <w:kern w:val="1"/>
      <w:sz w:val="24"/>
      <w:szCs w:val="20"/>
      <w:lang w:val="es-ES" w:eastAsia="ar-SA"/>
    </w:rPr>
  </w:style>
  <w:style w:type="paragraph" w:styleId="Prrafodelista">
    <w:name w:val="List Paragraph"/>
    <w:basedOn w:val="Normal"/>
    <w:uiPriority w:val="34"/>
    <w:qFormat/>
    <w:rsid w:val="00EC67D1"/>
    <w:pPr>
      <w:ind w:left="720"/>
      <w:contextualSpacing/>
    </w:pPr>
  </w:style>
  <w:style w:type="paragraph" w:styleId="Textoindependiente">
    <w:name w:val="Body Text"/>
    <w:basedOn w:val="Normal"/>
    <w:link w:val="TextoindependienteCar"/>
    <w:semiHidden/>
    <w:rsid w:val="00330403"/>
    <w:pPr>
      <w:suppressAutoHyphens/>
      <w:spacing w:after="240" w:line="240" w:lineRule="atLeast"/>
      <w:jc w:val="both"/>
    </w:pPr>
    <w:rPr>
      <w:kern w:val="1"/>
      <w:szCs w:val="20"/>
      <w:lang w:val="es-ES_tradnl" w:eastAsia="ar-SA"/>
    </w:rPr>
  </w:style>
  <w:style w:type="character" w:customStyle="1" w:styleId="TextoindependienteCar">
    <w:name w:val="Texto independiente Car"/>
    <w:basedOn w:val="Fuentedeprrafopredeter"/>
    <w:link w:val="Textoindependiente"/>
    <w:semiHidden/>
    <w:rsid w:val="00330403"/>
    <w:rPr>
      <w:rFonts w:ascii="Arial" w:eastAsia="Times New Roman" w:hAnsi="Arial" w:cs="Times New Roman"/>
      <w:kern w:val="1"/>
      <w:sz w:val="24"/>
      <w:szCs w:val="20"/>
      <w:lang w:val="es-ES_tradnl" w:eastAsia="ar-SA"/>
    </w:rPr>
  </w:style>
  <w:style w:type="paragraph" w:styleId="Subttulo">
    <w:name w:val="Subtitle"/>
    <w:basedOn w:val="Normal"/>
    <w:next w:val="Textoindependiente"/>
    <w:link w:val="SubttuloCar"/>
    <w:qFormat/>
    <w:rsid w:val="00330403"/>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330403"/>
    <w:rPr>
      <w:rFonts w:ascii="Bookman Old Style" w:eastAsia="Times New Roman" w:hAnsi="Bookman Old Style" w:cs="Times New Roman"/>
      <w:b/>
      <w:kern w:val="1"/>
      <w:sz w:val="24"/>
      <w:szCs w:val="20"/>
      <w:lang w:val="es-ES" w:eastAsia="ar-SA"/>
    </w:rPr>
  </w:style>
  <w:style w:type="character" w:customStyle="1" w:styleId="Ttulo2Car">
    <w:name w:val="Título 2 Car"/>
    <w:basedOn w:val="Fuentedeprrafopredeter"/>
    <w:link w:val="Ttulo2"/>
    <w:rsid w:val="00330403"/>
    <w:rPr>
      <w:rFonts w:ascii="Arial" w:eastAsia="Times New Roman" w:hAnsi="Arial" w:cs="Times New Roman"/>
      <w:b/>
      <w:kern w:val="1"/>
      <w:sz w:val="24"/>
      <w:szCs w:val="20"/>
      <w:lang w:val="es-ES" w:eastAsia="ar-SA"/>
    </w:rPr>
  </w:style>
  <w:style w:type="paragraph" w:styleId="Encabezado">
    <w:name w:val="header"/>
    <w:basedOn w:val="Normal"/>
    <w:next w:val="Textoindependiente"/>
    <w:link w:val="EncabezadoCar"/>
    <w:uiPriority w:val="99"/>
    <w:rsid w:val="00330403"/>
    <w:pPr>
      <w:tabs>
        <w:tab w:val="center" w:pos="4252"/>
        <w:tab w:val="right" w:pos="8504"/>
      </w:tabs>
      <w:suppressAutoHyphens/>
      <w:spacing w:line="360" w:lineRule="auto"/>
      <w:jc w:val="both"/>
    </w:pPr>
    <w:rPr>
      <w:kern w:val="1"/>
      <w:szCs w:val="20"/>
      <w:lang w:val="es-ES_tradnl" w:eastAsia="ar-SA"/>
    </w:rPr>
  </w:style>
  <w:style w:type="character" w:customStyle="1" w:styleId="EncabezadoCar">
    <w:name w:val="Encabezado Car"/>
    <w:basedOn w:val="Fuentedeprrafopredeter"/>
    <w:link w:val="Encabezado"/>
    <w:uiPriority w:val="99"/>
    <w:rsid w:val="00330403"/>
    <w:rPr>
      <w:rFonts w:ascii="Arial" w:eastAsia="Times New Roman" w:hAnsi="Arial" w:cs="Times New Roman"/>
      <w:kern w:val="1"/>
      <w:sz w:val="24"/>
      <w:szCs w:val="20"/>
      <w:lang w:val="es-ES_tradnl" w:eastAsia="ar-SA"/>
    </w:rPr>
  </w:style>
  <w:style w:type="paragraph" w:styleId="Textoindependiente2">
    <w:name w:val="Body Text 2"/>
    <w:basedOn w:val="Normal"/>
    <w:link w:val="Textoindependiente2Car"/>
    <w:semiHidden/>
    <w:rsid w:val="00330403"/>
    <w:pPr>
      <w:suppressAutoHyphens/>
      <w:spacing w:line="360" w:lineRule="auto"/>
    </w:pPr>
    <w:rPr>
      <w:rFonts w:ascii="Bookman Old Style" w:hAnsi="Bookman Old Style"/>
      <w:kern w:val="1"/>
      <w:szCs w:val="20"/>
      <w:lang w:eastAsia="ar-SA"/>
    </w:rPr>
  </w:style>
  <w:style w:type="character" w:customStyle="1" w:styleId="Textoindependiente2Car">
    <w:name w:val="Texto independiente 2 Car"/>
    <w:basedOn w:val="Fuentedeprrafopredeter"/>
    <w:link w:val="Textoindependiente2"/>
    <w:semiHidden/>
    <w:rsid w:val="00330403"/>
    <w:rPr>
      <w:rFonts w:ascii="Bookman Old Style" w:eastAsia="Times New Roman" w:hAnsi="Bookman Old Style" w:cs="Times New Roman"/>
      <w:kern w:val="1"/>
      <w:sz w:val="24"/>
      <w:szCs w:val="20"/>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EA20-1DFB-49D0-8305-96218049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2224</Words>
  <Characters>12238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Tribunal1</cp:lastModifiedBy>
  <cp:revision>6</cp:revision>
  <dcterms:created xsi:type="dcterms:W3CDTF">2017-10-04T13:25:00Z</dcterms:created>
  <dcterms:modified xsi:type="dcterms:W3CDTF">2018-01-10T18:46:00Z</dcterms:modified>
</cp:coreProperties>
</file>