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EB" w:rsidRPr="00F952A5" w:rsidRDefault="004B7EEB" w:rsidP="00F952A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4B7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3734</w:t>
      </w:r>
      <w:r w:rsidRPr="004B7EEB">
        <w:rPr>
          <w:rFonts w:ascii="Arial" w:hAnsi="Arial" w:cs="Arial"/>
          <w:b/>
          <w:sz w:val="28"/>
          <w:szCs w:val="28"/>
          <w:lang w:val="es-ES_tradnl"/>
        </w:rPr>
        <w:t>/17</w:t>
      </w:r>
      <w:bookmarkStart w:id="0" w:name="_GoBack"/>
      <w:bookmarkEnd w:id="0"/>
    </w:p>
    <w:p w:rsidR="004B7EEB" w:rsidRPr="004B7EEB" w:rsidRDefault="004B7EEB" w:rsidP="004B7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7EE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B7EEB" w:rsidRPr="004B7EEB" w:rsidRDefault="004B7EEB" w:rsidP="004B7E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7EEB" w:rsidRPr="004B7EEB" w:rsidRDefault="004B7EEB" w:rsidP="004B7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7EE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B7EEB" w:rsidRPr="004B7EEB" w:rsidRDefault="004B7EEB" w:rsidP="004B7E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7EEB" w:rsidRPr="004B7EEB" w:rsidRDefault="004B7EEB" w:rsidP="004B7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7EEB">
        <w:rPr>
          <w:rFonts w:ascii="Arial" w:hAnsi="Arial" w:cs="Arial"/>
          <w:b/>
          <w:sz w:val="24"/>
          <w:szCs w:val="24"/>
          <w:lang w:val="es-ES_tradnl"/>
        </w:rPr>
        <w:t>EN SESION DE FECHA 15 DE NOVIEMBRE DE 2017</w:t>
      </w:r>
    </w:p>
    <w:p w:rsidR="004B7EEB" w:rsidRPr="004B7EEB" w:rsidRDefault="004B7EEB" w:rsidP="004B7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7EEB" w:rsidRPr="005E2709" w:rsidRDefault="004B7EEB" w:rsidP="004B7E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E2709">
        <w:rPr>
          <w:rFonts w:ascii="Arial" w:hAnsi="Arial" w:cs="Arial"/>
          <w:b/>
          <w:sz w:val="24"/>
          <w:szCs w:val="24"/>
          <w:lang w:val="en-US"/>
        </w:rPr>
        <w:t>(E. E. Nº</w:t>
      </w:r>
      <w:r w:rsidR="005E2709" w:rsidRPr="005E2709">
        <w:rPr>
          <w:rFonts w:ascii="Arial" w:hAnsi="Arial" w:cs="Arial"/>
          <w:b/>
          <w:sz w:val="24"/>
          <w:szCs w:val="24"/>
        </w:rPr>
        <w:t>2013-17-1-0000637</w:t>
      </w:r>
      <w:r w:rsidRPr="005E270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5E2709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5E2709">
        <w:rPr>
          <w:rFonts w:ascii="Arial" w:hAnsi="Arial" w:cs="Arial"/>
          <w:b/>
          <w:sz w:val="24"/>
          <w:szCs w:val="24"/>
          <w:lang w:val="en-US"/>
        </w:rPr>
        <w:t>. N°</w:t>
      </w:r>
      <w:r w:rsidR="005E2709" w:rsidRPr="005E2709">
        <w:rPr>
          <w:rFonts w:ascii="Arial" w:hAnsi="Arial" w:cs="Arial"/>
          <w:b/>
          <w:sz w:val="24"/>
          <w:szCs w:val="24"/>
        </w:rPr>
        <w:t>5323</w:t>
      </w:r>
      <w:r w:rsidR="005E2709" w:rsidRPr="005E2709">
        <w:rPr>
          <w:rFonts w:ascii="Arial" w:hAnsi="Arial" w:cs="Arial"/>
          <w:b/>
          <w:sz w:val="24"/>
          <w:szCs w:val="24"/>
        </w:rPr>
        <w:t>/17</w:t>
      </w:r>
      <w:r w:rsidRPr="005E270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B7EEB" w:rsidRDefault="004B7EEB" w:rsidP="005E2709">
      <w:pPr>
        <w:tabs>
          <w:tab w:val="center" w:pos="4253"/>
        </w:tabs>
        <w:suppressAutoHyphens/>
        <w:rPr>
          <w:spacing w:val="-3"/>
          <w:lang w:val="en-US"/>
        </w:rPr>
      </w:pPr>
    </w:p>
    <w:p w:rsidR="002D58CD" w:rsidRDefault="002D58CD" w:rsidP="005E270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el Contador Delegado ante la Intendencia de Maldonado, relacionadas con la reiteración de la  prórroga de la  contratación directa de la firma </w:t>
      </w:r>
      <w:proofErr w:type="spellStart"/>
      <w:r>
        <w:rPr>
          <w:rFonts w:ascii="Arial" w:hAnsi="Arial" w:cs="Arial"/>
          <w:sz w:val="24"/>
          <w:szCs w:val="24"/>
        </w:rPr>
        <w:t>Foreing</w:t>
      </w:r>
      <w:proofErr w:type="spellEnd"/>
      <w:r>
        <w:rPr>
          <w:rFonts w:ascii="Arial" w:hAnsi="Arial" w:cs="Arial"/>
          <w:sz w:val="24"/>
          <w:szCs w:val="24"/>
        </w:rPr>
        <w:t xml:space="preserve"> Security Ltda., para realizar el servicio de seguridad y vigilancia de la planta de la Dirección General de Obras y Talleres;</w:t>
      </w:r>
    </w:p>
    <w:p w:rsidR="002D58CD" w:rsidRDefault="002D58CD" w:rsidP="005E270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por Resolución Nº 05471/11, de fecha 22 de julio de 2011, el Intendente dispuso adjudicar la L</w:t>
      </w:r>
      <w:r>
        <w:rPr>
          <w:rFonts w:ascii="Arial" w:hAnsi="Arial" w:cs="Arial"/>
          <w:sz w:val="24"/>
          <w:szCs w:val="24"/>
          <w:lang w:val="es-MX"/>
        </w:rPr>
        <w:t>icitación Pública 13/11, para la prestación del servicio de mantenimiento de la seguridad y vigilancia de la planta de la Dirección General de Obras y Talleres, sito en Ruta 39 y Avda. Luis Alberto de Herrera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Foreing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Security Ltda., por $ 523.613 mensuales (IVA incl.), hasta la finali</w:t>
      </w:r>
      <w:r w:rsidR="005E2709">
        <w:rPr>
          <w:rFonts w:ascii="Arial" w:hAnsi="Arial" w:cs="Arial"/>
          <w:sz w:val="24"/>
          <w:szCs w:val="24"/>
          <w:lang w:val="es-MX"/>
        </w:rPr>
        <w:t>zación del período de gobierno;</w:t>
      </w:r>
    </w:p>
    <w:p w:rsidR="005E2709" w:rsidRDefault="002D58CD" w:rsidP="005E270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>
        <w:rPr>
          <w:rFonts w:ascii="Arial" w:hAnsi="Arial" w:cs="Arial"/>
          <w:sz w:val="24"/>
          <w:szCs w:val="24"/>
          <w:lang w:val="es-MX"/>
        </w:rPr>
        <w:t>que</w:t>
      </w:r>
      <w:r>
        <w:rPr>
          <w:rFonts w:ascii="Arial" w:hAnsi="Arial" w:cs="Arial"/>
          <w:sz w:val="24"/>
          <w:szCs w:val="24"/>
        </w:rPr>
        <w:t xml:space="preserve"> en virtud de la caducidad de la contratación dispuesta en el marco de la licitación 13/2011, por Resolución 05442/2015 de 28/07/15 el Intendente dispuso la contratación directa de la referida firma, hasta el 30/09/15, por un  </w:t>
      </w:r>
      <w:r w:rsidR="005E2709">
        <w:rPr>
          <w:rFonts w:ascii="Arial" w:hAnsi="Arial" w:cs="Arial"/>
          <w:sz w:val="24"/>
          <w:szCs w:val="24"/>
        </w:rPr>
        <w:t>monto mensual de  $ 724.366</w:t>
      </w:r>
      <w:proofErr w:type="gramStart"/>
      <w:r w:rsidR="005E2709">
        <w:rPr>
          <w:rFonts w:ascii="Arial" w:hAnsi="Arial" w:cs="Arial"/>
          <w:sz w:val="24"/>
          <w:szCs w:val="24"/>
        </w:rPr>
        <w:t>,oo</w:t>
      </w:r>
      <w:proofErr w:type="gramEnd"/>
      <w:r w:rsidR="005E2709">
        <w:rPr>
          <w:rFonts w:ascii="Arial" w:hAnsi="Arial" w:cs="Arial"/>
          <w:sz w:val="24"/>
          <w:szCs w:val="24"/>
        </w:rPr>
        <w:t>;</w:t>
      </w:r>
    </w:p>
    <w:p w:rsidR="005E2709" w:rsidRDefault="002D58CD" w:rsidP="005E270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el gasto derivado de dicha contratación fue intervenido por la Contadora Delegada el 28/08/15;                                               </w:t>
      </w:r>
    </w:p>
    <w:p w:rsidR="005E2709" w:rsidRDefault="002D58CD" w:rsidP="005E270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por Resolución 09018/20105 de fecha 15/12/15 el Intendente dispuso contratar nuevamente, al amparo del artículo 33 literal C) numeral 9 del TOCAF  a la Empresa </w:t>
      </w:r>
      <w:proofErr w:type="spellStart"/>
      <w:r>
        <w:rPr>
          <w:rFonts w:ascii="Arial" w:hAnsi="Arial" w:cs="Arial"/>
          <w:sz w:val="24"/>
          <w:szCs w:val="24"/>
        </w:rPr>
        <w:t>Foreing</w:t>
      </w:r>
      <w:proofErr w:type="spellEnd"/>
      <w:r>
        <w:rPr>
          <w:rFonts w:ascii="Arial" w:hAnsi="Arial" w:cs="Arial"/>
          <w:sz w:val="24"/>
          <w:szCs w:val="24"/>
        </w:rPr>
        <w:t xml:space="preserve"> Security Ltda., para las tareas de vigilancia de la Dirección General de Obras y Talleres, por un monto mensual de  $ 724.3366, hasta la adjudicaci</w:t>
      </w:r>
      <w:r w:rsidR="005E2709">
        <w:rPr>
          <w:rFonts w:ascii="Arial" w:hAnsi="Arial" w:cs="Arial"/>
          <w:sz w:val="24"/>
          <w:szCs w:val="24"/>
        </w:rPr>
        <w:t>ón de la licitación en trámite.</w:t>
      </w:r>
    </w:p>
    <w:p w:rsidR="005E2709" w:rsidRDefault="002D58CD" w:rsidP="005E270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5) </w:t>
      </w:r>
      <w:r>
        <w:rPr>
          <w:rFonts w:ascii="Arial" w:hAnsi="Arial" w:cs="Arial"/>
          <w:sz w:val="24"/>
          <w:szCs w:val="24"/>
        </w:rPr>
        <w:t>que con fecha 21/12/2015 la Contadora Delegada observó el gasto de la imputación preventiva Nº 12415 por $ 2:173.098 por contravenir el Artículo 211 literal B) de la Constitución de la República y Art. 15 del TOCAF, siendo reiterado el gasto por Resolución Nº 09293/2015 de 23/12/2015</w:t>
      </w:r>
      <w:r w:rsidR="005E2709">
        <w:rPr>
          <w:rFonts w:ascii="Arial" w:hAnsi="Arial" w:cs="Arial"/>
          <w:sz w:val="24"/>
          <w:szCs w:val="24"/>
        </w:rPr>
        <w:t xml:space="preserve"> ;</w:t>
      </w:r>
    </w:p>
    <w:p w:rsidR="005E2709" w:rsidRDefault="002D58CD" w:rsidP="005E270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la Contadora Delegada informó, con fecha 04/03/16  que el gasto de $ 4:346.196 correspondiente al período enero-junio 2016 fue imputado al rubro 5291 Servicio de Vigilancia y Custodia - derivado 10500 Dirección General de Obra, el que cuenta con disponibilidad suficiente, solicitando la remisión de las actuaciones al Tribunal en virtud de que el monto d</w:t>
      </w:r>
      <w:r w:rsidR="005E2709">
        <w:rPr>
          <w:rFonts w:ascii="Arial" w:hAnsi="Arial" w:cs="Arial"/>
          <w:sz w:val="24"/>
          <w:szCs w:val="24"/>
        </w:rPr>
        <w:t>el gasto excede su competencia;</w:t>
      </w:r>
    </w:p>
    <w:p w:rsidR="005E2709" w:rsidRDefault="002D58CD" w:rsidP="005E270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en sesión de fecha 16/03/2016 este Tribunal observó el gasto por encontrarse indefinido el monto de la contratación, contar las actuaciones con principio de ejecución, y no ajustarse a lo dispuesto por los artículos 33 literal C Numeral 9 y 157 del TOCAF, reiterándose el gasto por Resolución  Nº 2862 del 26/04/16 y manteniéndose la observaci</w:t>
      </w:r>
      <w:r w:rsidR="005E2709">
        <w:rPr>
          <w:rFonts w:ascii="Arial" w:hAnsi="Arial" w:cs="Arial"/>
          <w:sz w:val="24"/>
          <w:szCs w:val="24"/>
        </w:rPr>
        <w:t>ón en sesión de fecha 01/06/16;</w:t>
      </w:r>
    </w:p>
    <w:p w:rsidR="00F952A5" w:rsidRDefault="002D58CD" w:rsidP="00F952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 xml:space="preserve">que con fecha 19/08/16, se remitió para su intervención imputaciones correspondiente al período julio-diciembre 2016 por la suma de $ 4:346.196, sin disponibilidad.   Este Tribunal,  en sesión de fecha 31/08/16, considerando que ya se había expedido observando el procedimiento,  observó la imputación, por incumplimiento del art. 15 del T.O.C.A.F. y por principio de ejecución.   Dicho gasto fue reiterado por </w:t>
      </w:r>
      <w:r w:rsidR="00F952A5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Res. 7501/16 el 18/10/16, siendo  mantenida la observación el 23/11/16;</w:t>
      </w:r>
    </w:p>
    <w:p w:rsidR="00F952A5" w:rsidRDefault="002D58CD" w:rsidP="00F952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 xml:space="preserve">que posteriormente se remitió para la intervención la suma de $ 4:346.196, correspondiente al período enero-junio de 2017, la cual fue imputada con cargo al rubro 5291-10500 con disponibilidad presupuestal; </w:t>
      </w:r>
    </w:p>
    <w:p w:rsidR="00F952A5" w:rsidRDefault="002D58CD" w:rsidP="00F952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 este Tribunal en Sesión de fecha 08/03/17, considerando que las  imputaciones remitidas estaban comprendidas en el </w:t>
      </w:r>
      <w:r>
        <w:rPr>
          <w:rFonts w:ascii="Arial" w:hAnsi="Arial" w:cs="Arial"/>
          <w:sz w:val="24"/>
          <w:szCs w:val="24"/>
        </w:rPr>
        <w:lastRenderedPageBreak/>
        <w:t xml:space="preserve">gasto autorizado por Resolución del Intendente Nº 09018/2015 de fecha 15/12/2015, que dispuso la contratación hasta la adjudicación de la licitación en trámite (el que fue observado oportunamente por este Tribunal)  acordó estar a lo dispuesto en Sesión de fecha 16/03/2016, así como observar por principio de ejecución la imputación por la suma de $ 4:346.196, correspondiente al período enero-junio 2017.  Reiterado por Resolución Nº 2931/2017, este Tribunal con fecha 07/06/17 mantuvo la observación;               </w:t>
      </w:r>
    </w:p>
    <w:p w:rsidR="00F952A5" w:rsidRDefault="002D58CD" w:rsidP="00F952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11) </w:t>
      </w:r>
      <w:r>
        <w:rPr>
          <w:rFonts w:ascii="Arial" w:hAnsi="Arial" w:cs="Arial"/>
          <w:sz w:val="24"/>
          <w:szCs w:val="24"/>
        </w:rPr>
        <w:t>que se remitió para la intervención imputación por las sumas de $ 4:346.196 (básico julio-diciembre) y $ 860.682 (ajuste paramétrico) correspondientes al período julio-diciembre de 2017, al Rubro 5291-10500, que no contaba con disponibilidad presupuestal;</w:t>
      </w:r>
    </w:p>
    <w:p w:rsidR="00F952A5" w:rsidRDefault="002D58CD" w:rsidP="00F952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12) </w:t>
      </w:r>
      <w:r>
        <w:rPr>
          <w:rFonts w:ascii="Arial" w:hAnsi="Arial" w:cs="Arial"/>
          <w:sz w:val="24"/>
          <w:szCs w:val="24"/>
        </w:rPr>
        <w:t xml:space="preserve">que este Tribunal, en Sesión de fecha 06/09/17, acordó expedirse en los términos de los siguientes considerandos: </w:t>
      </w:r>
      <w:r>
        <w:rPr>
          <w:rFonts w:ascii="Arial" w:hAnsi="Arial" w:cs="Arial"/>
          <w:b/>
          <w:bCs/>
          <w:sz w:val="24"/>
          <w:szCs w:val="24"/>
        </w:rPr>
        <w:t>12.1)</w:t>
      </w:r>
      <w:r>
        <w:rPr>
          <w:rFonts w:ascii="Arial" w:hAnsi="Arial" w:cs="Arial"/>
          <w:sz w:val="24"/>
          <w:szCs w:val="24"/>
        </w:rPr>
        <w:t xml:space="preserve"> Que las imputaciones remitidas estaban comprendidas en el gasto autorizado por Resolución del Intendente Nº 09018/2015 de fecha 15/12/2015, que dispuso la contratación hasta la adjudicación de la licitación en trámite, y que fuera oportunamente observado, reiterado por el ordenador y mantenida la observación; </w:t>
      </w:r>
      <w:r>
        <w:rPr>
          <w:rFonts w:ascii="Arial" w:hAnsi="Arial" w:cs="Arial"/>
          <w:b/>
          <w:bCs/>
          <w:sz w:val="24"/>
          <w:szCs w:val="24"/>
        </w:rPr>
        <w:t>12.2)</w:t>
      </w:r>
      <w:r>
        <w:rPr>
          <w:rFonts w:ascii="Arial" w:hAnsi="Arial" w:cs="Arial"/>
          <w:sz w:val="24"/>
          <w:szCs w:val="24"/>
        </w:rPr>
        <w:t xml:space="preserve"> Que no obstante, se había contravenido lo dispuesto por el Art. 15 del T.O.C.A.F.; y </w:t>
      </w:r>
      <w:r>
        <w:rPr>
          <w:rFonts w:ascii="Arial" w:hAnsi="Arial" w:cs="Arial"/>
          <w:b/>
          <w:bCs/>
          <w:sz w:val="24"/>
          <w:szCs w:val="24"/>
        </w:rPr>
        <w:t>12.3)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color w:val="000000"/>
          <w:sz w:val="24"/>
          <w:szCs w:val="24"/>
          <w:lang w:val="es-MX" w:eastAsia="es-ES"/>
        </w:rPr>
        <w:t>habiéndose cumplido con el ciclo constitucional</w:t>
      </w:r>
      <w:r>
        <w:rPr>
          <w:rFonts w:ascii="Arial" w:hAnsi="Arial" w:cs="Arial"/>
          <w:b/>
          <w:bCs/>
          <w:color w:val="000000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UY" w:eastAsia="es-ES"/>
        </w:rPr>
        <w:t xml:space="preserve">dispuesto por el Art. 211 Literal B) de la Constitución de 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>República, no correspondía expedirse nuevamente sobre el mismo gasto, por lo que la Contadora Delegada debería proceder a la intervención de los pagos por reiteración, salvo que se verificaran nuevas causales de observación;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D58CD" w:rsidRPr="00F952A5" w:rsidRDefault="002D58CD" w:rsidP="00F952A5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13) </w:t>
      </w:r>
      <w:r>
        <w:rPr>
          <w:rFonts w:ascii="Arial" w:hAnsi="Arial" w:cs="Arial"/>
          <w:sz w:val="24"/>
          <w:szCs w:val="24"/>
        </w:rPr>
        <w:t xml:space="preserve">que en la oportunidad, el Intendente mediante Resolución Nº 07330/2017 de fecha 10/10/17, dispuso reiterar el gasto de </w:t>
      </w:r>
      <w:r w:rsidR="00F952A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$ 4:346.196, y $ 860.682, considerando que: - el gasto observado fue previsto en el Presupuesto Quinquenal 2016-2020, sin que se emitieran observaciones por el Tribunal, - se carecía de disponibilidad en el momento de la imputación preventiva, procediéndose a dotar al Rubro de la disponibilidad suficiente a los efectos de dar cumplimiento al compromiso asumido, y - que mientras se </w:t>
      </w:r>
      <w:r>
        <w:rPr>
          <w:rFonts w:ascii="Arial" w:hAnsi="Arial" w:cs="Arial"/>
          <w:sz w:val="24"/>
          <w:szCs w:val="24"/>
        </w:rPr>
        <w:lastRenderedPageBreak/>
        <w:t xml:space="preserve">agiliza el procedimiento competitivo tendiente a cubrir el servicio prestado actualmente mediante contratación directa, resulta inaplazable proceder a la reiteración del gasto;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:rsidR="002D58CD" w:rsidRDefault="002D58CD" w:rsidP="005E270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>CONSIDERANDO: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 xml:space="preserve">1) </w:t>
      </w:r>
      <w:r>
        <w:rPr>
          <w:rFonts w:ascii="Arial" w:hAnsi="Arial" w:cs="Arial"/>
          <w:color w:val="000000"/>
          <w:sz w:val="24"/>
          <w:szCs w:val="24"/>
          <w:lang w:val="es-MX" w:eastAsia="es-ES"/>
        </w:rPr>
        <w:t>que el Art. 475 de la Ley 17.296 dispone que los Ordenadores de gastos o pagos, al ejercer la facultad de insistencia o reiteración que les confiere el Art. 211 Lit. B) de la Constitución de la República deberán hacerlo en forma fundada, detallando los motivos que a su juicio justifican seguir el curso del gasto o pago;</w:t>
      </w:r>
    </w:p>
    <w:p w:rsidR="002D58CD" w:rsidRDefault="002D58CD" w:rsidP="005E2709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 w:eastAsia="es-ES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  <w:lang w:val="es-MX" w:eastAsia="es-ES"/>
        </w:rPr>
        <w:t xml:space="preserve">2) </w:t>
      </w:r>
      <w:r>
        <w:rPr>
          <w:rFonts w:ascii="Arial" w:hAnsi="Arial" w:cs="Arial"/>
          <w:sz w:val="24"/>
          <w:szCs w:val="24"/>
          <w:lang w:val="es-MX"/>
        </w:rPr>
        <w:t xml:space="preserve">que en el caso los gastos derivados de las imputaciones remitidas a la intervención, se encontraban comprendidos en el gasto original dispuesto por Resolución Nº 09018/2015 de 15/12/15, el que fue observado en su totalidad, y respecto del cual se agotó el ciclo del gasto, al haber sido reiterado y mantenida la observación, sin perjuicio de ello, las nuevas imputaciones a su  vez carecían de disponibilidad en contravención al artículo 15 del TOCAF (Resultando 12); </w:t>
      </w:r>
    </w:p>
    <w:p w:rsidR="002D58CD" w:rsidRDefault="002D58CD" w:rsidP="005E2709">
      <w:pPr>
        <w:tabs>
          <w:tab w:val="left" w:pos="2268"/>
        </w:tabs>
        <w:spacing w:after="0" w:line="360" w:lineRule="auto"/>
        <w:ind w:firstLine="2977"/>
        <w:jc w:val="both"/>
        <w:rPr>
          <w:rFonts w:ascii="Arial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3) </w:t>
      </w:r>
      <w:r>
        <w:rPr>
          <w:rFonts w:ascii="Arial" w:hAnsi="Arial" w:cs="Arial"/>
          <w:sz w:val="24"/>
          <w:szCs w:val="24"/>
          <w:lang w:val="es-MX"/>
        </w:rPr>
        <w:t>que lo expresado por el Ordenador (Resultando 13), no cambia la contravención legal constatada;</w:t>
      </w:r>
    </w:p>
    <w:p w:rsidR="002D58CD" w:rsidRDefault="002D58CD" w:rsidP="005E270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 xml:space="preserve">ATENTO: 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>a lo dispuesto por el  artículo 211 literal B) de la Constitución de la</w:t>
      </w:r>
      <w:r>
        <w:rPr>
          <w:rFonts w:ascii="Arial" w:hAnsi="Arial" w:cs="Arial"/>
          <w:color w:val="000000"/>
          <w:sz w:val="24"/>
          <w:szCs w:val="24"/>
          <w:u w:val="single"/>
          <w:lang w:val="es-ES_tradnl" w:eastAsia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>República;</w:t>
      </w:r>
    </w:p>
    <w:p w:rsidR="002D58CD" w:rsidRPr="00F952A5" w:rsidRDefault="002D58CD" w:rsidP="00F952A5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>EL TRIBUNAL ACUERDA</w:t>
      </w:r>
    </w:p>
    <w:p w:rsidR="002D58CD" w:rsidRDefault="005E2709" w:rsidP="005E270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es-MX"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>Mantener lo acordado en S</w:t>
      </w:r>
      <w:r w:rsidR="002D58CD">
        <w:rPr>
          <w:rFonts w:ascii="Arial" w:hAnsi="Arial" w:cs="Arial"/>
          <w:color w:val="000000"/>
          <w:sz w:val="24"/>
          <w:szCs w:val="24"/>
          <w:lang w:eastAsia="es-ES"/>
        </w:rPr>
        <w:t>esión de fecha 06/09/17</w:t>
      </w:r>
      <w:r w:rsidR="002D58CD">
        <w:rPr>
          <w:rFonts w:ascii="Arial" w:hAnsi="Arial" w:cs="Arial"/>
          <w:color w:val="000000"/>
          <w:sz w:val="24"/>
          <w:szCs w:val="24"/>
          <w:lang w:val="es-MX" w:eastAsia="es-ES"/>
        </w:rPr>
        <w:t>;</w:t>
      </w:r>
    </w:p>
    <w:p w:rsidR="002D58CD" w:rsidRDefault="002D58CD" w:rsidP="005E270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es-MX" w:eastAsia="es-ES"/>
        </w:rPr>
      </w:pPr>
      <w:r>
        <w:rPr>
          <w:rFonts w:ascii="Arial" w:hAnsi="Arial" w:cs="Arial"/>
          <w:color w:val="000000"/>
          <w:sz w:val="24"/>
          <w:szCs w:val="24"/>
          <w:lang w:val="es-MX" w:eastAsia="es-ES"/>
        </w:rPr>
        <w:t>Dar cuenta a la Junta Departamental de Maldonado; y</w:t>
      </w:r>
    </w:p>
    <w:p w:rsidR="002D58CD" w:rsidRDefault="002D58CD" w:rsidP="005E270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color w:val="000000"/>
          <w:sz w:val="24"/>
          <w:szCs w:val="24"/>
          <w:lang w:eastAsia="es-ES"/>
        </w:rPr>
        <w:t>Comunicar  a la Intendencia de Maldonado y</w:t>
      </w:r>
      <w:r w:rsidR="005E2709">
        <w:rPr>
          <w:rFonts w:ascii="Arial" w:hAnsi="Arial" w:cs="Arial"/>
          <w:color w:val="000000"/>
          <w:sz w:val="24"/>
          <w:szCs w:val="24"/>
          <w:lang w:eastAsia="es-ES"/>
        </w:rPr>
        <w:t xml:space="preserve"> al Contador Delegado actuante.</w:t>
      </w:r>
    </w:p>
    <w:p w:rsidR="005E2709" w:rsidRPr="005E2709" w:rsidRDefault="005E2709" w:rsidP="005E2709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es-ES"/>
        </w:rPr>
      </w:pPr>
      <w:r w:rsidRPr="005E2709">
        <w:rPr>
          <w:rFonts w:ascii="Arial" w:hAnsi="Arial" w:cs="Arial"/>
          <w:color w:val="000000"/>
          <w:sz w:val="20"/>
          <w:szCs w:val="20"/>
          <w:lang w:eastAsia="es-ES"/>
        </w:rPr>
        <w:t>CLC</w:t>
      </w:r>
    </w:p>
    <w:p w:rsidR="002D58CD" w:rsidRDefault="002D58CD" w:rsidP="005E270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sectPr w:rsidR="002D58CD" w:rsidSect="00B8689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920"/>
    <w:multiLevelType w:val="hybridMultilevel"/>
    <w:tmpl w:val="B636AD68"/>
    <w:lvl w:ilvl="0" w:tplc="0254AC1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ascii="Arial" w:hAnsi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1">
    <w:nsid w:val="696E7F26"/>
    <w:multiLevelType w:val="singleLevel"/>
    <w:tmpl w:val="38A439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CD"/>
    <w:rsid w:val="002D58CD"/>
    <w:rsid w:val="004B7EEB"/>
    <w:rsid w:val="005E2709"/>
    <w:rsid w:val="00734358"/>
    <w:rsid w:val="00B86897"/>
    <w:rsid w:val="00F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8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8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ACD5-7909-49C0-908A-46AFE9E4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1099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2013-17-1-0000637</vt:lpstr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2013-17-1-0000637</dc:title>
  <dc:creator>Tribunal1</dc:creator>
  <cp:lastModifiedBy>tribunal1</cp:lastModifiedBy>
  <cp:revision>4</cp:revision>
  <cp:lastPrinted>2017-11-16T15:58:00Z</cp:lastPrinted>
  <dcterms:created xsi:type="dcterms:W3CDTF">2017-11-16T15:51:00Z</dcterms:created>
  <dcterms:modified xsi:type="dcterms:W3CDTF">2017-11-16T15:59:00Z</dcterms:modified>
</cp:coreProperties>
</file>