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C" w:rsidRPr="00161683" w:rsidRDefault="00C83D3C" w:rsidP="00C83D3C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3773</w:t>
      </w:r>
      <w:r>
        <w:rPr>
          <w:rFonts w:ascii="Arial" w:hAnsi="Arial" w:cs="Arial"/>
          <w:b/>
          <w:lang w:val="es-ES_tradnl"/>
        </w:rPr>
        <w:t>/17</w:t>
      </w:r>
    </w:p>
    <w:p w:rsidR="00C83D3C" w:rsidRDefault="00C83D3C" w:rsidP="00C83D3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3D3C" w:rsidRPr="004746D1" w:rsidRDefault="00C83D3C" w:rsidP="00C83D3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C83D3C" w:rsidRPr="004746D1" w:rsidRDefault="00C83D3C" w:rsidP="00C83D3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3D3C" w:rsidRPr="004746D1" w:rsidRDefault="00C83D3C" w:rsidP="00C83D3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C83D3C" w:rsidRPr="004746D1" w:rsidRDefault="00C83D3C" w:rsidP="00C83D3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3D3C" w:rsidRPr="004746D1" w:rsidRDefault="00C83D3C" w:rsidP="00C83D3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NOVIEMBRE DE 2017</w:t>
      </w:r>
    </w:p>
    <w:p w:rsidR="00C83D3C" w:rsidRPr="004746D1" w:rsidRDefault="00C83D3C" w:rsidP="00C83D3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3D3C" w:rsidRPr="004746D1" w:rsidRDefault="00C83D3C" w:rsidP="00C83D3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2016-17-1-0002576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5546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17</w:t>
      </w:r>
      <w:r w:rsidRPr="004746D1">
        <w:rPr>
          <w:rFonts w:ascii="Arial" w:hAnsi="Arial" w:cs="Arial"/>
          <w:b/>
          <w:lang w:val="es-ES_tradnl"/>
        </w:rPr>
        <w:t>)</w:t>
      </w:r>
    </w:p>
    <w:p w:rsidR="00265F5E" w:rsidRDefault="00265F5E" w:rsidP="00CC500D">
      <w:pPr>
        <w:pStyle w:val="Ttulo2"/>
        <w:spacing w:line="360" w:lineRule="auto"/>
      </w:pPr>
    </w:p>
    <w:p w:rsidR="00CC500D" w:rsidRDefault="00CC500D" w:rsidP="00C83D3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>: las actuaciones remitidas por el Ministerio de Ganadería Agricultura y Pesca (MGAP), relacionadas con la convocatoria pública para la presentación de propuestas para “Estrategias Asociativas en Agua para la Producción”</w:t>
      </w:r>
      <w:r w:rsidR="00C83D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el marco de los “Proyecto Manejo Sustentable de los Recursos Naturales y Cambio Climático (Proyecto DACC)”;</w:t>
      </w:r>
    </w:p>
    <w:p w:rsidR="00CC500D" w:rsidRPr="00FB4470" w:rsidRDefault="00CC500D" w:rsidP="00C83D3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RESULTANDO: 1) </w:t>
      </w:r>
      <w:r w:rsidR="00C83D3C">
        <w:rPr>
          <w:rFonts w:ascii="Arial" w:hAnsi="Arial" w:cs="Arial"/>
          <w:bCs/>
        </w:rPr>
        <w:t>que el 17/01/</w:t>
      </w:r>
      <w:r>
        <w:rPr>
          <w:rFonts w:ascii="Arial" w:hAnsi="Arial" w:cs="Arial"/>
          <w:bCs/>
        </w:rPr>
        <w:t>2012 se celebró entre la República Oriental del Uruguay y el Banco Internacional de Reconstrucción y Fomento (BIRF)</w:t>
      </w:r>
      <w:r w:rsidR="00C83D3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el Conve</w:t>
      </w:r>
      <w:r w:rsidR="00C83D3C">
        <w:rPr>
          <w:rFonts w:ascii="Arial" w:hAnsi="Arial" w:cs="Arial"/>
          <w:bCs/>
        </w:rPr>
        <w:t xml:space="preserve">nio de Préstamo BIRF Nº 8099-UY, </w:t>
      </w:r>
      <w:r>
        <w:rPr>
          <w:rFonts w:ascii="Arial" w:hAnsi="Arial" w:cs="Arial"/>
          <w:bCs/>
        </w:rPr>
        <w:t xml:space="preserve">a los efectos de financiar el Proyecto </w:t>
      </w:r>
      <w:r w:rsidR="00E67A43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>Manejo Sustentable de los Recursos Naturales y Cambio Climático (Proyecto DACC)</w:t>
      </w:r>
      <w:r w:rsidR="00E67A43">
        <w:rPr>
          <w:rFonts w:ascii="Arial" w:hAnsi="Arial" w:cs="Arial"/>
          <w:bCs/>
        </w:rPr>
        <w:t>”</w:t>
      </w:r>
      <w:r w:rsidR="00C83D3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ejecutarse a través del MGAP;</w:t>
      </w:r>
    </w:p>
    <w:p w:rsidR="00C83D3C" w:rsidRDefault="00CC500D" w:rsidP="00C83D3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el objetivo general del Proyecto es apoyar a los productores rurales para desarrollar un uso sostenible de los recursos naturales</w:t>
      </w:r>
      <w:r w:rsidR="00C83D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generando una mayor adaptación a la variabilidad y al cambio climático, promoviendo una modernización de la gestión del MGAP en el área de información y servicios relacionados al cli</w:t>
      </w:r>
      <w:r w:rsidR="00C83D3C">
        <w:rPr>
          <w:rFonts w:ascii="Arial" w:hAnsi="Arial" w:cs="Arial"/>
        </w:rPr>
        <w:t>ma y los recursos naturales;</w:t>
      </w:r>
    </w:p>
    <w:p w:rsidR="00A0656C" w:rsidRDefault="00A0656C" w:rsidP="00A0656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>
        <w:rPr>
          <w:rFonts w:ascii="Arial" w:hAnsi="Arial" w:cs="Arial"/>
        </w:rPr>
        <w:t xml:space="preserve">que </w:t>
      </w:r>
      <w:r w:rsidR="00CC500D">
        <w:rPr>
          <w:rFonts w:ascii="Arial" w:hAnsi="Arial" w:cs="Arial"/>
        </w:rPr>
        <w:t>la ejecución del Componente II del Proyecto DACC se realiza a través de la Dirección General de Desarrollo Rural (DGDR) del MGAP, la que, para llevar adelante las diferentes acciones y programas, realizó en el</w:t>
      </w:r>
      <w:r>
        <w:rPr>
          <w:rFonts w:ascii="Arial" w:hAnsi="Arial" w:cs="Arial"/>
        </w:rPr>
        <w:t xml:space="preserve"> mes de diciembre del año  2012, </w:t>
      </w:r>
      <w:r w:rsidR="00CC500D">
        <w:rPr>
          <w:rFonts w:ascii="Arial" w:hAnsi="Arial" w:cs="Arial"/>
        </w:rPr>
        <w:t>una convocatoria pública para la presentación de las mencionadas propuestas;</w:t>
      </w:r>
    </w:p>
    <w:p w:rsidR="00A0656C" w:rsidRDefault="00CC500D" w:rsidP="00A0656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el MGAP remite antecedentes relativos a la convocatoria pública efectuada para la presentación de propuestas de “Estrategias Asociativas en Agua para la Producción”, cuyos objetivos son: </w:t>
      </w:r>
    </w:p>
    <w:p w:rsidR="00A0656C" w:rsidRDefault="00CC500D" w:rsidP="00A0656C">
      <w:pPr>
        <w:spacing w:line="360" w:lineRule="auto"/>
        <w:jc w:val="both"/>
        <w:rPr>
          <w:rFonts w:ascii="Arial" w:hAnsi="Arial" w:cs="Arial"/>
        </w:rPr>
      </w:pPr>
      <w:r w:rsidRPr="00A0656C">
        <w:rPr>
          <w:rFonts w:ascii="Arial" w:hAnsi="Arial" w:cs="Arial"/>
          <w:b/>
        </w:rPr>
        <w:lastRenderedPageBreak/>
        <w:t>i)</w:t>
      </w:r>
      <w:r>
        <w:rPr>
          <w:rFonts w:ascii="Arial" w:hAnsi="Arial" w:cs="Arial"/>
        </w:rPr>
        <w:t xml:space="preserve"> </w:t>
      </w:r>
      <w:r w:rsidR="00A065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contribuir a la estabilidad productiva de los integrantes del emprendimiento mediante el riego u otras formas de uso asociativo del agua;</w:t>
      </w:r>
    </w:p>
    <w:p w:rsidR="00A0656C" w:rsidRDefault="00CC500D" w:rsidP="00A0656C">
      <w:pPr>
        <w:spacing w:line="360" w:lineRule="auto"/>
        <w:jc w:val="both"/>
        <w:rPr>
          <w:rFonts w:ascii="Arial" w:hAnsi="Arial" w:cs="Arial"/>
        </w:rPr>
      </w:pPr>
      <w:r w:rsidRPr="00A0656C">
        <w:rPr>
          <w:rFonts w:ascii="Arial" w:hAnsi="Arial" w:cs="Arial"/>
          <w:b/>
        </w:rPr>
        <w:t>ii)</w:t>
      </w:r>
      <w:r>
        <w:rPr>
          <w:rFonts w:ascii="Arial" w:hAnsi="Arial" w:cs="Arial"/>
        </w:rPr>
        <w:t xml:space="preserve">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avanzar hacia la intensificación del uso y manejo del agua como forma de reducir la vulnerabilidad al cambio climático en los sistemas de producción agropecuarios; </w:t>
      </w:r>
    </w:p>
    <w:p w:rsidR="00A0656C" w:rsidRDefault="00CC500D" w:rsidP="00A0656C">
      <w:pPr>
        <w:spacing w:line="360" w:lineRule="auto"/>
        <w:jc w:val="both"/>
        <w:rPr>
          <w:rFonts w:ascii="Arial" w:hAnsi="Arial" w:cs="Arial"/>
        </w:rPr>
      </w:pPr>
      <w:r w:rsidRPr="00A0656C">
        <w:rPr>
          <w:rFonts w:ascii="Arial" w:hAnsi="Arial" w:cs="Arial"/>
          <w:b/>
        </w:rPr>
        <w:t>iii)</w:t>
      </w:r>
      <w:r>
        <w:rPr>
          <w:rFonts w:ascii="Arial" w:hAnsi="Arial" w:cs="Arial"/>
        </w:rPr>
        <w:t xml:space="preserve"> impulsar programas o proyectos de </w:t>
      </w:r>
      <w:proofErr w:type="gramStart"/>
      <w:r>
        <w:rPr>
          <w:rFonts w:ascii="Arial" w:hAnsi="Arial" w:cs="Arial"/>
        </w:rPr>
        <w:t>riego multiprediales y/o asociativos</w:t>
      </w:r>
      <w:proofErr w:type="gramEnd"/>
      <w:r>
        <w:rPr>
          <w:rFonts w:ascii="Arial" w:hAnsi="Arial" w:cs="Arial"/>
        </w:rPr>
        <w:t xml:space="preserve">; </w:t>
      </w:r>
    </w:p>
    <w:p w:rsidR="00CC500D" w:rsidRDefault="00CC500D" w:rsidP="00A0656C">
      <w:pPr>
        <w:spacing w:line="360" w:lineRule="auto"/>
        <w:jc w:val="both"/>
        <w:rPr>
          <w:rFonts w:ascii="Arial" w:hAnsi="Arial" w:cs="Arial"/>
        </w:rPr>
      </w:pPr>
      <w:r w:rsidRPr="00A0656C">
        <w:rPr>
          <w:rFonts w:ascii="Arial" w:hAnsi="Arial" w:cs="Arial"/>
          <w:b/>
        </w:rPr>
        <w:t>iv)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favorecer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creación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capacidades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técnicas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generación </w:t>
      </w:r>
      <w:r w:rsidR="00A06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A0656C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conocimientos aplicados para la gestión del agua como recurso estratégico;</w:t>
      </w:r>
    </w:p>
    <w:p w:rsidR="00A0656C" w:rsidRDefault="00CC500D" w:rsidP="00A0656C">
      <w:pPr>
        <w:tabs>
          <w:tab w:val="left" w:pos="1701"/>
        </w:tabs>
        <w:spacing w:line="360" w:lineRule="auto"/>
        <w:ind w:firstLine="2552"/>
        <w:jc w:val="both"/>
        <w:rPr>
          <w:rFonts w:ascii="Arial" w:hAnsi="Arial" w:cs="Arial"/>
        </w:rPr>
      </w:pPr>
      <w:r w:rsidRPr="0055250A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 en la oportunidad, el MGAP informa que el </w:t>
      </w:r>
      <w:r w:rsidR="007776E3">
        <w:rPr>
          <w:rFonts w:ascii="Arial" w:hAnsi="Arial" w:cs="Arial"/>
        </w:rPr>
        <w:t>Tribunal de</w:t>
      </w:r>
      <w:r>
        <w:rPr>
          <w:rFonts w:ascii="Arial" w:hAnsi="Arial" w:cs="Arial"/>
        </w:rPr>
        <w:t xml:space="preserve"> Evaluación aprobó un Anteproyecto al que se concede un subsidio para financiar la formulación y los estudios de pre factibilidad requeridos para elaborar el Proyecto definitivo, por un monto de U$S </w:t>
      </w:r>
      <w:r w:rsidR="003E6CB0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3E6CB0">
        <w:rPr>
          <w:rFonts w:ascii="Arial" w:hAnsi="Arial" w:cs="Arial"/>
        </w:rPr>
        <w:t>840;</w:t>
      </w:r>
      <w:r>
        <w:rPr>
          <w:rFonts w:ascii="Arial" w:hAnsi="Arial" w:cs="Arial"/>
        </w:rPr>
        <w:t xml:space="preserve"> </w:t>
      </w:r>
    </w:p>
    <w:p w:rsidR="00A0656C" w:rsidRDefault="003E6CB0" w:rsidP="00A0656C">
      <w:pPr>
        <w:tabs>
          <w:tab w:val="left" w:pos="1701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55250A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se señala que el monto total de la </w:t>
      </w:r>
      <w:r w:rsidR="00764E89">
        <w:rPr>
          <w:rFonts w:ascii="Arial" w:hAnsi="Arial" w:cs="Arial"/>
        </w:rPr>
        <w:t>propuesta</w:t>
      </w:r>
      <w:r>
        <w:rPr>
          <w:rFonts w:ascii="Arial" w:hAnsi="Arial" w:cs="Arial"/>
        </w:rPr>
        <w:t xml:space="preserve"> </w:t>
      </w:r>
      <w:r w:rsidR="00764E89">
        <w:rPr>
          <w:rFonts w:ascii="Arial" w:hAnsi="Arial" w:cs="Arial"/>
        </w:rPr>
        <w:t>aprobada</w:t>
      </w:r>
      <w:r>
        <w:rPr>
          <w:rFonts w:ascii="Arial" w:hAnsi="Arial" w:cs="Arial"/>
        </w:rPr>
        <w:t xml:space="preserve"> </w:t>
      </w:r>
      <w:r w:rsidR="00764E89">
        <w:rPr>
          <w:rFonts w:ascii="Arial" w:hAnsi="Arial" w:cs="Arial"/>
        </w:rPr>
        <w:t>correspondiente</w:t>
      </w:r>
      <w:r>
        <w:rPr>
          <w:rFonts w:ascii="Arial" w:hAnsi="Arial" w:cs="Arial"/>
        </w:rPr>
        <w:t xml:space="preserve"> </w:t>
      </w:r>
      <w:r w:rsidR="00F579DA">
        <w:rPr>
          <w:rFonts w:ascii="Arial" w:hAnsi="Arial" w:cs="Arial"/>
        </w:rPr>
        <w:t xml:space="preserve">a </w:t>
      </w:r>
      <w:r w:rsidR="00764E89">
        <w:rPr>
          <w:rFonts w:ascii="Arial" w:hAnsi="Arial" w:cs="Arial"/>
        </w:rPr>
        <w:t>Campo de Recría Puntas de Santiago</w:t>
      </w:r>
      <w:r w:rsidR="00A0656C">
        <w:rPr>
          <w:rFonts w:ascii="Arial" w:hAnsi="Arial" w:cs="Arial"/>
        </w:rPr>
        <w:t>-</w:t>
      </w:r>
      <w:r w:rsidR="00764E89">
        <w:rPr>
          <w:rFonts w:ascii="Arial" w:hAnsi="Arial" w:cs="Arial"/>
        </w:rPr>
        <w:t>Cooperativa de Responsabilidad Limitada (Carepusa Carl)</w:t>
      </w:r>
      <w:r>
        <w:rPr>
          <w:rFonts w:ascii="Arial" w:hAnsi="Arial" w:cs="Arial"/>
        </w:rPr>
        <w:t xml:space="preserve"> asciende a U$S 291.840, de los cuales: </w:t>
      </w:r>
    </w:p>
    <w:p w:rsidR="00A0656C" w:rsidRDefault="003E6CB0" w:rsidP="00A0656C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A0656C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U$S 11.840, corresponden al subsidio para la formulación del Anteproyecto aprobado</w:t>
      </w:r>
      <w:r w:rsidR="00A0656C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y </w:t>
      </w:r>
    </w:p>
    <w:p w:rsidR="003E6CB0" w:rsidRDefault="003E6CB0" w:rsidP="00A0656C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A0656C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U$S 280.000 corresponden al subsidio para cumplir con los ciclos biológico-naturales, una vez que se elaboren y aprueben los Proyectos Definitivos; </w:t>
      </w:r>
    </w:p>
    <w:p w:rsidR="005867FC" w:rsidRDefault="00764E89" w:rsidP="005867FC">
      <w:pPr>
        <w:spacing w:line="360" w:lineRule="auto"/>
        <w:ind w:firstLine="25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CC500D" w:rsidRPr="00764E89">
        <w:rPr>
          <w:rFonts w:ascii="Arial" w:hAnsi="Arial" w:cs="Arial"/>
          <w:b/>
        </w:rPr>
        <w:t xml:space="preserve">) </w:t>
      </w:r>
      <w:r w:rsidR="00CC500D" w:rsidRPr="00764E89">
        <w:rPr>
          <w:rFonts w:ascii="Arial" w:hAnsi="Arial" w:cs="Arial"/>
        </w:rPr>
        <w:t xml:space="preserve">que se remite </w:t>
      </w:r>
      <w:r w:rsidR="005867FC">
        <w:rPr>
          <w:rFonts w:ascii="Arial" w:hAnsi="Arial" w:cs="Arial"/>
        </w:rPr>
        <w:t>N</w:t>
      </w:r>
      <w:r w:rsidR="00CC500D" w:rsidRPr="00764E89">
        <w:rPr>
          <w:rFonts w:ascii="Arial" w:hAnsi="Arial" w:cs="Arial"/>
        </w:rPr>
        <w:t xml:space="preserve">ota de la Gerencia de Administración y Finanzas del Proyecto DACC, de fecha </w:t>
      </w:r>
      <w:r w:rsidRPr="00764E89">
        <w:rPr>
          <w:rFonts w:ascii="Arial" w:hAnsi="Arial" w:cs="Arial"/>
        </w:rPr>
        <w:t>18</w:t>
      </w:r>
      <w:r w:rsidR="005867FC">
        <w:rPr>
          <w:rFonts w:ascii="Arial" w:hAnsi="Arial" w:cs="Arial"/>
        </w:rPr>
        <w:t>/10/</w:t>
      </w:r>
      <w:r w:rsidR="00CC500D" w:rsidRPr="00764E89">
        <w:rPr>
          <w:rFonts w:ascii="Arial" w:hAnsi="Arial" w:cs="Arial"/>
        </w:rPr>
        <w:t>201</w:t>
      </w:r>
      <w:r w:rsidRPr="00764E89">
        <w:rPr>
          <w:rFonts w:ascii="Arial" w:hAnsi="Arial" w:cs="Arial"/>
        </w:rPr>
        <w:t>7</w:t>
      </w:r>
      <w:r w:rsidR="00E67A43">
        <w:rPr>
          <w:rFonts w:ascii="Arial" w:hAnsi="Arial" w:cs="Arial"/>
        </w:rPr>
        <w:t>, por la</w:t>
      </w:r>
      <w:r w:rsidR="00CC500D" w:rsidRPr="00764E89">
        <w:rPr>
          <w:rFonts w:ascii="Arial" w:hAnsi="Arial" w:cs="Arial"/>
        </w:rPr>
        <w:t xml:space="preserve"> cual se indica que el monto de U$S </w:t>
      </w:r>
      <w:r w:rsidRPr="00764E89">
        <w:rPr>
          <w:rFonts w:ascii="Arial" w:hAnsi="Arial" w:cs="Arial"/>
        </w:rPr>
        <w:t>11</w:t>
      </w:r>
      <w:r w:rsidR="00CC500D" w:rsidRPr="00764E89">
        <w:rPr>
          <w:rFonts w:ascii="Arial" w:hAnsi="Arial" w:cs="Arial"/>
        </w:rPr>
        <w:t>.</w:t>
      </w:r>
      <w:r w:rsidRPr="00764E89">
        <w:rPr>
          <w:rFonts w:ascii="Arial" w:hAnsi="Arial" w:cs="Arial"/>
        </w:rPr>
        <w:t>840</w:t>
      </w:r>
      <w:r w:rsidR="00CC500D" w:rsidRPr="00764E89">
        <w:rPr>
          <w:rFonts w:ascii="Arial" w:hAnsi="Arial" w:cs="Arial"/>
        </w:rPr>
        <w:t>, se imputa con cargo al Proyecto 745, Objeto del Gasto 522, Financiamiento 2.1;</w:t>
      </w:r>
      <w:r w:rsidR="00CC500D" w:rsidRPr="00764E89">
        <w:rPr>
          <w:rFonts w:ascii="Arial" w:hAnsi="Arial" w:cs="Arial"/>
          <w:b/>
        </w:rPr>
        <w:t xml:space="preserve">                </w:t>
      </w:r>
    </w:p>
    <w:p w:rsidR="00CC500D" w:rsidRPr="005867FC" w:rsidRDefault="00764E89" w:rsidP="005867FC">
      <w:pPr>
        <w:spacing w:line="360" w:lineRule="auto"/>
        <w:ind w:firstLine="2552"/>
        <w:jc w:val="both"/>
        <w:rPr>
          <w:rFonts w:ascii="Arial" w:hAnsi="Arial" w:cs="Arial"/>
        </w:rPr>
      </w:pPr>
      <w:r w:rsidRPr="005867FC">
        <w:rPr>
          <w:rFonts w:ascii="Arial" w:hAnsi="Arial" w:cs="Arial"/>
          <w:b/>
        </w:rPr>
        <w:t>8)</w:t>
      </w:r>
      <w:r w:rsidR="00E67A43" w:rsidRPr="005867FC">
        <w:rPr>
          <w:rFonts w:ascii="Arial" w:hAnsi="Arial" w:cs="Arial"/>
        </w:rPr>
        <w:t xml:space="preserve"> que se adjuntan</w:t>
      </w:r>
      <w:r w:rsidR="00CC500D" w:rsidRPr="005867FC">
        <w:rPr>
          <w:rFonts w:ascii="Arial" w:hAnsi="Arial" w:cs="Arial"/>
        </w:rPr>
        <w:t xml:space="preserve"> borradores de</w:t>
      </w:r>
      <w:r w:rsidR="00E67A43" w:rsidRPr="005867FC">
        <w:rPr>
          <w:rFonts w:ascii="Arial" w:hAnsi="Arial" w:cs="Arial"/>
        </w:rPr>
        <w:t xml:space="preserve"> los contratos a celebrar</w:t>
      </w:r>
      <w:r w:rsidR="00CC500D" w:rsidRPr="005867FC">
        <w:rPr>
          <w:rFonts w:ascii="Arial" w:hAnsi="Arial" w:cs="Arial"/>
        </w:rPr>
        <w:t xml:space="preserve"> por </w:t>
      </w:r>
      <w:proofErr w:type="gramStart"/>
      <w:r w:rsidR="00CC500D" w:rsidRPr="005867FC">
        <w:rPr>
          <w:rFonts w:ascii="Arial" w:hAnsi="Arial" w:cs="Arial"/>
        </w:rPr>
        <w:t>el</w:t>
      </w:r>
      <w:proofErr w:type="gramEnd"/>
      <w:r w:rsidR="00CC500D" w:rsidRPr="005867FC">
        <w:rPr>
          <w:rFonts w:ascii="Arial" w:hAnsi="Arial" w:cs="Arial"/>
        </w:rPr>
        <w:t xml:space="preserve"> subsidio de formulación y por la financiación parcial de los proyectos definitivos; </w:t>
      </w:r>
    </w:p>
    <w:p w:rsidR="00CC500D" w:rsidRPr="00E67A43" w:rsidRDefault="00CC500D" w:rsidP="005867FC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CONSIDERANDO:</w:t>
      </w:r>
      <w:r w:rsidR="005867F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 w:rsidR="005867FC">
        <w:rPr>
          <w:rFonts w:ascii="Arial" w:hAnsi="Arial" w:cs="Arial"/>
          <w:lang w:val="es-MX"/>
        </w:rPr>
        <w:t xml:space="preserve"> que el A</w:t>
      </w:r>
      <w:r>
        <w:rPr>
          <w:rFonts w:ascii="Arial" w:hAnsi="Arial" w:cs="Arial"/>
          <w:lang w:val="es-MX"/>
        </w:rPr>
        <w:t xml:space="preserve">rtículo 161 de la </w:t>
      </w:r>
      <w:r w:rsidR="005867FC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ey</w:t>
      </w:r>
      <w:r w:rsidR="005867FC">
        <w:rPr>
          <w:rFonts w:ascii="Arial" w:hAnsi="Arial" w:cs="Arial"/>
          <w:lang w:val="es-MX"/>
        </w:rPr>
        <w:t xml:space="preserve"> Nº</w:t>
      </w:r>
      <w:r>
        <w:rPr>
          <w:rFonts w:ascii="Arial" w:hAnsi="Arial" w:cs="Arial"/>
          <w:lang w:val="es-MX"/>
        </w:rPr>
        <w:t xml:space="preserve"> 17.930</w:t>
      </w:r>
      <w:r w:rsidR="00E67A43">
        <w:rPr>
          <w:rFonts w:ascii="Arial" w:hAnsi="Arial" w:cs="Arial"/>
          <w:lang w:val="es-MX"/>
        </w:rPr>
        <w:t xml:space="preserve"> de 19/12/2017</w:t>
      </w:r>
      <w:r>
        <w:rPr>
          <w:rFonts w:ascii="Arial" w:hAnsi="Arial" w:cs="Arial"/>
          <w:lang w:val="es-MX"/>
        </w:rPr>
        <w:t xml:space="preserve"> creó el Programa 07 “Desarrollo Rural”, en el Ministerio de Ganadería, Agricultura y Pesca, cuya Unidad Ejecutora es </w:t>
      </w:r>
      <w:r>
        <w:rPr>
          <w:rFonts w:ascii="Arial" w:hAnsi="Arial" w:cs="Arial"/>
        </w:rPr>
        <w:t xml:space="preserve">la Dirección General </w:t>
      </w:r>
      <w:r>
        <w:rPr>
          <w:rFonts w:ascii="Arial" w:hAnsi="Arial" w:cs="Arial"/>
        </w:rPr>
        <w:lastRenderedPageBreak/>
        <w:t>de</w:t>
      </w:r>
      <w:r w:rsidR="00E67A43">
        <w:rPr>
          <w:rFonts w:ascii="Arial" w:hAnsi="Arial" w:cs="Arial"/>
        </w:rPr>
        <w:t xml:space="preserve"> Desarrollo Rural, la que tiene entre sus</w:t>
      </w:r>
      <w:r>
        <w:rPr>
          <w:rFonts w:ascii="Arial" w:hAnsi="Arial" w:cs="Arial"/>
        </w:rPr>
        <w:t xml:space="preserve"> cometidos, </w:t>
      </w:r>
      <w:r w:rsidR="00E67A43">
        <w:rPr>
          <w:rFonts w:ascii="Arial" w:hAnsi="Arial" w:cs="Arial"/>
        </w:rPr>
        <w:t>“</w:t>
      </w:r>
      <w:r w:rsidR="00E67A43" w:rsidRPr="00E67A43">
        <w:rPr>
          <w:rFonts w:ascii="Arial" w:hAnsi="Arial" w:cs="Arial"/>
          <w:i/>
        </w:rPr>
        <w:t>ejecutar los planes y programas dirigidos a brindar la más amplia asistencia y apoyo a las familias rurales de los estratos de menores</w:t>
      </w:r>
      <w:r w:rsidR="00E67A43">
        <w:rPr>
          <w:rFonts w:ascii="Arial" w:hAnsi="Arial" w:cs="Arial"/>
          <w:i/>
        </w:rPr>
        <w:t xml:space="preserve"> </w:t>
      </w:r>
      <w:r w:rsidR="00E67A43" w:rsidRPr="00E67A43">
        <w:rPr>
          <w:rFonts w:ascii="Arial" w:hAnsi="Arial" w:cs="Arial"/>
          <w:i/>
        </w:rPr>
        <w:t>ingresos y coordinar las acciones tendientes a ello con otras instituciones públicas y/o privadas del sector agropecuario</w:t>
      </w:r>
      <w:r w:rsidR="00E67A43">
        <w:rPr>
          <w:rFonts w:ascii="Arial" w:hAnsi="Arial" w:cs="Arial"/>
        </w:rPr>
        <w:t>”</w:t>
      </w:r>
      <w:r w:rsidR="005867FC">
        <w:rPr>
          <w:rFonts w:ascii="Arial" w:hAnsi="Arial" w:cs="Arial"/>
        </w:rPr>
        <w:t>;</w:t>
      </w:r>
    </w:p>
    <w:p w:rsidR="005867FC" w:rsidRDefault="005867FC" w:rsidP="005867FC">
      <w:pPr>
        <w:pStyle w:val="Sangra3detindependiente"/>
        <w:ind w:firstLine="2835"/>
      </w:pPr>
      <w:r>
        <w:rPr>
          <w:b/>
          <w:bCs/>
        </w:rPr>
        <w:t xml:space="preserve"> </w:t>
      </w:r>
      <w:r w:rsidR="00CC500D">
        <w:rPr>
          <w:b/>
          <w:bCs/>
        </w:rPr>
        <w:t>2)</w:t>
      </w:r>
      <w:r>
        <w:t xml:space="preserve"> que el A</w:t>
      </w:r>
      <w:r w:rsidR="00CC500D">
        <w:t>rtí</w:t>
      </w:r>
      <w:r w:rsidR="00E67A43">
        <w:t xml:space="preserve">culo 383 de la </w:t>
      </w:r>
      <w:r>
        <w:t>L</w:t>
      </w:r>
      <w:r w:rsidR="00E67A43">
        <w:t xml:space="preserve">ey </w:t>
      </w:r>
      <w:r>
        <w:t xml:space="preserve">Nº </w:t>
      </w:r>
      <w:r w:rsidR="00E67A43">
        <w:t>18.719 de 27/12/</w:t>
      </w:r>
      <w:r w:rsidR="00CC500D">
        <w:t>2010 creó el “Fondo de Desarrollo Rural” con el cometido de elaborar y financiar los planes y proyecto</w:t>
      </w:r>
      <w:r w:rsidR="00C77167">
        <w:t>s</w:t>
      </w:r>
      <w:r w:rsidR="00CC500D">
        <w:t xml:space="preserve"> de desarrollo rural, cuya administración y ejecución, de conformidad con lo dispuesto por el </w:t>
      </w:r>
      <w:r>
        <w:t>A</w:t>
      </w:r>
      <w:r w:rsidR="00E67A43">
        <w:t>rtículo 1</w:t>
      </w:r>
      <w:r>
        <w:t>º</w:t>
      </w:r>
      <w:r w:rsidR="00E67A43">
        <w:t xml:space="preserve"> del D</w:t>
      </w:r>
      <w:r w:rsidR="00CC500D">
        <w:t xml:space="preserve">ecreto </w:t>
      </w:r>
      <w:r>
        <w:t xml:space="preserve">        </w:t>
      </w:r>
      <w:r w:rsidR="00CC500D">
        <w:t>Nº 296/</w:t>
      </w:r>
      <w:r>
        <w:t>2</w:t>
      </w:r>
      <w:r w:rsidR="00CC500D">
        <w:t>011</w:t>
      </w:r>
      <w:r w:rsidR="00E67A43">
        <w:t xml:space="preserve"> de 16/09/2011, reglamentario  del citado artículo</w:t>
      </w:r>
      <w:r w:rsidR="00CC500D">
        <w:t>, quedó a cargo de la Dirección General de Desa</w:t>
      </w:r>
      <w:r w:rsidR="00E67A43">
        <w:t xml:space="preserve">rrollo </w:t>
      </w:r>
      <w:r w:rsidR="00447634">
        <w:t>Rural;</w:t>
      </w:r>
      <w:r w:rsidR="00CC500D">
        <w:t xml:space="preserve">  </w:t>
      </w:r>
    </w:p>
    <w:p w:rsidR="005867FC" w:rsidRDefault="00CC500D" w:rsidP="005867FC">
      <w:pPr>
        <w:pStyle w:val="Sangra3detindependiente"/>
        <w:ind w:firstLine="2835"/>
        <w:rPr>
          <w:i/>
        </w:rPr>
      </w:pPr>
      <w:r>
        <w:rPr>
          <w:b/>
          <w:bCs/>
        </w:rPr>
        <w:t>3)</w:t>
      </w:r>
      <w:r>
        <w:t xml:space="preserve"> que </w:t>
      </w:r>
      <w:r w:rsidR="005867FC">
        <w:t>el A</w:t>
      </w:r>
      <w:r w:rsidR="005D0CD2">
        <w:t>rtículo 4</w:t>
      </w:r>
      <w:r w:rsidR="005867FC">
        <w:t>º</w:t>
      </w:r>
      <w:r w:rsidR="005D0CD2">
        <w:t xml:space="preserve"> del referido Decreto dispone asimismo que  “</w:t>
      </w:r>
      <w:r w:rsidR="005D0CD2" w:rsidRPr="005D0CD2">
        <w:rPr>
          <w:i/>
        </w:rPr>
        <w:t>p</w:t>
      </w:r>
      <w:r w:rsidR="00E67A43" w:rsidRPr="005D0CD2">
        <w:rPr>
          <w:i/>
        </w:rPr>
        <w:t>ara dar cumplimiento a los cometido</w:t>
      </w:r>
      <w:r w:rsidR="005D0CD2" w:rsidRPr="005D0CD2">
        <w:rPr>
          <w:i/>
        </w:rPr>
        <w:t xml:space="preserve">s del Fondo de Desarrollo Rural </w:t>
      </w:r>
      <w:r w:rsidR="00E67A43" w:rsidRPr="005D0CD2">
        <w:rPr>
          <w:i/>
        </w:rPr>
        <w:t xml:space="preserve">establecidos en el </w:t>
      </w:r>
      <w:r w:rsidR="005867FC">
        <w:rPr>
          <w:i/>
        </w:rPr>
        <w:t>A</w:t>
      </w:r>
      <w:r w:rsidR="00E67A43" w:rsidRPr="005D0CD2">
        <w:rPr>
          <w:i/>
        </w:rPr>
        <w:t xml:space="preserve">rtículo 383 de la </w:t>
      </w:r>
      <w:r w:rsidR="005867FC">
        <w:rPr>
          <w:i/>
        </w:rPr>
        <w:t>L</w:t>
      </w:r>
      <w:r w:rsidR="00E67A43" w:rsidRPr="005D0CD2">
        <w:rPr>
          <w:i/>
        </w:rPr>
        <w:t>ey N° 18.719, de 27</w:t>
      </w:r>
      <w:r w:rsidR="005867FC">
        <w:rPr>
          <w:i/>
        </w:rPr>
        <w:t>/12/</w:t>
      </w:r>
      <w:r w:rsidR="00E67A43" w:rsidRPr="005D0CD2">
        <w:rPr>
          <w:i/>
        </w:rPr>
        <w:t>2010, el Ministerio de Ganadería, Agricultura y Pesca podrá realizar</w:t>
      </w:r>
      <w:r w:rsidR="005D0CD2" w:rsidRPr="005D0CD2">
        <w:rPr>
          <w:i/>
        </w:rPr>
        <w:t xml:space="preserve"> </w:t>
      </w:r>
      <w:r w:rsidR="00E67A43" w:rsidRPr="005D0CD2">
        <w:rPr>
          <w:i/>
        </w:rPr>
        <w:t>convenios con instituciones públicas o privadas, personas públicas no</w:t>
      </w:r>
      <w:r w:rsidR="005D0CD2" w:rsidRPr="005D0CD2">
        <w:rPr>
          <w:i/>
        </w:rPr>
        <w:t xml:space="preserve"> </w:t>
      </w:r>
      <w:r w:rsidR="00E67A43" w:rsidRPr="005D0CD2">
        <w:rPr>
          <w:i/>
        </w:rPr>
        <w:t>estatales, instituciones financieras reguladas y no reguladas y</w:t>
      </w:r>
      <w:r w:rsidR="005D0CD2" w:rsidRPr="005D0CD2">
        <w:rPr>
          <w:i/>
        </w:rPr>
        <w:t xml:space="preserve"> </w:t>
      </w:r>
      <w:r w:rsidR="00E67A43" w:rsidRPr="005D0CD2">
        <w:rPr>
          <w:i/>
        </w:rPr>
        <w:t>organizaciones sociales</w:t>
      </w:r>
      <w:r w:rsidR="005D0CD2" w:rsidRPr="005D0CD2">
        <w:rPr>
          <w:i/>
        </w:rPr>
        <w:t>”</w:t>
      </w:r>
      <w:r w:rsidR="005867FC">
        <w:rPr>
          <w:i/>
        </w:rPr>
        <w:t>;</w:t>
      </w:r>
    </w:p>
    <w:p w:rsidR="00CC500D" w:rsidRDefault="005D0CD2" w:rsidP="005867FC">
      <w:pPr>
        <w:pStyle w:val="Sangra3detindependiente"/>
        <w:ind w:firstLine="2835"/>
      </w:pPr>
      <w:r w:rsidRPr="005D0CD2">
        <w:rPr>
          <w:b/>
        </w:rPr>
        <w:t>4)</w:t>
      </w:r>
      <w:r>
        <w:t xml:space="preserve"> que </w:t>
      </w:r>
      <w:r w:rsidR="00CC500D">
        <w:t xml:space="preserve">el procedimiento realizado </w:t>
      </w:r>
      <w:r>
        <w:t xml:space="preserve">para la selección de los beneficiarios </w:t>
      </w:r>
      <w:r w:rsidR="00CC500D">
        <w:t xml:space="preserve">se ajustó a lo establecido en el contrato de Préstamo </w:t>
      </w:r>
      <w:r w:rsidR="005867FC">
        <w:t xml:space="preserve">        </w:t>
      </w:r>
      <w:r w:rsidR="00CC500D">
        <w:t>Nº 8099/-UY</w:t>
      </w:r>
      <w:r w:rsidR="005867FC">
        <w:t>,</w:t>
      </w:r>
      <w:r w:rsidR="00CC500D">
        <w:t xml:space="preserve"> y a las bases de la convocatoria; </w:t>
      </w:r>
    </w:p>
    <w:p w:rsidR="00CC500D" w:rsidRDefault="00CC500D" w:rsidP="005867F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>a lo expuesto y a lo dispuesto por el Artículo 211 Literal B) de la Constitución de la República;</w:t>
      </w:r>
    </w:p>
    <w:p w:rsidR="00CC500D" w:rsidRDefault="00CC500D" w:rsidP="00CC500D">
      <w:pPr>
        <w:pStyle w:val="Ttulo1"/>
      </w:pPr>
      <w:r>
        <w:t>EL TRIBUNAL ACUERDA</w:t>
      </w:r>
    </w:p>
    <w:p w:rsidR="00CC500D" w:rsidRDefault="00CC500D" w:rsidP="00CC500D">
      <w:pPr>
        <w:pStyle w:val="Textoindependiente"/>
        <w:numPr>
          <w:ilvl w:val="0"/>
          <w:numId w:val="1"/>
        </w:numPr>
      </w:pPr>
      <w:r>
        <w:t>Dictad</w:t>
      </w:r>
      <w:r w:rsidR="005867FC">
        <w:t>a la R</w:t>
      </w:r>
      <w:r w:rsidR="005D0CD2">
        <w:t>esolución por el Ordenador competente, se comete</w:t>
      </w:r>
      <w:r>
        <w:t xml:space="preserve"> al Contador Auditor </w:t>
      </w:r>
      <w:r w:rsidR="005D0CD2">
        <w:t xml:space="preserve">destacado </w:t>
      </w:r>
      <w:r>
        <w:t xml:space="preserve">ante el Ministerio de Ganadería, Agricultura y Pesca la intervención del gasto por </w:t>
      </w:r>
      <w:r w:rsidR="003D34E4">
        <w:t>U$S 11.840</w:t>
      </w:r>
      <w:r>
        <w:t>, pre</w:t>
      </w:r>
      <w:r w:rsidR="005D0CD2">
        <w:t>via verificación de su imputación</w:t>
      </w:r>
      <w:r>
        <w:t xml:space="preserve"> con cargo a grupo adecuado con disponibili</w:t>
      </w:r>
      <w:r w:rsidR="005D0CD2">
        <w:t>dad suficiente y</w:t>
      </w:r>
      <w:r w:rsidR="005B1717">
        <w:t xml:space="preserve"> </w:t>
      </w:r>
      <w:r>
        <w:t>que la Resolución definitiva concuerde con las condiciones de la contratación</w:t>
      </w:r>
      <w:r w:rsidR="005867FC">
        <w:t xml:space="preserve"> sometidas a este Tribunal (Artículo</w:t>
      </w:r>
      <w:r>
        <w:t xml:space="preserve"> 8º de la Ordenanza Nº 27 de 22/</w:t>
      </w:r>
      <w:r w:rsidR="005867FC">
        <w:t>0</w:t>
      </w:r>
      <w:r>
        <w:t>5/58</w:t>
      </w:r>
      <w:r w:rsidR="005867FC">
        <w:t>,</w:t>
      </w:r>
      <w:r>
        <w:t xml:space="preserve"> en la redacció</w:t>
      </w:r>
      <w:r w:rsidR="005867FC">
        <w:t>n sustitutiva dispuesta por la R</w:t>
      </w:r>
      <w:r>
        <w:t>esolución del Tribunal de Cuentas del 16/</w:t>
      </w:r>
      <w:r w:rsidR="005867FC">
        <w:t>0</w:t>
      </w:r>
      <w:r>
        <w:t>6/</w:t>
      </w:r>
      <w:r w:rsidR="005867FC">
        <w:t>20</w:t>
      </w:r>
      <w:r>
        <w:t>10);</w:t>
      </w:r>
    </w:p>
    <w:p w:rsidR="00CC500D" w:rsidRDefault="005D0CD2" w:rsidP="00CC500D">
      <w:pPr>
        <w:pStyle w:val="Textoindependiente"/>
        <w:numPr>
          <w:ilvl w:val="0"/>
          <w:numId w:val="1"/>
        </w:numPr>
      </w:pPr>
      <w:r>
        <w:lastRenderedPageBreak/>
        <w:t xml:space="preserve">Asimismo, de disponerse </w:t>
      </w:r>
      <w:r w:rsidR="00CC500D">
        <w:t xml:space="preserve">la financiación máxima prevista, se comete al Contador Auditor </w:t>
      </w:r>
      <w:r>
        <w:t xml:space="preserve">destacado </w:t>
      </w:r>
      <w:r w:rsidR="00CC500D">
        <w:t xml:space="preserve">ante el Ministerio de Ganadería, Agricultura y Pesca la intervención del gasto por </w:t>
      </w:r>
      <w:r w:rsidR="00764E89">
        <w:t xml:space="preserve">hasta </w:t>
      </w:r>
      <w:r w:rsidR="00CC500D">
        <w:t xml:space="preserve">U$S </w:t>
      </w:r>
      <w:r w:rsidR="00764E89">
        <w:t>280</w:t>
      </w:r>
      <w:r w:rsidR="00CC500D">
        <w:t>.000,</w:t>
      </w:r>
      <w:r w:rsidR="00CC500D" w:rsidRPr="009B68C4">
        <w:t xml:space="preserve"> </w:t>
      </w:r>
      <w:r w:rsidR="00CC500D">
        <w:t>previa verifi</w:t>
      </w:r>
      <w:r>
        <w:t>cación de su imputación</w:t>
      </w:r>
      <w:r w:rsidR="00CC500D">
        <w:t xml:space="preserve"> con cargo a grupo adecuado con disponibilidad </w:t>
      </w:r>
      <w:r w:rsidR="005B1717">
        <w:t xml:space="preserve">suficiente y </w:t>
      </w:r>
      <w:r w:rsidR="00CC500D">
        <w:t>que la Resolución definitiva concuerde con las condiciones de la contratación sometidas a este Tribunal (Art</w:t>
      </w:r>
      <w:r w:rsidR="005867FC">
        <w:t>ículo</w:t>
      </w:r>
      <w:r w:rsidR="00CC500D">
        <w:t xml:space="preserve"> 8º de la Ordenanza Nº 27 de 22/</w:t>
      </w:r>
      <w:r w:rsidR="005867FC">
        <w:t>0</w:t>
      </w:r>
      <w:r w:rsidR="00CC500D">
        <w:t>5/58 en la redacció</w:t>
      </w:r>
      <w:r w:rsidR="005867FC">
        <w:t>n sustitutiva dispuesta por la R</w:t>
      </w:r>
      <w:r w:rsidR="00CC500D">
        <w:t>esolución del Tribunal de Cuentas del 16/</w:t>
      </w:r>
      <w:r w:rsidR="005867FC">
        <w:t>0</w:t>
      </w:r>
      <w:r w:rsidR="00CC500D">
        <w:t>6/</w:t>
      </w:r>
      <w:r w:rsidR="005867FC">
        <w:t>20</w:t>
      </w:r>
      <w:r w:rsidR="00CC500D">
        <w:t>10);</w:t>
      </w:r>
    </w:p>
    <w:p w:rsidR="00CC500D" w:rsidRDefault="00CC500D" w:rsidP="00CC500D">
      <w:pPr>
        <w:pStyle w:val="Textoindependiente"/>
        <w:numPr>
          <w:ilvl w:val="0"/>
          <w:numId w:val="1"/>
        </w:numPr>
      </w:pPr>
      <w:r>
        <w:t>Comun</w:t>
      </w:r>
      <w:r w:rsidR="00C77167">
        <w:t>íquese</w:t>
      </w:r>
      <w:r w:rsidR="005867FC">
        <w:t xml:space="preserve"> al Contador Auditor destacado a</w:t>
      </w:r>
      <w:r>
        <w:t>n</w:t>
      </w:r>
      <w:r w:rsidR="005867FC">
        <w:t>te</w:t>
      </w:r>
      <w:r>
        <w:t xml:space="preserve"> el Ministerio de Ganadería, Agricultura y Pesca; </w:t>
      </w:r>
      <w:r w:rsidR="005867FC">
        <w:t xml:space="preserve"> y</w:t>
      </w:r>
    </w:p>
    <w:p w:rsidR="00CC500D" w:rsidRDefault="00CC500D" w:rsidP="00CC500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</w:t>
      </w:r>
      <w:r w:rsidR="00C77167">
        <w:rPr>
          <w:rFonts w:ascii="Arial" w:hAnsi="Arial" w:cs="Arial"/>
        </w:rPr>
        <w:t>uélvase</w:t>
      </w:r>
      <w:r>
        <w:rPr>
          <w:rFonts w:ascii="Arial" w:hAnsi="Arial" w:cs="Arial"/>
        </w:rPr>
        <w:t>.</w:t>
      </w:r>
    </w:p>
    <w:p w:rsidR="005867FC" w:rsidRDefault="005867FC" w:rsidP="005867FC">
      <w:pPr>
        <w:spacing w:line="360" w:lineRule="auto"/>
        <w:jc w:val="both"/>
        <w:rPr>
          <w:rFonts w:ascii="Arial" w:hAnsi="Arial" w:cs="Arial"/>
        </w:rPr>
      </w:pPr>
    </w:p>
    <w:p w:rsidR="005867FC" w:rsidRDefault="005867FC" w:rsidP="005867F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5867FC" w:rsidSect="008F06B6">
      <w:footerReference w:type="default" r:id="rId8"/>
      <w:pgSz w:w="11906" w:h="16838"/>
      <w:pgMar w:top="306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B6" w:rsidRDefault="008F06B6" w:rsidP="008F06B6">
      <w:r>
        <w:separator/>
      </w:r>
    </w:p>
  </w:endnote>
  <w:endnote w:type="continuationSeparator" w:id="0">
    <w:p w:rsidR="008F06B6" w:rsidRDefault="008F06B6" w:rsidP="008F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685780"/>
      <w:docPartObj>
        <w:docPartGallery w:val="Page Numbers (Bottom of Page)"/>
        <w:docPartUnique/>
      </w:docPartObj>
    </w:sdtPr>
    <w:sdtContent>
      <w:p w:rsidR="008F06B6" w:rsidRDefault="008F06B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06B6" w:rsidRDefault="008F06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B6" w:rsidRDefault="008F06B6" w:rsidP="008F06B6">
      <w:r>
        <w:separator/>
      </w:r>
    </w:p>
  </w:footnote>
  <w:footnote w:type="continuationSeparator" w:id="0">
    <w:p w:rsidR="008F06B6" w:rsidRDefault="008F06B6" w:rsidP="008F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688"/>
    <w:multiLevelType w:val="hybridMultilevel"/>
    <w:tmpl w:val="0F881FD2"/>
    <w:lvl w:ilvl="0" w:tplc="48703C9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0D"/>
    <w:rsid w:val="00100A1A"/>
    <w:rsid w:val="00265F5E"/>
    <w:rsid w:val="003D34E4"/>
    <w:rsid w:val="003E6CB0"/>
    <w:rsid w:val="00447634"/>
    <w:rsid w:val="005867FC"/>
    <w:rsid w:val="005B1717"/>
    <w:rsid w:val="005D0CD2"/>
    <w:rsid w:val="00697AFE"/>
    <w:rsid w:val="00764E89"/>
    <w:rsid w:val="007776E3"/>
    <w:rsid w:val="00786205"/>
    <w:rsid w:val="008F06B6"/>
    <w:rsid w:val="00A0656C"/>
    <w:rsid w:val="00C77167"/>
    <w:rsid w:val="00C83D3C"/>
    <w:rsid w:val="00CC500D"/>
    <w:rsid w:val="00E67A43"/>
    <w:rsid w:val="00F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500D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C500D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00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00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CC500D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C500D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CC500D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C500D"/>
    <w:rPr>
      <w:rFonts w:ascii="Arial" w:eastAsia="Times New Roman" w:hAnsi="Arial" w:cs="Arial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7A43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7A43"/>
    <w:rPr>
      <w:rFonts w:ascii="Consolas" w:eastAsia="Times New Roman" w:hAnsi="Consolas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F06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6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06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6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500D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C500D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00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00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CC500D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C500D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CC500D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C500D"/>
    <w:rPr>
      <w:rFonts w:ascii="Arial" w:eastAsia="Times New Roman" w:hAnsi="Arial" w:cs="Arial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7A43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7A43"/>
    <w:rPr>
      <w:rFonts w:ascii="Consolas" w:eastAsia="Times New Roman" w:hAnsi="Consolas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F06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6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06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6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dcterms:created xsi:type="dcterms:W3CDTF">2017-11-22T15:31:00Z</dcterms:created>
  <dcterms:modified xsi:type="dcterms:W3CDTF">2017-11-22T15:31:00Z</dcterms:modified>
</cp:coreProperties>
</file>