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4B" w:rsidRPr="00C61614" w:rsidRDefault="00CF764B" w:rsidP="00CF764B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A3828">
        <w:rPr>
          <w:rFonts w:ascii="Arial" w:hAnsi="Arial" w:cs="Arial"/>
          <w:b/>
          <w:sz w:val="28"/>
          <w:szCs w:val="28"/>
          <w:lang w:val="es-ES_tradnl"/>
        </w:rPr>
        <w:t>3053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CF764B" w:rsidRDefault="00CF764B" w:rsidP="00CF764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F764B" w:rsidRDefault="00CF764B" w:rsidP="00CF76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F764B" w:rsidRDefault="00CF764B" w:rsidP="00CF764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F764B" w:rsidRDefault="00CF764B" w:rsidP="00CF76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F764B" w:rsidRDefault="00CF764B" w:rsidP="00CF764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F764B" w:rsidRDefault="00CF764B" w:rsidP="00CF76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</w:t>
      </w:r>
      <w:r>
        <w:rPr>
          <w:rFonts w:ascii="Arial" w:hAnsi="Arial" w:cs="Arial"/>
          <w:b/>
          <w:lang w:val="es-ES_tradnl"/>
        </w:rPr>
        <w:t xml:space="preserve"> DE SETIEMBRE </w:t>
      </w:r>
      <w:r>
        <w:rPr>
          <w:rFonts w:ascii="Helvetica" w:hAnsi="Helvetica"/>
          <w:b/>
          <w:lang w:val="es-ES_tradnl"/>
        </w:rPr>
        <w:t>DE 2017</w:t>
      </w:r>
    </w:p>
    <w:p w:rsidR="00CF764B" w:rsidRDefault="00CF764B" w:rsidP="00CF76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F764B" w:rsidRPr="005F5C50" w:rsidRDefault="00CF764B" w:rsidP="00CF76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5F5C50">
        <w:rPr>
          <w:rFonts w:ascii="Helvetica" w:hAnsi="Helvetica"/>
          <w:b/>
          <w:lang w:val="es-UY"/>
        </w:rPr>
        <w:t>(E. E. Nº 2017-17-1-000</w:t>
      </w:r>
      <w:r w:rsidR="00DD4203">
        <w:rPr>
          <w:rFonts w:ascii="Helvetica" w:hAnsi="Helvetica"/>
          <w:b/>
          <w:lang w:val="es-UY"/>
        </w:rPr>
        <w:t>525</w:t>
      </w:r>
      <w:r w:rsidR="00BA3828">
        <w:rPr>
          <w:rFonts w:ascii="Helvetica" w:hAnsi="Helvetica"/>
          <w:b/>
          <w:lang w:val="es-UY"/>
        </w:rPr>
        <w:t>0</w:t>
      </w:r>
      <w:r w:rsidRPr="005F5C50">
        <w:rPr>
          <w:rFonts w:ascii="Helvetica" w:hAnsi="Helvetica"/>
          <w:b/>
          <w:lang w:val="es-UY"/>
        </w:rPr>
        <w:t xml:space="preserve">, </w:t>
      </w:r>
      <w:proofErr w:type="spellStart"/>
      <w:r w:rsidRPr="005F5C50">
        <w:rPr>
          <w:rFonts w:ascii="Helvetica" w:hAnsi="Helvetica"/>
          <w:b/>
          <w:lang w:val="es-UY"/>
        </w:rPr>
        <w:t>Ent</w:t>
      </w:r>
      <w:proofErr w:type="spellEnd"/>
      <w:r w:rsidRPr="005F5C50">
        <w:rPr>
          <w:rFonts w:ascii="Helvetica" w:hAnsi="Helvetica"/>
          <w:b/>
          <w:lang w:val="es-UY"/>
        </w:rPr>
        <w:t xml:space="preserve">. N° </w:t>
      </w:r>
      <w:r w:rsidR="00DD4203">
        <w:rPr>
          <w:rFonts w:ascii="Helvetica" w:hAnsi="Helvetica"/>
          <w:b/>
          <w:lang w:val="es-UY"/>
        </w:rPr>
        <w:t>4195</w:t>
      </w:r>
      <w:r w:rsidRPr="005F5C50">
        <w:rPr>
          <w:rFonts w:ascii="Helvetica" w:hAnsi="Helvetica"/>
          <w:b/>
          <w:lang w:val="es-UY"/>
        </w:rPr>
        <w:t>/17)</w:t>
      </w:r>
    </w:p>
    <w:p w:rsidR="00CF764B" w:rsidRPr="00CF764B" w:rsidRDefault="00CF764B">
      <w:pPr>
        <w:pStyle w:val="Ttulo1"/>
        <w:rPr>
          <w:rFonts w:ascii="Arial" w:hAnsi="Arial" w:cs="Arial"/>
          <w:lang w:val="es-UY"/>
        </w:rPr>
      </w:pPr>
    </w:p>
    <w:p w:rsidR="00CF764B" w:rsidRDefault="00CF764B">
      <w:pPr>
        <w:pStyle w:val="Ttulo1"/>
        <w:rPr>
          <w:rFonts w:ascii="Arial" w:hAnsi="Arial" w:cs="Arial"/>
        </w:rPr>
      </w:pPr>
    </w:p>
    <w:p w:rsidR="000609EC" w:rsidRDefault="000609EC" w:rsidP="00164A2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</w:t>
      </w:r>
      <w:r w:rsidR="00EE6A1E">
        <w:rPr>
          <w:rFonts w:ascii="Arial" w:hAnsi="Arial"/>
        </w:rPr>
        <w:t>14</w:t>
      </w:r>
      <w:r w:rsidR="003F361F">
        <w:rPr>
          <w:rFonts w:ascii="Arial" w:hAnsi="Arial"/>
        </w:rPr>
        <w:t xml:space="preserve"> de </w:t>
      </w:r>
      <w:r w:rsidR="00EE6A1E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DB0B86">
        <w:rPr>
          <w:rFonts w:ascii="Arial" w:hAnsi="Arial"/>
        </w:rPr>
        <w:t xml:space="preserve">Tomás </w:t>
      </w:r>
      <w:proofErr w:type="spellStart"/>
      <w:r w:rsidR="00DB0B86">
        <w:rPr>
          <w:rFonts w:ascii="Arial" w:hAnsi="Arial"/>
        </w:rPr>
        <w:t>Gomensoro</w:t>
      </w:r>
      <w:proofErr w:type="spellEnd"/>
      <w:r w:rsidR="00EE6A1E">
        <w:rPr>
          <w:rFonts w:ascii="Arial" w:hAnsi="Arial"/>
        </w:rPr>
        <w:t xml:space="preserve"> d</w:t>
      </w:r>
      <w:r w:rsidR="007C78DC">
        <w:rPr>
          <w:rFonts w:ascii="Arial" w:hAnsi="Arial"/>
        </w:rPr>
        <w:t>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E6A1E">
        <w:rPr>
          <w:rFonts w:ascii="Arial" w:hAnsi="Arial"/>
        </w:rPr>
        <w:t>abril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BA382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DB0B86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BA3828">
        <w:rPr>
          <w:rFonts w:ascii="Arial" w:hAnsi="Arial"/>
          <w:lang w:val="es-MX"/>
        </w:rPr>
        <w:t xml:space="preserve">                </w:t>
      </w:r>
      <w:r w:rsidR="000742F1">
        <w:rPr>
          <w:rFonts w:ascii="Arial" w:hAnsi="Arial"/>
          <w:lang w:val="es-MX"/>
        </w:rPr>
        <w:t xml:space="preserve">$ </w:t>
      </w:r>
      <w:r w:rsidR="00DB0B86">
        <w:rPr>
          <w:rFonts w:ascii="Arial" w:hAnsi="Arial"/>
          <w:lang w:val="es-MX"/>
        </w:rPr>
        <w:t>15.094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</w:t>
      </w:r>
      <w:r w:rsidR="00EE6A1E">
        <w:rPr>
          <w:rFonts w:ascii="Arial" w:hAnsi="Arial"/>
          <w:lang w:val="es-MX"/>
        </w:rPr>
        <w:t>abril</w:t>
      </w:r>
      <w:r w:rsidR="00C640A4">
        <w:rPr>
          <w:rFonts w:ascii="Arial" w:hAnsi="Arial"/>
          <w:lang w:val="es-MX"/>
        </w:rPr>
        <w:t xml:space="preserve"> 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BA3828">
        <w:rPr>
          <w:rFonts w:ascii="Arial" w:hAnsi="Arial"/>
          <w:lang w:val="es-MX"/>
        </w:rPr>
        <w:t>:</w:t>
      </w:r>
    </w:p>
    <w:p w:rsidR="00BA3828" w:rsidRDefault="00BA3828" w:rsidP="00BA3828">
      <w:pPr>
        <w:ind w:firstLine="851"/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7"/>
        <w:gridCol w:w="1306"/>
      </w:tblGrid>
      <w:tr w:rsidR="00C640A4" w:rsidRPr="00751FE6" w:rsidTr="00C640A4">
        <w:tc>
          <w:tcPr>
            <w:tcW w:w="3393" w:type="pct"/>
          </w:tcPr>
          <w:p w:rsidR="00C640A4" w:rsidRPr="00751FE6" w:rsidRDefault="00C640A4" w:rsidP="00751FE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751FE6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8" w:type="pct"/>
          </w:tcPr>
          <w:p w:rsidR="00C640A4" w:rsidRPr="00751FE6" w:rsidRDefault="00C640A4" w:rsidP="00751FE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751FE6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49" w:type="pct"/>
          </w:tcPr>
          <w:p w:rsidR="00C640A4" w:rsidRPr="00751FE6" w:rsidRDefault="00C640A4" w:rsidP="00751FE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751FE6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58" w:type="pct"/>
          </w:tcPr>
          <w:p w:rsidR="00C640A4" w:rsidRDefault="00DB0B86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49" w:type="pct"/>
          </w:tcPr>
          <w:p w:rsidR="00C640A4" w:rsidRDefault="00DB0B86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9.846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 w:rsidP="00DB0B8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DB0B86">
              <w:rPr>
                <w:rFonts w:ascii="Arial" w:hAnsi="Arial"/>
                <w:lang w:val="es-MX"/>
              </w:rPr>
              <w:t>convenio N 30 de OIT</w:t>
            </w:r>
            <w:r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8" w:type="pct"/>
          </w:tcPr>
          <w:p w:rsidR="00C640A4" w:rsidRDefault="00807B1A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49" w:type="pct"/>
          </w:tcPr>
          <w:p w:rsidR="00C640A4" w:rsidRDefault="00DB0B86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5.248</w:t>
            </w:r>
          </w:p>
        </w:tc>
      </w:tr>
      <w:tr w:rsidR="00C640A4" w:rsidRPr="004E1EAF" w:rsidTr="00C640A4">
        <w:tc>
          <w:tcPr>
            <w:tcW w:w="3393" w:type="pct"/>
          </w:tcPr>
          <w:p w:rsidR="00C640A4" w:rsidRPr="004E1EAF" w:rsidRDefault="00C640A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4E1EAF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8" w:type="pct"/>
          </w:tcPr>
          <w:p w:rsidR="00C640A4" w:rsidRPr="004E1EAF" w:rsidRDefault="00DB0B86" w:rsidP="00C640A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4E1EAF"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749" w:type="pct"/>
          </w:tcPr>
          <w:p w:rsidR="00C640A4" w:rsidRPr="004E1EAF" w:rsidRDefault="00DB0B86" w:rsidP="00C640A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4E1EAF">
              <w:rPr>
                <w:rFonts w:ascii="Arial" w:hAnsi="Arial"/>
                <w:b/>
                <w:lang w:val="es-MX"/>
              </w:rPr>
              <w:t>15.094</w:t>
            </w:r>
          </w:p>
        </w:tc>
      </w:tr>
    </w:tbl>
    <w:p w:rsidR="00BA3828" w:rsidRDefault="00855913" w:rsidP="00BA3828">
      <w:pPr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lang w:val="es-MX"/>
        </w:rPr>
        <w:tab/>
      </w:r>
      <w:r>
        <w:rPr>
          <w:rFonts w:ascii="Arial" w:hAnsi="Arial"/>
          <w:lang w:val="es-MX"/>
        </w:rPr>
        <w:tab/>
        <w:t xml:space="preserve">     </w:t>
      </w:r>
      <w:r w:rsidR="00ED6562"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 xml:space="preserve">  </w:t>
      </w:r>
    </w:p>
    <w:p w:rsidR="00F02EA7" w:rsidRDefault="00F67A98" w:rsidP="00BA382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>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BA382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BA382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A382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BA3828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BA3828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BA3828">
        <w:rPr>
          <w:rFonts w:ascii="Arial" w:hAnsi="Arial"/>
          <w:lang w:val="es-MX"/>
        </w:rPr>
        <w:t xml:space="preserve">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751FE6">
        <w:rPr>
          <w:rFonts w:ascii="Arial" w:hAnsi="Arial"/>
          <w:spacing w:val="-3"/>
          <w:lang w:val="es-ES_tradnl"/>
        </w:rPr>
        <w:t>;</w:t>
      </w:r>
    </w:p>
    <w:p w:rsidR="00001DAD" w:rsidRDefault="00001DAD" w:rsidP="00BA382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A382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BA3828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BA3828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BA3828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DB0B86">
        <w:rPr>
          <w:rFonts w:ascii="Arial" w:hAnsi="Arial"/>
          <w:lang w:val="es-MX"/>
        </w:rPr>
        <w:t xml:space="preserve">Tomás </w:t>
      </w:r>
      <w:proofErr w:type="spellStart"/>
      <w:r w:rsidR="00DB0B86">
        <w:rPr>
          <w:rFonts w:ascii="Arial" w:hAnsi="Arial"/>
          <w:lang w:val="es-MX"/>
        </w:rPr>
        <w:t>Gomensoro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DB0B86">
        <w:rPr>
          <w:rFonts w:ascii="Arial" w:hAnsi="Arial"/>
          <w:lang w:val="es-MX"/>
        </w:rPr>
        <w:t>Tomás Gomensoro</w:t>
      </w:r>
      <w:r w:rsidR="002D317D">
        <w:rPr>
          <w:rFonts w:ascii="Arial" w:hAnsi="Arial"/>
          <w:lang w:val="es-MX"/>
        </w:rPr>
        <w:t xml:space="preserve">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562B66" w:rsidRPr="00BA3828" w:rsidRDefault="00BA3828">
      <w:pPr>
        <w:rPr>
          <w:rFonts w:ascii="Arial" w:hAnsi="Arial" w:cs="Arial"/>
          <w:szCs w:val="24"/>
        </w:rPr>
      </w:pPr>
      <w:proofErr w:type="spellStart"/>
      <w:proofErr w:type="gramStart"/>
      <w:r w:rsidRPr="00BA3828">
        <w:rPr>
          <w:rFonts w:ascii="Arial" w:hAnsi="Arial" w:cs="Arial"/>
          <w:szCs w:val="24"/>
        </w:rPr>
        <w:t>ag</w:t>
      </w:r>
      <w:proofErr w:type="spellEnd"/>
      <w:proofErr w:type="gramEnd"/>
    </w:p>
    <w:sectPr w:rsidR="00562B66" w:rsidRPr="00BA3828" w:rsidSect="00D62E77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7D1E"/>
    <w:rsid w:val="00141C32"/>
    <w:rsid w:val="0016227D"/>
    <w:rsid w:val="00164A23"/>
    <w:rsid w:val="00184233"/>
    <w:rsid w:val="001C2710"/>
    <w:rsid w:val="00200B53"/>
    <w:rsid w:val="00216AA0"/>
    <w:rsid w:val="00234FD0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361F"/>
    <w:rsid w:val="003F5964"/>
    <w:rsid w:val="00400FDB"/>
    <w:rsid w:val="00415C02"/>
    <w:rsid w:val="00460612"/>
    <w:rsid w:val="004C7769"/>
    <w:rsid w:val="004E1EAF"/>
    <w:rsid w:val="005001AA"/>
    <w:rsid w:val="005160BE"/>
    <w:rsid w:val="00520723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0C1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51FE6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D7296"/>
    <w:rsid w:val="00AE67E0"/>
    <w:rsid w:val="00AF4E7C"/>
    <w:rsid w:val="00B02E00"/>
    <w:rsid w:val="00B30523"/>
    <w:rsid w:val="00B745DB"/>
    <w:rsid w:val="00BA3828"/>
    <w:rsid w:val="00BB4EDD"/>
    <w:rsid w:val="00BB5448"/>
    <w:rsid w:val="00BC71D5"/>
    <w:rsid w:val="00BF1076"/>
    <w:rsid w:val="00BF5B3C"/>
    <w:rsid w:val="00C06DFB"/>
    <w:rsid w:val="00C35D99"/>
    <w:rsid w:val="00C640A4"/>
    <w:rsid w:val="00C96B86"/>
    <w:rsid w:val="00CD216B"/>
    <w:rsid w:val="00CF764B"/>
    <w:rsid w:val="00D01251"/>
    <w:rsid w:val="00D62E77"/>
    <w:rsid w:val="00D65093"/>
    <w:rsid w:val="00D66F6E"/>
    <w:rsid w:val="00D92F42"/>
    <w:rsid w:val="00DB0B86"/>
    <w:rsid w:val="00DC441B"/>
    <w:rsid w:val="00DD4203"/>
    <w:rsid w:val="00E61933"/>
    <w:rsid w:val="00E62F0C"/>
    <w:rsid w:val="00E75254"/>
    <w:rsid w:val="00EC48E3"/>
    <w:rsid w:val="00ED6562"/>
    <w:rsid w:val="00EE0A01"/>
    <w:rsid w:val="00EE0D2C"/>
    <w:rsid w:val="00EE1016"/>
    <w:rsid w:val="00EE6A1E"/>
    <w:rsid w:val="00F02EA7"/>
    <w:rsid w:val="00F06029"/>
    <w:rsid w:val="00F1229E"/>
    <w:rsid w:val="00F341AA"/>
    <w:rsid w:val="00F51334"/>
    <w:rsid w:val="00F67A98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03F8-153A-4DCA-B027-562A4C76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10</cp:revision>
  <cp:lastPrinted>2017-09-25T19:15:00Z</cp:lastPrinted>
  <dcterms:created xsi:type="dcterms:W3CDTF">2017-09-21T18:55:00Z</dcterms:created>
  <dcterms:modified xsi:type="dcterms:W3CDTF">2018-01-04T16:30:00Z</dcterms:modified>
</cp:coreProperties>
</file>