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E9" w:rsidRPr="00786EEB" w:rsidRDefault="007D42E9" w:rsidP="00786EEB">
      <w:pPr>
        <w:tabs>
          <w:tab w:val="center" w:pos="4253"/>
        </w:tabs>
        <w:suppressAutoHyphens/>
        <w:jc w:val="right"/>
        <w:rPr>
          <w:rFonts w:cs="Arial"/>
          <w:b/>
          <w:sz w:val="28"/>
          <w:szCs w:val="28"/>
          <w:lang w:val="es-ES_tradnl"/>
        </w:rPr>
      </w:pPr>
      <w:r>
        <w:rPr>
          <w:rFonts w:cs="Arial"/>
          <w:b/>
          <w:sz w:val="28"/>
          <w:szCs w:val="28"/>
          <w:lang w:val="es-ES_tradnl"/>
        </w:rPr>
        <w:t>RES. 3715/17</w:t>
      </w:r>
    </w:p>
    <w:p w:rsidR="007D42E9" w:rsidRDefault="007D42E9" w:rsidP="00786EEB">
      <w:pPr>
        <w:tabs>
          <w:tab w:val="center" w:pos="4253"/>
        </w:tabs>
        <w:suppressAutoHyphens/>
        <w:jc w:val="right"/>
        <w:rPr>
          <w:rFonts w:cs="Arial"/>
          <w:b/>
          <w:lang w:val="es-ES_tradnl"/>
        </w:rPr>
      </w:pPr>
    </w:p>
    <w:p w:rsidR="007D42E9" w:rsidRPr="00762B34" w:rsidRDefault="007D42E9">
      <w:pPr>
        <w:tabs>
          <w:tab w:val="center" w:pos="4253"/>
        </w:tabs>
        <w:suppressAutoHyphens/>
        <w:jc w:val="center"/>
        <w:rPr>
          <w:rFonts w:cs="Arial"/>
          <w:b/>
          <w:lang w:val="es-ES_tradnl"/>
        </w:rPr>
      </w:pPr>
      <w:r w:rsidRPr="00762B34">
        <w:rPr>
          <w:rFonts w:cs="Arial"/>
          <w:b/>
          <w:lang w:val="es-ES_tradnl"/>
        </w:rPr>
        <w:t>RESOLUCION ADOPTADA POR EL</w:t>
      </w:r>
    </w:p>
    <w:p w:rsidR="007D42E9" w:rsidRPr="00762B34" w:rsidRDefault="007D42E9">
      <w:pPr>
        <w:tabs>
          <w:tab w:val="left" w:pos="-720"/>
        </w:tabs>
        <w:suppressAutoHyphens/>
        <w:jc w:val="center"/>
        <w:rPr>
          <w:rFonts w:cs="Arial"/>
          <w:b/>
          <w:lang w:val="es-ES_tradnl"/>
        </w:rPr>
      </w:pPr>
    </w:p>
    <w:p w:rsidR="007D42E9" w:rsidRPr="00762B34" w:rsidRDefault="007D42E9">
      <w:pPr>
        <w:tabs>
          <w:tab w:val="center" w:pos="4253"/>
        </w:tabs>
        <w:suppressAutoHyphens/>
        <w:jc w:val="center"/>
        <w:rPr>
          <w:rFonts w:cs="Arial"/>
          <w:b/>
          <w:lang w:val="es-ES_tradnl"/>
        </w:rPr>
      </w:pPr>
      <w:r w:rsidRPr="00762B34">
        <w:rPr>
          <w:rFonts w:cs="Arial"/>
          <w:b/>
          <w:lang w:val="es-ES_tradnl"/>
        </w:rPr>
        <w:t>TRIBUNAL DE CUENTAS</w:t>
      </w:r>
    </w:p>
    <w:p w:rsidR="007D42E9" w:rsidRPr="00762B34" w:rsidRDefault="007D42E9">
      <w:pPr>
        <w:tabs>
          <w:tab w:val="left" w:pos="-720"/>
        </w:tabs>
        <w:suppressAutoHyphens/>
        <w:jc w:val="center"/>
        <w:rPr>
          <w:rFonts w:cs="Arial"/>
          <w:b/>
          <w:lang w:val="es-ES_tradnl"/>
        </w:rPr>
      </w:pPr>
    </w:p>
    <w:p w:rsidR="007D42E9" w:rsidRPr="00762B34" w:rsidRDefault="007D42E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8 DE NOVIEMBRE </w:t>
      </w:r>
      <w:r>
        <w:rPr>
          <w:rFonts w:ascii="Helvetica" w:hAnsi="Helvetica"/>
          <w:b/>
          <w:lang w:val="es-ES_tradnl"/>
        </w:rPr>
        <w:t>DE 2017</w:t>
      </w:r>
    </w:p>
    <w:p w:rsidR="007D42E9" w:rsidRPr="00762B34" w:rsidRDefault="007D42E9">
      <w:pPr>
        <w:tabs>
          <w:tab w:val="center" w:pos="4253"/>
        </w:tabs>
        <w:suppressAutoHyphens/>
        <w:jc w:val="center"/>
        <w:rPr>
          <w:rFonts w:cs="Arial"/>
          <w:b/>
          <w:lang w:val="es-ES_tradnl"/>
        </w:rPr>
      </w:pPr>
    </w:p>
    <w:p w:rsidR="007D42E9" w:rsidRPr="007D42E9" w:rsidRDefault="007D42E9">
      <w:pPr>
        <w:tabs>
          <w:tab w:val="center" w:pos="4253"/>
        </w:tabs>
        <w:suppressAutoHyphens/>
        <w:jc w:val="center"/>
        <w:rPr>
          <w:rFonts w:cs="Arial"/>
          <w:b/>
          <w:lang w:val="es-UY"/>
        </w:rPr>
      </w:pPr>
      <w:r w:rsidRPr="007D42E9">
        <w:rPr>
          <w:rFonts w:cs="Arial"/>
          <w:b/>
          <w:lang w:val="es-UY"/>
        </w:rPr>
        <w:t xml:space="preserve">(E. E. Nº 2017-17-1-0003790, </w:t>
      </w:r>
      <w:proofErr w:type="spellStart"/>
      <w:r w:rsidRPr="007D42E9">
        <w:rPr>
          <w:rFonts w:cs="Arial"/>
          <w:b/>
          <w:lang w:val="es-UY"/>
        </w:rPr>
        <w:t>Ent</w:t>
      </w:r>
      <w:proofErr w:type="spellEnd"/>
      <w:r w:rsidRPr="007D42E9">
        <w:rPr>
          <w:rFonts w:cs="Arial"/>
          <w:b/>
          <w:lang w:val="es-UY"/>
        </w:rPr>
        <w:t>. N° 5358/17)</w:t>
      </w:r>
    </w:p>
    <w:p w:rsidR="007D42E9" w:rsidRPr="007D42E9" w:rsidRDefault="007D42E9">
      <w:pPr>
        <w:tabs>
          <w:tab w:val="center" w:pos="4253"/>
        </w:tabs>
        <w:suppressAutoHyphens/>
        <w:jc w:val="center"/>
        <w:rPr>
          <w:rFonts w:ascii="Helvetica" w:hAnsi="Helvetica"/>
          <w:b/>
          <w:lang w:val="es-UY"/>
        </w:rPr>
      </w:pPr>
    </w:p>
    <w:p w:rsidR="00007D7E" w:rsidRDefault="00007D7E" w:rsidP="00007D7E">
      <w:pPr>
        <w:spacing w:line="360" w:lineRule="auto"/>
        <w:ind w:firstLine="708"/>
        <w:jc w:val="both"/>
      </w:pPr>
      <w:r>
        <w:rPr>
          <w:b/>
          <w:bCs/>
        </w:rPr>
        <w:t>VISTO:</w:t>
      </w:r>
      <w:r>
        <w:t xml:space="preserve"> estas actuaciones remitidas por el Ministerio de Economía y Finanzas, relacionadas con el </w:t>
      </w:r>
      <w:r w:rsidRPr="009A24E7">
        <w:t>contrato suscrito con los Dres. Juan Andrés Ramírez y Gabriel Valentín, en el marco del proceso arbitral internacional incoado por la empresa Conecta SA;</w:t>
      </w:r>
    </w:p>
    <w:p w:rsidR="00007D7E" w:rsidRDefault="00007D7E" w:rsidP="00007D7E">
      <w:pPr>
        <w:spacing w:line="360" w:lineRule="auto"/>
        <w:ind w:firstLine="709"/>
        <w:jc w:val="both"/>
      </w:pPr>
      <w:r>
        <w:rPr>
          <w:b/>
          <w:bCs/>
        </w:rPr>
        <w:t>RESULTANDO: 1)</w:t>
      </w:r>
      <w:r>
        <w:t xml:space="preserve"> que con fecha 21 de abril de 2017, la empresa Conecta S.A. promovió un arbitraje ante la Corte Internacional de Arbitraje de la Cámara de Comercio Internacional (asunto 22753/ASM), contra el Estado Uruguayo, en virtud de los incumplimientos del “Contrato de concesión para el proyecto, construcción y explotación de sistemas de distribución de gas por redes para el abastecimiento de localidades en los departamentos de la República Oriental del Uruguay, con excepción del departamento de Montevideo, en régimen de concesión de obra pública”, estimando inicialmente el daño causado en U$S 50.000.000, sin perjuicio de lo cual señala que existen montos adicionales que no es posible determinar en esa instancia, por lo que se reserva el derecho de modificar, complementar o ampliar esa estimación en el futuro;</w:t>
      </w:r>
    </w:p>
    <w:p w:rsidR="00007D7E" w:rsidRDefault="00007D7E" w:rsidP="00007D7E">
      <w:pPr>
        <w:spacing w:line="360" w:lineRule="auto"/>
        <w:ind w:firstLine="2552"/>
        <w:jc w:val="both"/>
      </w:pPr>
      <w:r>
        <w:rPr>
          <w:b/>
        </w:rPr>
        <w:t xml:space="preserve"> </w:t>
      </w:r>
      <w:r w:rsidRPr="009A24E7">
        <w:rPr>
          <w:b/>
        </w:rPr>
        <w:t>2)</w:t>
      </w:r>
      <w:r>
        <w:t xml:space="preserve"> que con fecha 31 de mayo de 2017, los Sres. Ministros de Relaciones Exteriores y de Industria, Energía y Minería suscribieron contrato de prestación de servicios profesionales legales con los Dres. Juan Andrés Ramírez y Gabriel Valentín, ad referéndum de su aprobación por el Poder Ejecutivo;</w:t>
      </w:r>
      <w:r>
        <w:rPr>
          <w:b/>
        </w:rPr>
        <w:t xml:space="preserve">                      </w:t>
      </w:r>
    </w:p>
    <w:p w:rsidR="00007D7E" w:rsidRDefault="00007D7E" w:rsidP="00007D7E">
      <w:pPr>
        <w:spacing w:line="360" w:lineRule="auto"/>
        <w:ind w:firstLine="2552"/>
        <w:jc w:val="both"/>
      </w:pPr>
      <w:r>
        <w:rPr>
          <w:b/>
        </w:rPr>
        <w:lastRenderedPageBreak/>
        <w:t xml:space="preserve"> 3</w:t>
      </w:r>
      <w:r w:rsidRPr="009A24E7">
        <w:rPr>
          <w:b/>
        </w:rPr>
        <w:t xml:space="preserve">) </w:t>
      </w:r>
      <w:r w:rsidRPr="009A24E7">
        <w:t xml:space="preserve"> </w:t>
      </w:r>
      <w:r w:rsidRPr="00EE6BFA">
        <w:t xml:space="preserve">que este Tribunal, </w:t>
      </w:r>
      <w:r>
        <w:t>por Resolución Nº 2060/2017</w:t>
      </w:r>
      <w:r w:rsidRPr="00EE6BFA">
        <w:t xml:space="preserve"> de fecha </w:t>
      </w:r>
      <w:r>
        <w:t>28 de junio de 2017</w:t>
      </w:r>
      <w:r w:rsidRPr="00EE6BFA">
        <w:t>, acordó observar el gasto</w:t>
      </w:r>
      <w:r>
        <w:t xml:space="preserve"> por las siguientes causales: * no se realizó el procedimiento competitivo que de acuerdo con el monto del mismo correspondía en aplicación de lo dispuesto por el Artículo 47 de la Ley Nº 18.719 en la redacción dada por el Artículo 3 de la Ley Nº 19.149 (Artículo 38 del TOCAF), sin acreditar fehacientemente los extremos exigidos por dicha norma para proceder a la contratación directa; </w:t>
      </w:r>
      <w:r w:rsidRPr="00EE6BFA">
        <w:t xml:space="preserve"> </w:t>
      </w:r>
      <w:r>
        <w:t xml:space="preserve">* en la documentación expedida por el Registro de Vínculos con el estado constaba que los profesionales contratados tenían otros contratos de igual naturaleza con organismos  públicos,  contraviniendo  lo  dispuesto  por el Artículo 11 de la Ley </w:t>
      </w:r>
    </w:p>
    <w:p w:rsidR="00007D7E" w:rsidRDefault="00007D7E" w:rsidP="00007D7E">
      <w:pPr>
        <w:spacing w:line="360" w:lineRule="auto"/>
        <w:jc w:val="both"/>
        <w:rPr>
          <w:b/>
          <w:bCs/>
          <w:lang w:val="es-MX"/>
        </w:rPr>
      </w:pPr>
      <w:r>
        <w:t xml:space="preserve">Nº 11.923, que prohíbe </w:t>
      </w:r>
      <w:r w:rsidRPr="001E7241">
        <w:rPr>
          <w:bCs/>
          <w:lang w:val="es-MX"/>
        </w:rPr>
        <w:t>“la percepción de más de una remuneració</w:t>
      </w:r>
      <w:r>
        <w:rPr>
          <w:bCs/>
          <w:lang w:val="es-MX"/>
        </w:rPr>
        <w:t>n con cargo a fondos públicos” a cualquier título (incluyendo honorarios);</w:t>
      </w:r>
      <w:r>
        <w:t xml:space="preserve"> * el contrato se suscribió previo a la remisión de los antecedentes a este Tribunal,  contraviniendo</w:t>
      </w:r>
      <w:r w:rsidRPr="00EE6BFA">
        <w:t xml:space="preserve"> lo dispuesto por el Artículo 211 Lit. B) de la Constitución</w:t>
      </w:r>
      <w:r>
        <w:t xml:space="preserve">; </w:t>
      </w:r>
      <w:r>
        <w:rPr>
          <w:b/>
          <w:bCs/>
          <w:lang w:val="es-MX"/>
        </w:rPr>
        <w:t xml:space="preserve"> </w:t>
      </w:r>
    </w:p>
    <w:p w:rsidR="00007D7E" w:rsidRPr="001E7241" w:rsidRDefault="00007D7E" w:rsidP="00007D7E">
      <w:pPr>
        <w:spacing w:line="360" w:lineRule="auto"/>
        <w:ind w:firstLine="2694"/>
        <w:jc w:val="both"/>
        <w:rPr>
          <w:bCs/>
          <w:lang w:val="es-MX"/>
        </w:rPr>
      </w:pPr>
      <w:r>
        <w:rPr>
          <w:b/>
          <w:bCs/>
          <w:lang w:val="es-MX"/>
        </w:rPr>
        <w:t xml:space="preserve">4) </w:t>
      </w:r>
      <w:r>
        <w:rPr>
          <w:bCs/>
          <w:lang w:val="es-MX"/>
        </w:rPr>
        <w:t>que por Resolución del Poder Ejecutivo de fecha 10 de julio de 2017 se convalidó el contrato suscrito con los referidos profesionales, precisando que el mismo cumple estrictamente con la descripción legal y que no se encuentra en condiciones materiales de ejecutar con sus propios funcionarios el objeto del mismo;</w:t>
      </w:r>
    </w:p>
    <w:p w:rsidR="00007D7E" w:rsidRPr="00EE6BFA" w:rsidRDefault="00007D7E" w:rsidP="00007D7E">
      <w:pPr>
        <w:spacing w:line="360" w:lineRule="auto"/>
        <w:ind w:firstLine="2694"/>
        <w:jc w:val="both"/>
        <w:rPr>
          <w:b/>
          <w:bCs/>
          <w:lang w:val="es-MX"/>
        </w:rPr>
      </w:pPr>
      <w:r w:rsidRPr="00EE6BFA">
        <w:rPr>
          <w:b/>
          <w:bCs/>
          <w:lang w:val="es-MX"/>
        </w:rPr>
        <w:t>5)</w:t>
      </w:r>
      <w:r>
        <w:rPr>
          <w:b/>
          <w:bCs/>
          <w:lang w:val="es-MX"/>
        </w:rPr>
        <w:t xml:space="preserve"> </w:t>
      </w:r>
      <w:r>
        <w:t xml:space="preserve">que en la oportunidad se remite Resolución del Poder Ejecutivo de fecha 25 de setiembre de 2017, por la cual resolvió insistir “en el gasto emergente del contrato suscrito entre el Estado – Poder Ejecutivo y los Dres. Juan Andrés Ramírez y Gabriel Valentín, para el asesoramiento y patrocinio de la República Oriental del Uruguay, en el proceso arbitral incoado por la empresa Conecta S.A. ante la Cámara de Comercio Internacional, así como también en todo gasto asociado al referido arbitraje”, con cargo al Inciso 24 “Diversos Créditos”, Unidad Ejecutora 005 “Ministerio de Economía y Finanzas”, Programa 488, Objeto de Gasto 713 “Acontecimientos graves e </w:t>
      </w:r>
      <w:r>
        <w:lastRenderedPageBreak/>
        <w:t xml:space="preserve">imprevistos” y dispuso dar cuenta de lo actuado a la Asamblea General (Artículo 15 del TOCAF); </w:t>
      </w:r>
    </w:p>
    <w:p w:rsidR="00007D7E" w:rsidRPr="00216E63" w:rsidRDefault="00007D7E" w:rsidP="00007D7E">
      <w:pPr>
        <w:spacing w:line="360" w:lineRule="auto"/>
        <w:jc w:val="both"/>
        <w:rPr>
          <w:rFonts w:cs="Arial"/>
          <w:bCs/>
        </w:rPr>
      </w:pPr>
      <w:r>
        <w:rPr>
          <w:b/>
        </w:rPr>
        <w:t xml:space="preserve">          </w:t>
      </w:r>
      <w:r>
        <w:rPr>
          <w:b/>
          <w:bCs/>
        </w:rPr>
        <w:t xml:space="preserve">CONSIDERANDO: </w:t>
      </w:r>
      <w:r w:rsidRPr="00E82D98">
        <w:rPr>
          <w:b/>
          <w:bCs/>
        </w:rPr>
        <w:t xml:space="preserve">1) </w:t>
      </w:r>
      <w:r w:rsidRPr="00E82D98">
        <w:rPr>
          <w:rFonts w:cs="Arial"/>
        </w:rPr>
        <w:t>que</w:t>
      </w:r>
      <w:r>
        <w:rPr>
          <w:rFonts w:cs="Arial"/>
        </w:rPr>
        <w:t xml:space="preserve"> el Artículo 475 de la Ley  Nº 17.2</w:t>
      </w:r>
      <w:r w:rsidRPr="00E82D98">
        <w:rPr>
          <w:rFonts w:cs="Arial"/>
        </w:rPr>
        <w:t>96</w:t>
      </w:r>
      <w:r>
        <w:rPr>
          <w:rFonts w:cs="Arial"/>
        </w:rPr>
        <w:t xml:space="preserve"> de 21/02/2001</w:t>
      </w:r>
      <w:r w:rsidRPr="00E82D98">
        <w:rPr>
          <w:rFonts w:cs="Arial"/>
        </w:rPr>
        <w:t xml:space="preserve"> dispone que los ordenadores de gastos o pagos, al ejercer la facultad de insistencia o reiteración que les acuerda el </w:t>
      </w:r>
      <w:r>
        <w:rPr>
          <w:rFonts w:cs="Arial"/>
        </w:rPr>
        <w:t>L</w:t>
      </w:r>
      <w:r w:rsidRPr="00E82D98">
        <w:rPr>
          <w:rFonts w:cs="Arial"/>
        </w:rPr>
        <w:t xml:space="preserve">iteral B) del </w:t>
      </w:r>
      <w:r>
        <w:rPr>
          <w:rFonts w:cs="Arial"/>
        </w:rPr>
        <w:t>A</w:t>
      </w:r>
      <w:r w:rsidRPr="00E82D98">
        <w:rPr>
          <w:rFonts w:cs="Arial"/>
        </w:rPr>
        <w:t>rtículo 211 de la Constitución, deberán hacerlo en forma fundada, expresando de manera detallada los motivos que justifican a su juicio segui</w:t>
      </w:r>
      <w:r>
        <w:rPr>
          <w:rFonts w:cs="Arial"/>
        </w:rPr>
        <w:t>r el curso del gasto o el pago;</w:t>
      </w:r>
    </w:p>
    <w:p w:rsidR="00007D7E" w:rsidRDefault="00007D7E" w:rsidP="00007D7E">
      <w:pPr>
        <w:spacing w:line="360" w:lineRule="auto"/>
        <w:jc w:val="both"/>
        <w:rPr>
          <w:rFonts w:cs="Arial"/>
          <w:szCs w:val="20"/>
          <w:lang w:val="es-MX"/>
        </w:rPr>
      </w:pPr>
      <w:r>
        <w:rPr>
          <w:rFonts w:cs="Arial"/>
          <w:b/>
        </w:rPr>
        <w:t xml:space="preserve">                                           </w:t>
      </w:r>
      <w:r w:rsidRPr="00E82D98">
        <w:rPr>
          <w:rFonts w:cs="Arial"/>
          <w:b/>
        </w:rPr>
        <w:t>2</w:t>
      </w:r>
      <w:r w:rsidRPr="00E82D98">
        <w:rPr>
          <w:rFonts w:cs="Arial"/>
          <w:b/>
          <w:szCs w:val="20"/>
        </w:rPr>
        <w:t>)</w:t>
      </w:r>
      <w:r w:rsidRPr="00E82D98">
        <w:rPr>
          <w:rFonts w:cs="Arial"/>
          <w:szCs w:val="20"/>
          <w:lang w:val="es-MX"/>
        </w:rPr>
        <w:t xml:space="preserve"> que</w:t>
      </w:r>
      <w:r>
        <w:rPr>
          <w:rFonts w:cs="Arial"/>
          <w:szCs w:val="20"/>
          <w:lang w:val="es-MX"/>
        </w:rPr>
        <w:t xml:space="preserve"> en esta instancia la </w:t>
      </w:r>
      <w:r w:rsidRPr="00E82D98">
        <w:rPr>
          <w:rFonts w:cs="Arial"/>
          <w:szCs w:val="20"/>
          <w:lang w:val="es-MX"/>
        </w:rPr>
        <w:t>Administra</w:t>
      </w:r>
      <w:r>
        <w:rPr>
          <w:rFonts w:cs="Arial"/>
          <w:szCs w:val="20"/>
          <w:lang w:val="es-MX"/>
        </w:rPr>
        <w:t xml:space="preserve">ción no agrega nuevos argumentos a los considerados por el Tribunal en  su Resolución Nº2060/17 </w:t>
      </w:r>
      <w:r w:rsidRPr="00E82D98">
        <w:rPr>
          <w:rFonts w:cs="Arial"/>
          <w:szCs w:val="20"/>
          <w:lang w:val="es-MX"/>
        </w:rPr>
        <w:t xml:space="preserve"> de fecha </w:t>
      </w:r>
      <w:r>
        <w:rPr>
          <w:rFonts w:cs="Arial"/>
          <w:szCs w:val="20"/>
          <w:lang w:val="es-MX"/>
        </w:rPr>
        <w:t>28 de junio de 2017,</w:t>
      </w:r>
      <w:r w:rsidRPr="00E82D98">
        <w:rPr>
          <w:rFonts w:cs="Arial"/>
          <w:b/>
          <w:bCs/>
          <w:szCs w:val="20"/>
          <w:lang w:val="es-MX"/>
        </w:rPr>
        <w:t xml:space="preserve"> </w:t>
      </w:r>
      <w:r w:rsidRPr="00E82D98">
        <w:rPr>
          <w:rFonts w:cs="Arial"/>
          <w:szCs w:val="20"/>
          <w:lang w:val="es-MX"/>
        </w:rPr>
        <w:t>por lo que se mantienen incambiadas las causas que motivaran la observación;</w:t>
      </w:r>
    </w:p>
    <w:p w:rsidR="00007D7E" w:rsidRPr="00216E63" w:rsidRDefault="00007D7E" w:rsidP="00007D7E">
      <w:pPr>
        <w:spacing w:line="360" w:lineRule="auto"/>
        <w:jc w:val="both"/>
        <w:rPr>
          <w:rFonts w:cs="Arial"/>
          <w:szCs w:val="20"/>
          <w:lang w:val="es-MX"/>
        </w:rPr>
      </w:pPr>
      <w:r>
        <w:rPr>
          <w:rFonts w:cs="Arial"/>
          <w:szCs w:val="20"/>
          <w:lang w:val="es-MX"/>
        </w:rPr>
        <w:t xml:space="preserve">  </w:t>
      </w:r>
      <w:r>
        <w:rPr>
          <w:rFonts w:cs="Arial"/>
          <w:szCs w:val="20"/>
          <w:lang w:val="es-MX"/>
        </w:rPr>
        <w:tab/>
      </w:r>
      <w:r>
        <w:rPr>
          <w:rFonts w:cs="Arial"/>
          <w:szCs w:val="20"/>
          <w:lang w:val="es-MX"/>
        </w:rPr>
        <w:tab/>
      </w:r>
      <w:r>
        <w:rPr>
          <w:rFonts w:cs="Arial"/>
          <w:szCs w:val="20"/>
          <w:lang w:val="es-MX"/>
        </w:rPr>
        <w:tab/>
        <w:t xml:space="preserve">            </w:t>
      </w:r>
      <w:r w:rsidRPr="00216E63">
        <w:rPr>
          <w:rFonts w:cs="Arial"/>
          <w:b/>
          <w:szCs w:val="20"/>
          <w:lang w:val="es-MX"/>
        </w:rPr>
        <w:t xml:space="preserve">3) </w:t>
      </w:r>
      <w:r>
        <w:rPr>
          <w:rFonts w:cs="Arial"/>
          <w:szCs w:val="20"/>
          <w:lang w:val="es-MX"/>
        </w:rPr>
        <w:t xml:space="preserve">que el ordenador dispuso proseguir con el trámite (Resolución de fecha 10 de julio de 2017)  previo a reiterar el gasto y dar cuenta a este Tribunal (Resolución de fecha 25 de setiembre de 2017), incumpliendo el procedimiento previsto por el Artículo 211 Literal B) de la Constitución, que dispone </w:t>
      </w:r>
      <w:r>
        <w:rPr>
          <w:rFonts w:cs="Arial"/>
          <w:bCs/>
          <w:szCs w:val="20"/>
        </w:rPr>
        <w:t>que observado el gasto,</w:t>
      </w:r>
      <w:r w:rsidRPr="00216E63">
        <w:rPr>
          <w:rFonts w:cs="Arial"/>
          <w:bCs/>
          <w:szCs w:val="20"/>
        </w:rPr>
        <w:t xml:space="preserve"> “si el ordenador respectivo insistiera, lo comunicará al Tribunal</w:t>
      </w:r>
      <w:r>
        <w:rPr>
          <w:rFonts w:cs="Arial"/>
          <w:bCs/>
          <w:szCs w:val="20"/>
        </w:rPr>
        <w:t>,</w:t>
      </w:r>
      <w:r w:rsidRPr="00216E63">
        <w:rPr>
          <w:rFonts w:cs="Arial"/>
          <w:bCs/>
          <w:szCs w:val="20"/>
        </w:rPr>
        <w:t xml:space="preserve"> sin perjuicio de dar cumplimiento a lo dispuesto”;</w:t>
      </w:r>
      <w:r>
        <w:rPr>
          <w:rFonts w:cs="Arial"/>
          <w:szCs w:val="20"/>
          <w:lang w:val="es-MX"/>
        </w:rPr>
        <w:t xml:space="preserve">                      </w:t>
      </w:r>
    </w:p>
    <w:p w:rsidR="00007D7E" w:rsidRPr="00E82D98" w:rsidRDefault="00007D7E" w:rsidP="00007D7E">
      <w:pPr>
        <w:spacing w:line="360" w:lineRule="auto"/>
        <w:ind w:firstLine="709"/>
        <w:jc w:val="both"/>
        <w:rPr>
          <w:rFonts w:cs="Arial"/>
        </w:rPr>
      </w:pPr>
      <w:r w:rsidRPr="00E82D98">
        <w:rPr>
          <w:rFonts w:cs="Arial"/>
          <w:b/>
          <w:bCs/>
        </w:rPr>
        <w:t xml:space="preserve">ATENTO, </w:t>
      </w:r>
      <w:r w:rsidRPr="00E82D98">
        <w:rPr>
          <w:rFonts w:cs="Arial"/>
        </w:rPr>
        <w:t xml:space="preserve">a lo precedentemente expuesto y a lo establecido por el </w:t>
      </w:r>
      <w:r>
        <w:rPr>
          <w:rFonts w:cs="Arial"/>
        </w:rPr>
        <w:t>A</w:t>
      </w:r>
      <w:r w:rsidRPr="00E82D98">
        <w:rPr>
          <w:rFonts w:cs="Arial"/>
        </w:rPr>
        <w:t>rt</w:t>
      </w:r>
      <w:r>
        <w:rPr>
          <w:rFonts w:cs="Arial"/>
        </w:rPr>
        <w:t>ículo</w:t>
      </w:r>
      <w:r w:rsidRPr="00E82D98">
        <w:rPr>
          <w:rFonts w:cs="Arial"/>
        </w:rPr>
        <w:t xml:space="preserve"> 211 </w:t>
      </w:r>
      <w:r>
        <w:rPr>
          <w:rFonts w:cs="Arial"/>
        </w:rPr>
        <w:t>Li</w:t>
      </w:r>
      <w:r w:rsidRPr="00E82D98">
        <w:rPr>
          <w:rFonts w:cs="Arial"/>
        </w:rPr>
        <w:t xml:space="preserve">teral B) de la Constitución de la República; </w:t>
      </w:r>
    </w:p>
    <w:p w:rsidR="00007D7E" w:rsidRPr="00E82D98" w:rsidRDefault="00007D7E" w:rsidP="00007D7E">
      <w:pPr>
        <w:spacing w:line="360" w:lineRule="auto"/>
        <w:jc w:val="center"/>
        <w:rPr>
          <w:rFonts w:cs="Arial"/>
          <w:b/>
          <w:bCs/>
        </w:rPr>
      </w:pPr>
      <w:r w:rsidRPr="00E82D98">
        <w:rPr>
          <w:rFonts w:cs="Arial"/>
          <w:b/>
          <w:bCs/>
        </w:rPr>
        <w:t>EL TRIBUNAL ACUERDA:</w:t>
      </w:r>
    </w:p>
    <w:p w:rsidR="00007D7E" w:rsidRDefault="00007D7E" w:rsidP="00007D7E">
      <w:pPr>
        <w:keepNext/>
        <w:numPr>
          <w:ilvl w:val="0"/>
          <w:numId w:val="1"/>
        </w:numPr>
        <w:spacing w:line="360" w:lineRule="auto"/>
        <w:jc w:val="both"/>
        <w:outlineLvl w:val="1"/>
        <w:rPr>
          <w:bCs/>
          <w:szCs w:val="20"/>
        </w:rPr>
      </w:pPr>
      <w:r w:rsidRPr="00E82D98">
        <w:rPr>
          <w:bCs/>
          <w:szCs w:val="20"/>
          <w:lang w:val="es-MX"/>
        </w:rPr>
        <w:t xml:space="preserve">Mantener la observación formulada </w:t>
      </w:r>
      <w:r w:rsidRPr="00E82D98">
        <w:rPr>
          <w:rFonts w:cs="Arial"/>
          <w:bCs/>
          <w:szCs w:val="20"/>
          <w:lang w:val="es-MX"/>
        </w:rPr>
        <w:t xml:space="preserve">por Resolución de fecha </w:t>
      </w:r>
      <w:r>
        <w:rPr>
          <w:rFonts w:cs="Arial"/>
          <w:bCs/>
          <w:szCs w:val="20"/>
          <w:lang w:val="es-MX"/>
        </w:rPr>
        <w:t>28 de junio de 2017</w:t>
      </w:r>
      <w:r w:rsidRPr="00E82D98">
        <w:rPr>
          <w:bCs/>
          <w:szCs w:val="20"/>
        </w:rPr>
        <w:t>;</w:t>
      </w:r>
    </w:p>
    <w:p w:rsidR="00007D7E" w:rsidRDefault="00007D7E" w:rsidP="00007D7E">
      <w:pPr>
        <w:numPr>
          <w:ilvl w:val="0"/>
          <w:numId w:val="1"/>
        </w:numPr>
        <w:tabs>
          <w:tab w:val="left" w:pos="1920"/>
        </w:tabs>
        <w:spacing w:line="360" w:lineRule="auto"/>
        <w:jc w:val="both"/>
      </w:pPr>
      <w:r w:rsidRPr="00E82D98">
        <w:t>Comunicar a la Administración actuante</w:t>
      </w:r>
      <w:r>
        <w:t>; y</w:t>
      </w:r>
    </w:p>
    <w:p w:rsidR="00007D7E" w:rsidRPr="00BC56A5" w:rsidRDefault="00007D7E" w:rsidP="00007D7E">
      <w:pPr>
        <w:numPr>
          <w:ilvl w:val="0"/>
          <w:numId w:val="1"/>
        </w:numPr>
        <w:tabs>
          <w:tab w:val="left" w:pos="1920"/>
        </w:tabs>
        <w:spacing w:line="360" w:lineRule="auto"/>
        <w:jc w:val="both"/>
        <w:rPr>
          <w:rFonts w:cs="Arial"/>
          <w:b/>
          <w:bCs/>
        </w:rPr>
      </w:pPr>
      <w:r>
        <w:t>Dar cuenta a la Asamblea General.</w:t>
      </w:r>
    </w:p>
    <w:p w:rsidR="00007D7E" w:rsidRPr="0050772A" w:rsidRDefault="00007D7E" w:rsidP="00007D7E">
      <w:pPr>
        <w:tabs>
          <w:tab w:val="left" w:pos="1920"/>
        </w:tabs>
        <w:spacing w:line="360" w:lineRule="auto"/>
        <w:ind w:left="420"/>
        <w:jc w:val="right"/>
        <w:rPr>
          <w:rFonts w:cs="Arial"/>
          <w:b/>
          <w:bCs/>
        </w:rPr>
      </w:pPr>
      <w:bookmarkStart w:id="0" w:name="_GoBack"/>
      <w:bookmarkEnd w:id="0"/>
    </w:p>
    <w:p w:rsidR="00007D7E" w:rsidRDefault="00007D7E" w:rsidP="00007D7E">
      <w:pPr>
        <w:tabs>
          <w:tab w:val="left" w:pos="1920"/>
        </w:tabs>
        <w:spacing w:line="360" w:lineRule="auto"/>
        <w:jc w:val="both"/>
      </w:pPr>
    </w:p>
    <w:p w:rsidR="00007D7E" w:rsidRDefault="00007D7E" w:rsidP="00007D7E">
      <w:pPr>
        <w:tabs>
          <w:tab w:val="left" w:pos="1920"/>
        </w:tabs>
        <w:spacing w:line="360" w:lineRule="auto"/>
        <w:jc w:val="both"/>
      </w:pPr>
      <w:proofErr w:type="spellStart"/>
      <w:proofErr w:type="gramStart"/>
      <w:r>
        <w:t>cr</w:t>
      </w:r>
      <w:proofErr w:type="spellEnd"/>
      <w:proofErr w:type="gramEnd"/>
    </w:p>
    <w:p w:rsidR="00007D7E" w:rsidRPr="00695832" w:rsidRDefault="00007D7E" w:rsidP="00007D7E">
      <w:pPr>
        <w:pStyle w:val="Ttulo1"/>
        <w:ind w:right="191"/>
        <w:jc w:val="both"/>
        <w:rPr>
          <w:rFonts w:cs="Arial"/>
          <w:b w:val="0"/>
          <w:bCs w:val="0"/>
          <w:lang w:val="es-MX"/>
        </w:rPr>
      </w:pPr>
      <w:r w:rsidRPr="00695832">
        <w:rPr>
          <w:rFonts w:cs="Arial"/>
          <w:lang w:val="es-UY"/>
        </w:rPr>
        <w:lastRenderedPageBreak/>
        <w:t>CONSTANCIA DE FUNDAMENTO DE VOTO DISCORDE DEL MINISTRO               ING. MIGUEL AUMENTO:</w:t>
      </w:r>
      <w:r w:rsidRPr="00695832">
        <w:rPr>
          <w:rFonts w:cs="Arial"/>
          <w:b w:val="0"/>
          <w:lang w:val="es-UY"/>
        </w:rPr>
        <w:t xml:space="preserve"> </w:t>
      </w:r>
      <w:r>
        <w:rPr>
          <w:rFonts w:cs="Arial"/>
          <w:b w:val="0"/>
          <w:lang w:val="es-UY"/>
        </w:rPr>
        <w:t>“</w:t>
      </w:r>
      <w:r w:rsidRPr="00695832">
        <w:rPr>
          <w:rFonts w:cs="Arial"/>
          <w:b w:val="0"/>
          <w:bCs w:val="0"/>
          <w:lang w:val="es-MX"/>
        </w:rPr>
        <w:t>He votado en forma discorde la Resolución recaída en este expediente, en tanto mantengo íntegramente mi posición, sustentada en ocasión de la Sesión del 28 de junio de 2017</w:t>
      </w:r>
      <w:r>
        <w:rPr>
          <w:rFonts w:cs="Arial"/>
          <w:b w:val="0"/>
          <w:bCs w:val="0"/>
          <w:lang w:val="es-MX"/>
        </w:rPr>
        <w:t>.”</w:t>
      </w:r>
    </w:p>
    <w:p w:rsidR="00007D7E" w:rsidRPr="00695832" w:rsidRDefault="00007D7E" w:rsidP="00007D7E">
      <w:pPr>
        <w:spacing w:line="360" w:lineRule="auto"/>
        <w:jc w:val="both"/>
        <w:rPr>
          <w:rFonts w:cs="Arial"/>
          <w:b/>
          <w:lang w:val="es-MX"/>
        </w:rPr>
      </w:pPr>
    </w:p>
    <w:p w:rsidR="00007D7E" w:rsidRDefault="00007D7E" w:rsidP="00007D7E">
      <w:pPr>
        <w:spacing w:line="360" w:lineRule="auto"/>
        <w:jc w:val="both"/>
        <w:rPr>
          <w:rFonts w:cs="Arial"/>
          <w:lang w:val="es-UY"/>
        </w:rPr>
      </w:pPr>
    </w:p>
    <w:p w:rsidR="00007D7E" w:rsidRPr="00FB4277" w:rsidRDefault="00007D7E" w:rsidP="00007D7E">
      <w:pPr>
        <w:spacing w:line="360" w:lineRule="auto"/>
        <w:jc w:val="both"/>
        <w:rPr>
          <w:rFonts w:cs="Arial"/>
          <w:lang w:val="es-UY"/>
        </w:rPr>
      </w:pPr>
      <w:r w:rsidRPr="005C0AC0">
        <w:rPr>
          <w:rFonts w:cs="Arial"/>
          <w:b/>
          <w:lang w:val="es-UY"/>
        </w:rPr>
        <w:t xml:space="preserve"> </w:t>
      </w:r>
    </w:p>
    <w:p w:rsidR="00007D7E" w:rsidRPr="00FB4277" w:rsidRDefault="00007D7E" w:rsidP="00007D7E">
      <w:pPr>
        <w:spacing w:line="360" w:lineRule="auto"/>
        <w:jc w:val="both"/>
        <w:rPr>
          <w:rFonts w:cs="Arial"/>
          <w:lang w:val="es-UY"/>
        </w:rPr>
      </w:pPr>
    </w:p>
    <w:p w:rsidR="00F72DBB" w:rsidRPr="00007D7E" w:rsidRDefault="00F72DBB" w:rsidP="0075431E">
      <w:pPr>
        <w:tabs>
          <w:tab w:val="left" w:pos="2130"/>
        </w:tabs>
        <w:rPr>
          <w:lang w:val="es-UY"/>
        </w:rPr>
      </w:pPr>
    </w:p>
    <w:sectPr w:rsidR="00F72DBB" w:rsidRPr="00007D7E" w:rsidSect="004F6089">
      <w:headerReference w:type="default" r:id="rId8"/>
      <w:pgSz w:w="11906" w:h="16838" w:code="9"/>
      <w:pgMar w:top="3402" w:right="1701" w:bottom="1418" w:left="1701" w:header="567"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B7" w:rsidRDefault="003D3CB7" w:rsidP="00F72DBB">
      <w:r>
        <w:separator/>
      </w:r>
    </w:p>
  </w:endnote>
  <w:endnote w:type="continuationSeparator" w:id="0">
    <w:p w:rsidR="003D3CB7" w:rsidRDefault="003D3CB7" w:rsidP="00F7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B7" w:rsidRDefault="003D3CB7" w:rsidP="00F72DBB">
      <w:r>
        <w:separator/>
      </w:r>
    </w:p>
  </w:footnote>
  <w:footnote w:type="continuationSeparator" w:id="0">
    <w:p w:rsidR="003D3CB7" w:rsidRDefault="003D3CB7" w:rsidP="00F7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BB" w:rsidRDefault="00BB2752" w:rsidP="00BB2752">
    <w:pPr>
      <w:pStyle w:val="Encabezado"/>
      <w:ind w:left="-284"/>
    </w:pPr>
    <w:r>
      <w:t xml:space="preserve">        </w:t>
    </w:r>
    <w:r>
      <w:rPr>
        <w:noProof/>
        <w:lang w:eastAsia="es-UY"/>
      </w:rPr>
      <w:t xml:space="preserve">   </w:t>
    </w:r>
    <w:r w:rsidR="00F72DBB">
      <w:rPr>
        <w:noProof/>
        <w:lang w:eastAsia="es-UY"/>
      </w:rPr>
      <w:drawing>
        <wp:inline distT="0" distB="0" distL="0" distR="0" wp14:anchorId="080166EF" wp14:editId="38D68AA8">
          <wp:extent cx="769041" cy="885825"/>
          <wp:effectExtent l="0" t="0" r="0" b="0"/>
          <wp:docPr id="1" name="Imagen 1" descr="https://upload.wikimedia.org/wikipedia/commons/thumb/a/a0/Escudo_Uruguay.jpeg/889px-Escudo_Urugu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0/Escudo_Uruguay.jpeg/889px-Escudo_Uruguay.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34" cy="895723"/>
                  </a:xfrm>
                  <a:prstGeom prst="rect">
                    <a:avLst/>
                  </a:prstGeom>
                  <a:noFill/>
                  <a:ln>
                    <a:noFill/>
                  </a:ln>
                </pic:spPr>
              </pic:pic>
            </a:graphicData>
          </a:graphic>
        </wp:inline>
      </w:drawing>
    </w:r>
  </w:p>
  <w:p w:rsidR="00BB2752" w:rsidRDefault="00BB2752" w:rsidP="00BB2752">
    <w:pPr>
      <w:pStyle w:val="Encabezado"/>
      <w:ind w:left="-284"/>
      <w:rPr>
        <w:b/>
      </w:rPr>
    </w:pPr>
    <w:r w:rsidRPr="00BB2752">
      <w:rPr>
        <w:b/>
      </w:rPr>
      <w:t>TRIBUNAL DE CUENTAS</w:t>
    </w:r>
  </w:p>
  <w:p w:rsidR="00BB2752" w:rsidRPr="00BB2752" w:rsidRDefault="00BB275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D7395"/>
    <w:multiLevelType w:val="hybridMultilevel"/>
    <w:tmpl w:val="7C72A886"/>
    <w:lvl w:ilvl="0" w:tplc="122EF5C0">
      <w:start w:val="1"/>
      <w:numFmt w:val="decimal"/>
      <w:lvlText w:val="%1)"/>
      <w:lvlJc w:val="left"/>
      <w:pPr>
        <w:tabs>
          <w:tab w:val="num" w:pos="420"/>
        </w:tabs>
        <w:ind w:left="420" w:hanging="360"/>
      </w:pPr>
      <w:rPr>
        <w:rFonts w:hint="default"/>
        <w:b/>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07D7E"/>
    <w:rsid w:val="00120E73"/>
    <w:rsid w:val="003D3CB7"/>
    <w:rsid w:val="004F6089"/>
    <w:rsid w:val="00722652"/>
    <w:rsid w:val="0075431E"/>
    <w:rsid w:val="007D42E9"/>
    <w:rsid w:val="0084728C"/>
    <w:rsid w:val="008A550C"/>
    <w:rsid w:val="0090477F"/>
    <w:rsid w:val="00A376A1"/>
    <w:rsid w:val="00B24061"/>
    <w:rsid w:val="00BB2752"/>
    <w:rsid w:val="00BF1143"/>
    <w:rsid w:val="00F72D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7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07D7E"/>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character" w:customStyle="1" w:styleId="Ttulo1Car">
    <w:name w:val="Título 1 Car"/>
    <w:basedOn w:val="Fuentedeprrafopredeter"/>
    <w:link w:val="Ttulo1"/>
    <w:rsid w:val="00007D7E"/>
    <w:rPr>
      <w:rFonts w:ascii="Arial" w:eastAsia="Times New Roman" w:hAnsi="Arial"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7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07D7E"/>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character" w:customStyle="1" w:styleId="Ttulo1Car">
    <w:name w:val="Título 1 Car"/>
    <w:basedOn w:val="Fuentedeprrafopredeter"/>
    <w:link w:val="Ttulo1"/>
    <w:rsid w:val="00007D7E"/>
    <w:rPr>
      <w:rFonts w:ascii="Arial" w:eastAsia="Times New Roman" w:hAnsi="Arial"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Miriam Cristina Rivero</cp:lastModifiedBy>
  <cp:revision>2</cp:revision>
  <cp:lastPrinted>2017-11-13T18:25:00Z</cp:lastPrinted>
  <dcterms:created xsi:type="dcterms:W3CDTF">2017-11-13T18:25:00Z</dcterms:created>
  <dcterms:modified xsi:type="dcterms:W3CDTF">2017-11-13T18:25:00Z</dcterms:modified>
</cp:coreProperties>
</file>