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78" w:rsidRPr="00F02E78" w:rsidRDefault="00F02E78" w:rsidP="00F02E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02E78" w:rsidRPr="00786EEB" w:rsidRDefault="00F02E7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3689/17</w:t>
      </w:r>
    </w:p>
    <w:p w:rsidR="00F02E78" w:rsidRDefault="00F02E7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F02E78" w:rsidRPr="00F02E78" w:rsidRDefault="00F02E78" w:rsidP="00F02E7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02E7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02E78" w:rsidRPr="00F02E78" w:rsidRDefault="00F02E78" w:rsidP="00F02E7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02E78" w:rsidRPr="00F02E78" w:rsidRDefault="00F02E78" w:rsidP="00F02E7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02E7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02E78" w:rsidRPr="00F02E78" w:rsidRDefault="00F02E78" w:rsidP="00F02E7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02E78" w:rsidRPr="00F02E78" w:rsidRDefault="00F02E78" w:rsidP="00F02E7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02E78">
        <w:rPr>
          <w:rFonts w:ascii="Arial" w:hAnsi="Arial" w:cs="Arial"/>
          <w:b/>
          <w:sz w:val="24"/>
          <w:szCs w:val="24"/>
          <w:lang w:val="es-ES_tradnl"/>
        </w:rPr>
        <w:t xml:space="preserve">EN SESION DE FECHA 8 DE NOVIEMBRE </w:t>
      </w:r>
      <w:r w:rsidRPr="00F02E78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F02E78" w:rsidRPr="00F02E78" w:rsidRDefault="00F02E78" w:rsidP="00F02E7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02E78" w:rsidRPr="00F02E78" w:rsidRDefault="00F02E78" w:rsidP="00F02E7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02E78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2013-17-1-0000220</w:t>
      </w:r>
      <w:r w:rsidRPr="00F02E78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F02E78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F02E78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5372/17</w:t>
      </w:r>
      <w:r w:rsidRPr="00F02E78">
        <w:rPr>
          <w:rFonts w:ascii="Arial" w:hAnsi="Arial" w:cs="Arial"/>
          <w:b/>
          <w:sz w:val="24"/>
          <w:szCs w:val="24"/>
          <w:lang w:val="en-US"/>
        </w:rPr>
        <w:t>)</w:t>
      </w:r>
    </w:p>
    <w:p w:rsidR="00F02E78" w:rsidRDefault="00F02E78" w:rsidP="00F02E78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184CCE" w:rsidRDefault="00F02E78" w:rsidP="00184CC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02E78">
        <w:rPr>
          <w:rFonts w:ascii="Arial" w:eastAsia="Times New Roman" w:hAnsi="Arial" w:cs="Arial"/>
          <w:b/>
          <w:sz w:val="24"/>
          <w:szCs w:val="24"/>
          <w:lang w:val="es-ES" w:eastAsia="es-ES"/>
        </w:rPr>
        <w:t>VISTO: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estas actuaciones remitidas por la Dirección General de Casinos (DGC) relacionadas con el gasto derivado del financiamiento de premios hípicos y la asistencia a la operación de los hipódromos reconocidos en el </w:t>
      </w:r>
      <w:r w:rsidR="00184CCE">
        <w:rPr>
          <w:rFonts w:ascii="Arial" w:eastAsia="Times New Roman" w:hAnsi="Arial" w:cs="Arial"/>
          <w:sz w:val="24"/>
          <w:szCs w:val="24"/>
          <w:lang w:val="es-ES" w:eastAsia="es-ES"/>
        </w:rPr>
        <w:t>I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>nterior del país, correspondiente al Ejercicio 2018;</w:t>
      </w:r>
    </w:p>
    <w:p w:rsidR="00184CCE" w:rsidRDefault="00F02E78" w:rsidP="00184CC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02E78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RESULTANDO: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F02E78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1) 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>que este Tribunal, por Resolución de fecha 9 de abril de 2014, dispuso cometer a la Contadora Auditora la intervención del gasto  correspondiente al financiamiento de premios hípicos y la asistencia a la operación de los hipó</w:t>
      </w:r>
      <w:r w:rsidR="00184CCE">
        <w:rPr>
          <w:rFonts w:ascii="Arial" w:eastAsia="Times New Roman" w:hAnsi="Arial" w:cs="Arial"/>
          <w:sz w:val="24"/>
          <w:szCs w:val="24"/>
          <w:lang w:val="es-ES" w:eastAsia="es-ES"/>
        </w:rPr>
        <w:t>dromos reconocidos en el Interior del país para los E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jercicios 2014 y 2015, incluyendo su ajuste, </w:t>
      </w:r>
      <w:r w:rsidRPr="00F02E78">
        <w:rPr>
          <w:rFonts w:ascii="Arial" w:eastAsia="Times New Roman" w:hAnsi="Arial" w:cs="Arial"/>
          <w:iCs/>
          <w:sz w:val="24"/>
          <w:szCs w:val="24"/>
          <w:lang w:val="es-ES" w:eastAsia="es-ES"/>
        </w:rPr>
        <w:t>equivalente al 10% de la sumatoria de las utilidades brutas generadas por las Salas de Esparcimiento “El Día”, “Montevideo Shopping”, “Las Piedras”, “</w:t>
      </w:r>
      <w:proofErr w:type="spellStart"/>
      <w:r w:rsidRPr="00F02E78">
        <w:rPr>
          <w:rFonts w:ascii="Arial" w:eastAsia="Times New Roman" w:hAnsi="Arial" w:cs="Arial"/>
          <w:iCs/>
          <w:sz w:val="24"/>
          <w:szCs w:val="24"/>
          <w:lang w:val="es-ES" w:eastAsia="es-ES"/>
        </w:rPr>
        <w:t>Géant</w:t>
      </w:r>
      <w:proofErr w:type="spellEnd"/>
      <w:r w:rsidRPr="00F02E78">
        <w:rPr>
          <w:rFonts w:ascii="Arial" w:eastAsia="Times New Roman" w:hAnsi="Arial" w:cs="Arial"/>
          <w:iCs/>
          <w:sz w:val="24"/>
          <w:szCs w:val="24"/>
          <w:lang w:val="es-ES" w:eastAsia="es-ES"/>
        </w:rPr>
        <w:t>” y “Nueva Sala Pando” enmarcados en el Sistema Mixto de Explotación de Complejos Turísticos y/o Comerciales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184CCE" w:rsidRDefault="00F02E78" w:rsidP="00184CCE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02E78">
        <w:rPr>
          <w:rFonts w:ascii="Arial" w:eastAsia="Times New Roman" w:hAnsi="Arial" w:cs="Arial"/>
          <w:b/>
          <w:sz w:val="24"/>
          <w:szCs w:val="24"/>
          <w:lang w:val="es-ES" w:eastAsia="es-ES"/>
        </w:rPr>
        <w:t>2)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asimismo, este Tribunal, por Resoluciones de 4 de noviembre de 2015 y 30 de noviembre de 2016, dispuso cometer a la Contadora Auditora la intervención del gasto correspondie</w:t>
      </w:r>
      <w:r w:rsidR="00184CCE">
        <w:rPr>
          <w:rFonts w:ascii="Arial" w:eastAsia="Times New Roman" w:hAnsi="Arial" w:cs="Arial"/>
          <w:sz w:val="24"/>
          <w:szCs w:val="24"/>
          <w:lang w:val="es-ES" w:eastAsia="es-ES"/>
        </w:rPr>
        <w:t>nte al financiamiento de premios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hípicos y la asistencia a la operación de los hipódromos reconocidos en el Interior del país para los Ejercicio</w:t>
      </w:r>
      <w:r w:rsidR="00184CCE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2016 y 2017 respectivamente, incluyendo su ajuste, </w:t>
      </w:r>
      <w:r w:rsidRPr="00F02E78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equivalente al 10% de la sumatoria de las utilidades brutas generadas por las Salas de Esparcimiento “El Día”, </w:t>
      </w:r>
      <w:r w:rsidRPr="00F02E78">
        <w:rPr>
          <w:rFonts w:ascii="Arial" w:eastAsia="Times New Roman" w:hAnsi="Arial" w:cs="Arial"/>
          <w:iCs/>
          <w:sz w:val="24"/>
          <w:szCs w:val="24"/>
          <w:lang w:val="es-ES" w:eastAsia="es-ES"/>
        </w:rPr>
        <w:lastRenderedPageBreak/>
        <w:t>“Montevideo Shopping”, “Las Piedras”, “</w:t>
      </w:r>
      <w:proofErr w:type="spellStart"/>
      <w:r w:rsidRPr="00F02E78">
        <w:rPr>
          <w:rFonts w:ascii="Arial" w:eastAsia="Times New Roman" w:hAnsi="Arial" w:cs="Arial"/>
          <w:iCs/>
          <w:sz w:val="24"/>
          <w:szCs w:val="24"/>
          <w:lang w:val="es-ES" w:eastAsia="es-ES"/>
        </w:rPr>
        <w:t>Géant</w:t>
      </w:r>
      <w:proofErr w:type="spellEnd"/>
      <w:r w:rsidRPr="00F02E78">
        <w:rPr>
          <w:rFonts w:ascii="Arial" w:eastAsia="Times New Roman" w:hAnsi="Arial" w:cs="Arial"/>
          <w:iCs/>
          <w:sz w:val="24"/>
          <w:szCs w:val="24"/>
          <w:lang w:val="es-ES" w:eastAsia="es-ES"/>
        </w:rPr>
        <w:t>” y “Nueva Sala Pando” enmarcados en el Sistema Mixto de Explotación de Complejos Turísticos y/o Comerciales”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</w:p>
    <w:p w:rsidR="00184CCE" w:rsidRDefault="00F02E78" w:rsidP="00184CCE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02E78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3) 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>que en la oportunidad, la Dirección Nacional de Casinos remite los antecedentes relacionados con la partida a abonar, correspondiente al Ejercicio 2018;</w:t>
      </w:r>
    </w:p>
    <w:p w:rsidR="00F02E78" w:rsidRPr="00F02E78" w:rsidRDefault="00F02E78" w:rsidP="00184CCE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02E78">
        <w:rPr>
          <w:rFonts w:ascii="Arial" w:eastAsia="Times New Roman" w:hAnsi="Arial" w:cs="Arial"/>
          <w:b/>
          <w:sz w:val="24"/>
          <w:szCs w:val="24"/>
          <w:lang w:val="es-ES" w:eastAsia="es-ES"/>
        </w:rPr>
        <w:t>4)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que, de acuerdo  con lo informado por el Área de Administración Financiera, Departamento Planeamiento y Control de la DGC, se estima el monto total del Fondo de Premios Hípicos para el Ejer</w:t>
      </w:r>
      <w:r w:rsidR="00184CCE">
        <w:rPr>
          <w:rFonts w:ascii="Arial" w:eastAsia="Times New Roman" w:hAnsi="Arial" w:cs="Arial"/>
          <w:sz w:val="24"/>
          <w:szCs w:val="24"/>
          <w:lang w:val="es-ES" w:eastAsia="es-ES"/>
        </w:rPr>
        <w:t>cicio 2018 en un total de $ 336: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612.170, correspondiente a la totalidad de los hipódromos que cuentan con reconocimiento expreso de la Dirección General de Casinos, de acuerdo con el siguiente detalle: </w:t>
      </w:r>
      <w:r w:rsidRPr="00F02E78">
        <w:rPr>
          <w:rFonts w:ascii="Arial" w:eastAsia="Times New Roman" w:hAnsi="Arial" w:cs="Arial"/>
          <w:b/>
          <w:sz w:val="24"/>
          <w:szCs w:val="24"/>
          <w:lang w:val="es-ES" w:eastAsia="es-ES"/>
        </w:rPr>
        <w:t>i)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H</w:t>
      </w:r>
      <w:r w:rsidR="00184C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ipódromo Nacional de </w:t>
      </w:r>
      <w:proofErr w:type="spellStart"/>
      <w:r w:rsidR="00184CCE">
        <w:rPr>
          <w:rFonts w:ascii="Arial" w:eastAsia="Times New Roman" w:hAnsi="Arial" w:cs="Arial"/>
          <w:sz w:val="24"/>
          <w:szCs w:val="24"/>
          <w:lang w:val="es-ES" w:eastAsia="es-ES"/>
        </w:rPr>
        <w:t>Maroñas</w:t>
      </w:r>
      <w:proofErr w:type="spellEnd"/>
      <w:r w:rsidR="00184CCE">
        <w:rPr>
          <w:rFonts w:ascii="Arial" w:eastAsia="Times New Roman" w:hAnsi="Arial" w:cs="Arial"/>
          <w:sz w:val="24"/>
          <w:szCs w:val="24"/>
          <w:lang w:val="es-ES" w:eastAsia="es-ES"/>
        </w:rPr>
        <w:t>: $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233.528.519; </w:t>
      </w:r>
      <w:r w:rsidRPr="00F02E78">
        <w:rPr>
          <w:rFonts w:ascii="Arial" w:eastAsia="Times New Roman" w:hAnsi="Arial" w:cs="Arial"/>
          <w:b/>
          <w:sz w:val="24"/>
          <w:szCs w:val="24"/>
          <w:lang w:val="es-ES" w:eastAsia="es-ES"/>
        </w:rPr>
        <w:t>ii)</w:t>
      </w:r>
      <w:r w:rsidR="00184C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Hipódromo de Las Piedras: $ 50: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041.826 y; </w:t>
      </w:r>
      <w:r w:rsidRPr="00F02E78">
        <w:rPr>
          <w:rFonts w:ascii="Arial" w:eastAsia="Times New Roman" w:hAnsi="Arial" w:cs="Arial"/>
          <w:b/>
          <w:sz w:val="24"/>
          <w:szCs w:val="24"/>
          <w:lang w:val="es-ES" w:eastAsia="es-ES"/>
        </w:rPr>
        <w:t>iii)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Hipódromos reconocidos del interior (</w:t>
      </w:r>
      <w:r w:rsidR="00184CCE">
        <w:rPr>
          <w:rFonts w:ascii="Arial" w:eastAsia="Times New Roman" w:hAnsi="Arial" w:cs="Arial"/>
          <w:sz w:val="24"/>
          <w:szCs w:val="24"/>
          <w:lang w:val="es-ES" w:eastAsia="es-ES"/>
        </w:rPr>
        <w:t>Paysandú, Melo y Colonia): $ 50: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>041.826;</w:t>
      </w:r>
    </w:p>
    <w:p w:rsidR="00184CCE" w:rsidRDefault="00F02E78" w:rsidP="00184CC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02E78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CONSIDERANDO: 1) </w:t>
      </w:r>
      <w:r w:rsidR="00184CCE">
        <w:rPr>
          <w:rFonts w:ascii="Arial" w:eastAsia="Times New Roman" w:hAnsi="Arial" w:cs="Arial"/>
          <w:sz w:val="24"/>
          <w:szCs w:val="24"/>
          <w:lang w:val="es-ES" w:eastAsia="es-ES"/>
        </w:rPr>
        <w:t>que el A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>rtículo 321 de la Ley Nº 18.719 de fecha 27/12/2010, faculta al Ministerio de Economía y Finanzas, por intermedio de la Dirección General  de Casinos “</w:t>
      </w:r>
      <w:r w:rsidRPr="00F02E78">
        <w:rPr>
          <w:rFonts w:ascii="Arial" w:eastAsia="Times New Roman" w:hAnsi="Arial" w:cs="Arial"/>
          <w:i/>
          <w:sz w:val="24"/>
          <w:szCs w:val="24"/>
          <w:lang w:val="es-ES" w:eastAsia="es-ES"/>
        </w:rPr>
        <w:t>a promover la actividad hípica a nivel nacional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>”;</w:t>
      </w:r>
    </w:p>
    <w:p w:rsidR="00F02E78" w:rsidRPr="00F02E78" w:rsidRDefault="00F02E78" w:rsidP="00184CCE">
      <w:pPr>
        <w:spacing w:after="0" w:line="360" w:lineRule="auto"/>
        <w:ind w:firstLine="3119"/>
        <w:jc w:val="both"/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</w:pPr>
      <w:r w:rsidRPr="00F02E78">
        <w:rPr>
          <w:rFonts w:ascii="Arial" w:eastAsia="Times New Roman" w:hAnsi="Arial" w:cs="Arial"/>
          <w:b/>
          <w:sz w:val="24"/>
          <w:szCs w:val="24"/>
          <w:lang w:val="es-ES" w:eastAsia="es-ES"/>
        </w:rPr>
        <w:t>2</w:t>
      </w:r>
      <w:r w:rsidRPr="00F02E78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)</w:t>
      </w:r>
      <w:r w:rsidR="00184C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el A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rtículo 48 del Decreto Nº 491/011 de fecha 30/12/11, dispone: </w:t>
      </w:r>
      <w:r w:rsidRPr="00F02E78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>“</w:t>
      </w:r>
      <w:proofErr w:type="spellStart"/>
      <w:r w:rsidRPr="00F02E78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>Autorízase</w:t>
      </w:r>
      <w:proofErr w:type="spellEnd"/>
      <w:r w:rsidRPr="00F02E78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 xml:space="preserve"> a la Dirección General de Casinos a constituir un fondo que se integra con la suma anual de hasta diez millones quinientos mil</w:t>
      </w:r>
      <w:r w:rsidR="00184CCE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 xml:space="preserve"> dólares estadounidense (U$S 10:</w:t>
      </w:r>
      <w:r w:rsidRPr="00F02E78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 xml:space="preserve">500.000) para financiar todo o parte de los premios hípicos correspondientes a la totalidad de los Hipódromos, que cuenten con reconocimiento expreso de la Dirección General de Casinos, fomentando de esa forma la actividad hípica nacional. </w:t>
      </w:r>
    </w:p>
    <w:p w:rsidR="00184CCE" w:rsidRDefault="00F02E78" w:rsidP="00F02E7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02E78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>En los años sucesivos la referida suma se ajustará hasta la cifra equivalente al 10% de la sumatoria de las utilidades brutas generadas por las Salas de Esparcimiento “El Día”, “Montevideo Shopping”, “Las Piedras”, “</w:t>
      </w:r>
      <w:proofErr w:type="spellStart"/>
      <w:r w:rsidRPr="00F02E78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>Géant</w:t>
      </w:r>
      <w:proofErr w:type="spellEnd"/>
      <w:r w:rsidRPr="00F02E78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 xml:space="preserve">” y “Nueva Sala Pando” enmarcados en el Sistema Mixto de Explotación de Complejos Turísticos y/o Comerciales” 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184CCE" w:rsidRDefault="00F02E78" w:rsidP="00184CCE">
      <w:pPr>
        <w:spacing w:after="0" w:line="360" w:lineRule="auto"/>
        <w:ind w:firstLine="3119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02E78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lastRenderedPageBreak/>
        <w:t>3)</w:t>
      </w:r>
      <w:r w:rsidR="00184CC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el A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rtículo 49 del Decreto citado precedentemente, dispone: </w:t>
      </w:r>
      <w:r w:rsidR="00184CCE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>“El fondo previsto en el A</w:t>
      </w:r>
      <w:r w:rsidRPr="00F02E78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 xml:space="preserve">rtículo anterior se distribuirá de la siguiente manera: 49.1.- Hasta el 70% para las actividades desarrolladas en el Hipódromo Nacional de </w:t>
      </w:r>
      <w:proofErr w:type="spellStart"/>
      <w:r w:rsidRPr="00F02E78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>Maroñas</w:t>
      </w:r>
      <w:proofErr w:type="spellEnd"/>
      <w:r w:rsidRPr="00F02E78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>.- 49.2.- Hasta el 15% para las actividades desarrolladas en el Hipódromo de Las Piedras.- 49.3.- Hasta el 15% para las actividades desarrolladas e</w:t>
      </w:r>
      <w:r w:rsidR="00184CCE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>n los restantes hipódromos del I</w:t>
      </w:r>
      <w:r w:rsidRPr="00F02E78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>nterior”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184CCE" w:rsidRDefault="00F02E78" w:rsidP="00184CCE">
      <w:pPr>
        <w:spacing w:after="0" w:line="360" w:lineRule="auto"/>
        <w:ind w:firstLine="3119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02E78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4) 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el Decreto Nº 402/016, de fecha 19/12/2016, que aprobó el Presupuesto Operativo y de Inversiones de la DGC </w:t>
      </w:r>
      <w:r w:rsidR="00184CCE">
        <w:rPr>
          <w:rFonts w:ascii="Arial" w:eastAsia="Times New Roman" w:hAnsi="Arial" w:cs="Arial"/>
          <w:sz w:val="24"/>
          <w:szCs w:val="24"/>
          <w:lang w:val="es-ES" w:eastAsia="es-ES"/>
        </w:rPr>
        <w:t>para el Ejercicio 2017,  en su A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>rtículo 47 dispone, “</w:t>
      </w:r>
      <w:r w:rsidRPr="00F02E78">
        <w:rPr>
          <w:rFonts w:ascii="Arial" w:eastAsia="Times New Roman" w:hAnsi="Arial" w:cs="Arial"/>
          <w:i/>
          <w:sz w:val="24"/>
          <w:szCs w:val="24"/>
          <w:lang w:val="es-ES" w:eastAsia="es-ES"/>
        </w:rPr>
        <w:t>que el fondo constituido por la DGC en</w:t>
      </w:r>
      <w:r w:rsidR="00184CCE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el Ejercicio 2012, de acuerdo con</w:t>
      </w:r>
      <w:r w:rsidRPr="00F02E78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lo di</w:t>
      </w:r>
      <w:r w:rsidR="00184CCE">
        <w:rPr>
          <w:rFonts w:ascii="Arial" w:eastAsia="Times New Roman" w:hAnsi="Arial" w:cs="Arial"/>
          <w:i/>
          <w:sz w:val="24"/>
          <w:szCs w:val="24"/>
          <w:lang w:val="es-ES" w:eastAsia="es-ES"/>
        </w:rPr>
        <w:t>spuesto por el Artículo 48 del D</w:t>
      </w:r>
      <w:r w:rsidRPr="00F02E78">
        <w:rPr>
          <w:rFonts w:ascii="Arial" w:eastAsia="Times New Roman" w:hAnsi="Arial" w:cs="Arial"/>
          <w:i/>
          <w:sz w:val="24"/>
          <w:szCs w:val="24"/>
          <w:lang w:val="es-ES" w:eastAsia="es-ES"/>
        </w:rPr>
        <w:t>ecreto 491/011, se ajust</w:t>
      </w:r>
      <w:r w:rsidR="00184CCE">
        <w:rPr>
          <w:rFonts w:ascii="Arial" w:eastAsia="Times New Roman" w:hAnsi="Arial" w:cs="Arial"/>
          <w:i/>
          <w:sz w:val="24"/>
          <w:szCs w:val="24"/>
          <w:lang w:val="es-ES" w:eastAsia="es-ES"/>
        </w:rPr>
        <w:t>ará en el presente y sucesivos E</w:t>
      </w:r>
      <w:r w:rsidRPr="00F02E78">
        <w:rPr>
          <w:rFonts w:ascii="Arial" w:eastAsia="Times New Roman" w:hAnsi="Arial" w:cs="Arial"/>
          <w:i/>
          <w:sz w:val="24"/>
          <w:szCs w:val="24"/>
          <w:lang w:val="es-ES" w:eastAsia="es-ES"/>
        </w:rPr>
        <w:t>jercicios, hasta la cifra equivalente al 10% de la sumatoria de las utilidades brutas generadas por las Salas de Esparcimiento “18 de Julio”, “Montevideo Shopping”, “Las Piedras”, “</w:t>
      </w:r>
      <w:proofErr w:type="spellStart"/>
      <w:r w:rsidRPr="00F02E78">
        <w:rPr>
          <w:rFonts w:ascii="Arial" w:eastAsia="Times New Roman" w:hAnsi="Arial" w:cs="Arial"/>
          <w:i/>
          <w:sz w:val="24"/>
          <w:szCs w:val="24"/>
          <w:lang w:val="es-ES" w:eastAsia="es-ES"/>
        </w:rPr>
        <w:t>Géant</w:t>
      </w:r>
      <w:proofErr w:type="spellEnd"/>
      <w:r w:rsidRPr="00F02E78">
        <w:rPr>
          <w:rFonts w:ascii="Arial" w:eastAsia="Times New Roman" w:hAnsi="Arial" w:cs="Arial"/>
          <w:i/>
          <w:sz w:val="24"/>
          <w:szCs w:val="24"/>
          <w:lang w:val="es-ES" w:eastAsia="es-ES"/>
        </w:rPr>
        <w:t>” y “Nueva Sala Pando”, enmarcadas en el Sistema Mixto de Explotación de Complejos Turísticos, Comerciales, Deportivos y/o Culturales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>”;</w:t>
      </w:r>
    </w:p>
    <w:p w:rsidR="00184CCE" w:rsidRDefault="00F02E78" w:rsidP="00184CCE">
      <w:pPr>
        <w:spacing w:after="0" w:line="360" w:lineRule="auto"/>
        <w:ind w:firstLine="3119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02E78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5) </w:t>
      </w:r>
      <w:r w:rsidR="00184CCE">
        <w:rPr>
          <w:rFonts w:ascii="Arial" w:eastAsia="Times New Roman" w:hAnsi="Arial" w:cs="Arial"/>
          <w:sz w:val="24"/>
          <w:szCs w:val="24"/>
          <w:lang w:val="es-ES" w:eastAsia="es-ES"/>
        </w:rPr>
        <w:t>que asimismo el referido A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rtículo establece que </w:t>
      </w:r>
      <w:r w:rsidRPr="00F02E78">
        <w:rPr>
          <w:rFonts w:ascii="Arial" w:eastAsia="Times New Roman" w:hAnsi="Arial" w:cs="Arial"/>
          <w:i/>
          <w:sz w:val="24"/>
          <w:szCs w:val="24"/>
          <w:lang w:val="es-ES" w:eastAsia="es-ES"/>
        </w:rPr>
        <w:t>“dicho fondo financiará los premios hípicos por marcador rentado, las partidas por concepto de marcador no rentado y  sus</w:t>
      </w:r>
      <w:r w:rsidRPr="00F02E78">
        <w:rPr>
          <w:rFonts w:ascii="Arial" w:eastAsia="Times New Roman" w:hAnsi="Arial" w:cs="Arial"/>
          <w:b/>
          <w:bCs/>
          <w:i/>
          <w:sz w:val="24"/>
          <w:szCs w:val="24"/>
          <w:lang w:val="es-ES" w:eastAsia="es-ES"/>
        </w:rPr>
        <w:t xml:space="preserve"> </w:t>
      </w:r>
      <w:r w:rsidRPr="00F02E78">
        <w:rPr>
          <w:rFonts w:ascii="Arial" w:eastAsia="Times New Roman" w:hAnsi="Arial" w:cs="Arial"/>
          <w:i/>
          <w:sz w:val="24"/>
          <w:szCs w:val="24"/>
          <w:lang w:val="es-ES" w:eastAsia="es-ES"/>
        </w:rPr>
        <w:t xml:space="preserve"> complementos, la asistencia a la  o</w:t>
      </w:r>
      <w:r w:rsidR="00184CCE">
        <w:rPr>
          <w:rFonts w:ascii="Arial" w:eastAsia="Times New Roman" w:hAnsi="Arial" w:cs="Arial"/>
          <w:i/>
          <w:sz w:val="24"/>
          <w:szCs w:val="24"/>
          <w:lang w:val="es-ES" w:eastAsia="es-ES"/>
        </w:rPr>
        <w:t>peración de los Hipódromos del I</w:t>
      </w:r>
      <w:r w:rsidRPr="00F02E78">
        <w:rPr>
          <w:rFonts w:ascii="Arial" w:eastAsia="Times New Roman" w:hAnsi="Arial" w:cs="Arial"/>
          <w:i/>
          <w:sz w:val="24"/>
          <w:szCs w:val="24"/>
          <w:lang w:val="es-ES" w:eastAsia="es-ES"/>
        </w:rPr>
        <w:t>nterior del país reconocidos por la DGC hasta el momento  (Paysandú, Melo y Colonia) así como las que se reconozcan en el futuro”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F02E78" w:rsidRPr="00F02E78" w:rsidRDefault="00F02E78" w:rsidP="00184CCE">
      <w:pPr>
        <w:spacing w:after="0" w:line="360" w:lineRule="auto"/>
        <w:ind w:firstLine="3119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02E78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6)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si bien dicha partida </w:t>
      </w:r>
      <w:r w:rsidR="00184CCE">
        <w:rPr>
          <w:rFonts w:ascii="Arial" w:eastAsia="Times New Roman" w:hAnsi="Arial" w:cs="Arial"/>
          <w:sz w:val="24"/>
          <w:szCs w:val="24"/>
          <w:lang w:val="es-ES" w:eastAsia="es-ES"/>
        </w:rPr>
        <w:t>se encuentra contemplada en el p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royecto de Presupuesto </w:t>
      </w:r>
      <w:r w:rsidRPr="00F02E78">
        <w:rPr>
          <w:rFonts w:ascii="Arial" w:eastAsia="Times New Roman" w:hAnsi="Arial" w:cs="Arial"/>
          <w:sz w:val="24"/>
          <w:szCs w:val="24"/>
          <w:lang w:val="es-MX" w:eastAsia="es-ES"/>
        </w:rPr>
        <w:t>Operativo y el Plan de Inversiones correspondiente al Ejercicio 2018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la Dirección General de Casinos, el mismo aún no ha sido aprobado por el Poder Ejecutivo; </w:t>
      </w:r>
    </w:p>
    <w:p w:rsidR="00F02E78" w:rsidRPr="00F02E78" w:rsidRDefault="00F02E78" w:rsidP="00184CC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02E78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ATENTO: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lo precedentemente ex</w:t>
      </w:r>
      <w:r w:rsidR="00184CCE">
        <w:rPr>
          <w:rFonts w:ascii="Arial" w:eastAsia="Times New Roman" w:hAnsi="Arial" w:cs="Arial"/>
          <w:sz w:val="24"/>
          <w:szCs w:val="24"/>
          <w:lang w:val="es-ES" w:eastAsia="es-ES"/>
        </w:rPr>
        <w:t>puesto y a lo dispuesto por el A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>rtículo 211 Literal B) de la Constitución de la República;</w:t>
      </w:r>
    </w:p>
    <w:p w:rsidR="00F02E78" w:rsidRPr="00F02E78" w:rsidRDefault="00F02E78" w:rsidP="00AB0BD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bookmarkStart w:id="0" w:name="_GoBack"/>
      <w:bookmarkEnd w:id="0"/>
      <w:r w:rsidRPr="00F02E78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lastRenderedPageBreak/>
        <w:t>EL TRIBUNAL ACUERDA</w:t>
      </w:r>
    </w:p>
    <w:p w:rsidR="00F02E78" w:rsidRPr="00F02E78" w:rsidRDefault="00F02E78" w:rsidP="00184CC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Cometer a la Contadora Auditora destacada en el Ministerio de Economía y Finanzas la intervención del gasto correspondiente al Ejercicio 2018 correspondiente al financiamiento de premios hípicos y la asistencia a la operación de los hipódromos reconocidos en el interior del país, incluyendo el ajuste </w:t>
      </w:r>
      <w:r w:rsidRPr="00F02E78">
        <w:rPr>
          <w:rFonts w:ascii="Arial" w:eastAsia="Times New Roman" w:hAnsi="Arial" w:cs="Arial"/>
          <w:iCs/>
          <w:sz w:val="24"/>
          <w:szCs w:val="24"/>
          <w:lang w:val="es-ES" w:eastAsia="es-ES"/>
        </w:rPr>
        <w:t>equivalente al 10% de la sumatoria de las utilidades brutas generadas por las Salas de Esparcimiento “18 de Julio”, “Montevideo Shopping”, “Las Piedras”, “</w:t>
      </w:r>
      <w:proofErr w:type="spellStart"/>
      <w:r w:rsidRPr="00F02E78">
        <w:rPr>
          <w:rFonts w:ascii="Arial" w:eastAsia="Times New Roman" w:hAnsi="Arial" w:cs="Arial"/>
          <w:iCs/>
          <w:sz w:val="24"/>
          <w:szCs w:val="24"/>
          <w:lang w:val="es-ES" w:eastAsia="es-ES"/>
        </w:rPr>
        <w:t>Géant</w:t>
      </w:r>
      <w:proofErr w:type="spellEnd"/>
      <w:r w:rsidRPr="00F02E78">
        <w:rPr>
          <w:rFonts w:ascii="Arial" w:eastAsia="Times New Roman" w:hAnsi="Arial" w:cs="Arial"/>
          <w:iCs/>
          <w:sz w:val="24"/>
          <w:szCs w:val="24"/>
          <w:lang w:val="es-ES" w:eastAsia="es-ES"/>
        </w:rPr>
        <w:t>” y “Nueva Sala Pando” enmarcados en el Sistema Mixto de Explotación de Complejos Turísticos y/o Comerciales”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previa aprobación del Presupuesto </w:t>
      </w:r>
      <w:r w:rsidRPr="00F02E78">
        <w:rPr>
          <w:rFonts w:ascii="Arial" w:eastAsia="Times New Roman" w:hAnsi="Arial" w:cs="Arial"/>
          <w:sz w:val="24"/>
          <w:szCs w:val="24"/>
          <w:lang w:val="es-MX" w:eastAsia="es-ES"/>
        </w:rPr>
        <w:t>Operativo y el Plan de Inversiones correspondientes al Ejercicio 2018 de la Dirección General de Casinos y del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control de su imputación con cargo a grupo adecuado con disponibilidad suficiente y su distribución conforme con lo establecido por la normativa citada;</w:t>
      </w:r>
    </w:p>
    <w:p w:rsidR="00F02E78" w:rsidRPr="00F02E78" w:rsidRDefault="00F02E78" w:rsidP="00184CC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Téngase presente lo indicado en el Considerando 6) de la presente; </w:t>
      </w:r>
    </w:p>
    <w:p w:rsidR="00F02E78" w:rsidRPr="00F02E78" w:rsidRDefault="00F02E78" w:rsidP="00184CC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Comunicar a la</w:t>
      </w:r>
      <w:r w:rsidR="00AB0BD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Contadora Auditora destacada ante</w:t>
      </w: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el Ministerio de Economía y Finanzas;</w:t>
      </w:r>
    </w:p>
    <w:p w:rsidR="00AB0BD2" w:rsidRPr="00AB0BD2" w:rsidRDefault="00F02E78" w:rsidP="00AB0BD2">
      <w:pPr>
        <w:numPr>
          <w:ilvl w:val="0"/>
          <w:numId w:val="1"/>
        </w:numPr>
        <w:spacing w:after="0" w:line="360" w:lineRule="auto"/>
        <w:ind w:left="284" w:hanging="284"/>
        <w:jc w:val="both"/>
      </w:pPr>
      <w:r w:rsidRPr="00F02E78">
        <w:rPr>
          <w:rFonts w:ascii="Arial" w:eastAsia="Times New Roman" w:hAnsi="Arial" w:cs="Arial"/>
          <w:sz w:val="24"/>
          <w:szCs w:val="24"/>
          <w:lang w:val="es-ES" w:eastAsia="es-ES"/>
        </w:rPr>
        <w:t>Devolver las actuaciones</w:t>
      </w:r>
      <w:r w:rsidR="00AB0BD2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AB0BD2" w:rsidRDefault="00AB0BD2" w:rsidP="00AB0BD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B0BD2" w:rsidRDefault="00AB0BD2" w:rsidP="00AB0BD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B0BD2" w:rsidRDefault="00AB0BD2" w:rsidP="00AB0BD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B0BD2" w:rsidRDefault="00AB0BD2" w:rsidP="00AB0BD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72DBB" w:rsidRDefault="00AB0BD2" w:rsidP="00AB0BD2">
      <w:pPr>
        <w:spacing w:after="0" w:line="360" w:lineRule="auto"/>
        <w:ind w:hanging="567"/>
        <w:jc w:val="both"/>
      </w:pPr>
      <w:proofErr w:type="gramStart"/>
      <w:r>
        <w:rPr>
          <w:rFonts w:ascii="Arial" w:eastAsia="Times New Roman" w:hAnsi="Arial" w:cs="Arial"/>
          <w:sz w:val="24"/>
          <w:szCs w:val="24"/>
          <w:lang w:val="es-ES" w:eastAsia="es-ES"/>
        </w:rPr>
        <w:t>dc</w:t>
      </w:r>
      <w:proofErr w:type="gramEnd"/>
      <w:r>
        <w:t xml:space="preserve"> </w:t>
      </w:r>
    </w:p>
    <w:sectPr w:rsidR="00F72DBB" w:rsidSect="00184CCE">
      <w:headerReference w:type="default" r:id="rId9"/>
      <w:footerReference w:type="default" r:id="rId10"/>
      <w:pgSz w:w="11906" w:h="16838" w:code="9"/>
      <w:pgMar w:top="3119" w:right="1701" w:bottom="1701" w:left="1701" w:header="567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CB7" w:rsidRDefault="003D3CB7" w:rsidP="00F72DBB">
      <w:pPr>
        <w:spacing w:after="0" w:line="240" w:lineRule="auto"/>
      </w:pPr>
      <w:r>
        <w:separator/>
      </w:r>
    </w:p>
  </w:endnote>
  <w:endnote w:type="continuationSeparator" w:id="0">
    <w:p w:rsidR="003D3CB7" w:rsidRDefault="003D3CB7" w:rsidP="00F7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68926"/>
      <w:docPartObj>
        <w:docPartGallery w:val="Page Numbers (Bottom of Page)"/>
        <w:docPartUnique/>
      </w:docPartObj>
    </w:sdtPr>
    <w:sdtContent>
      <w:p w:rsidR="00184CCE" w:rsidRDefault="00184CC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BD2" w:rsidRPr="00AB0BD2">
          <w:rPr>
            <w:noProof/>
            <w:lang w:val="es-ES"/>
          </w:rPr>
          <w:t>3</w:t>
        </w:r>
        <w:r>
          <w:fldChar w:fldCharType="end"/>
        </w:r>
      </w:p>
    </w:sdtContent>
  </w:sdt>
  <w:p w:rsidR="00184CCE" w:rsidRDefault="00184C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CB7" w:rsidRDefault="003D3CB7" w:rsidP="00F72DBB">
      <w:pPr>
        <w:spacing w:after="0" w:line="240" w:lineRule="auto"/>
      </w:pPr>
      <w:r>
        <w:separator/>
      </w:r>
    </w:p>
  </w:footnote>
  <w:footnote w:type="continuationSeparator" w:id="0">
    <w:p w:rsidR="003D3CB7" w:rsidRDefault="003D3CB7" w:rsidP="00F7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BB" w:rsidRDefault="00BB2752" w:rsidP="00BB2752">
    <w:pPr>
      <w:pStyle w:val="Encabezado"/>
      <w:ind w:left="-284"/>
    </w:pPr>
    <w:r>
      <w:t xml:space="preserve">        </w:t>
    </w:r>
    <w:r>
      <w:rPr>
        <w:noProof/>
        <w:lang w:eastAsia="es-UY"/>
      </w:rPr>
      <w:t xml:space="preserve">   </w:t>
    </w:r>
    <w:r w:rsidR="00F72DBB">
      <w:rPr>
        <w:noProof/>
        <w:lang w:eastAsia="es-UY"/>
      </w:rPr>
      <w:drawing>
        <wp:inline distT="0" distB="0" distL="0" distR="0" wp14:anchorId="067E0B09" wp14:editId="2C79FA37">
          <wp:extent cx="769041" cy="885825"/>
          <wp:effectExtent l="0" t="0" r="0" b="0"/>
          <wp:docPr id="1" name="Imagen 1" descr="https://upload.wikimedia.org/wikipedia/commons/thumb/a/a0/Escudo_Uruguay.jpeg/889px-Escudo_Uruguay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a/a0/Escudo_Uruguay.jpeg/889px-Escudo_Uruguay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34" cy="895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2752" w:rsidRDefault="00BB2752" w:rsidP="00BB2752">
    <w:pPr>
      <w:pStyle w:val="Encabezado"/>
      <w:ind w:left="-284"/>
      <w:rPr>
        <w:b/>
      </w:rPr>
    </w:pPr>
    <w:r w:rsidRPr="00BB2752">
      <w:rPr>
        <w:b/>
      </w:rPr>
      <w:t>TRIBUNAL DE CUENTAS</w:t>
    </w:r>
  </w:p>
  <w:p w:rsidR="00BB2752" w:rsidRPr="00BB2752" w:rsidRDefault="00BB2752" w:rsidP="00BB2752">
    <w:pPr>
      <w:pStyle w:val="Encabezado"/>
      <w:ind w:left="-284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13D7E"/>
    <w:multiLevelType w:val="hybridMultilevel"/>
    <w:tmpl w:val="703C106A"/>
    <w:lvl w:ilvl="0" w:tplc="1396B82C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BB"/>
    <w:rsid w:val="00120E73"/>
    <w:rsid w:val="00184CCE"/>
    <w:rsid w:val="003D3CB7"/>
    <w:rsid w:val="0075431E"/>
    <w:rsid w:val="0084728C"/>
    <w:rsid w:val="008A550C"/>
    <w:rsid w:val="0090477F"/>
    <w:rsid w:val="00A376A1"/>
    <w:rsid w:val="00AB0BD2"/>
    <w:rsid w:val="00BB2752"/>
    <w:rsid w:val="00BF1143"/>
    <w:rsid w:val="00F02E78"/>
    <w:rsid w:val="00F7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D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DBB"/>
  </w:style>
  <w:style w:type="paragraph" w:styleId="Piedepgina">
    <w:name w:val="footer"/>
    <w:basedOn w:val="Normal"/>
    <w:link w:val="PiedepginaCar"/>
    <w:uiPriority w:val="99"/>
    <w:unhideWhenUsed/>
    <w:rsid w:val="00F72D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DBB"/>
  </w:style>
  <w:style w:type="paragraph" w:styleId="Textodeglobo">
    <w:name w:val="Balloon Text"/>
    <w:basedOn w:val="Normal"/>
    <w:link w:val="TextodegloboCar"/>
    <w:uiPriority w:val="99"/>
    <w:semiHidden/>
    <w:unhideWhenUsed/>
    <w:rsid w:val="00F7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D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DBB"/>
  </w:style>
  <w:style w:type="paragraph" w:styleId="Piedepgina">
    <w:name w:val="footer"/>
    <w:basedOn w:val="Normal"/>
    <w:link w:val="PiedepginaCar"/>
    <w:uiPriority w:val="99"/>
    <w:unhideWhenUsed/>
    <w:rsid w:val="00F72D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DBB"/>
  </w:style>
  <w:style w:type="paragraph" w:styleId="Textodeglobo">
    <w:name w:val="Balloon Text"/>
    <w:basedOn w:val="Normal"/>
    <w:link w:val="TextodegloboCar"/>
    <w:uiPriority w:val="99"/>
    <w:semiHidden/>
    <w:unhideWhenUsed/>
    <w:rsid w:val="00F7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1E628-C949-472A-8D97-C254E6EA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Acosta</dc:creator>
  <cp:lastModifiedBy>tribunal1</cp:lastModifiedBy>
  <cp:revision>2</cp:revision>
  <cp:lastPrinted>2017-11-10T18:10:00Z</cp:lastPrinted>
  <dcterms:created xsi:type="dcterms:W3CDTF">2017-11-10T18:11:00Z</dcterms:created>
  <dcterms:modified xsi:type="dcterms:W3CDTF">2017-11-10T18:11:00Z</dcterms:modified>
</cp:coreProperties>
</file>