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59" w:rsidRPr="00786EEB" w:rsidRDefault="00360759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2445/17</w:t>
      </w:r>
    </w:p>
    <w:p w:rsidR="00360759" w:rsidRDefault="00360759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60759" w:rsidRPr="00762B34" w:rsidRDefault="0036075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360759" w:rsidRPr="00762B34" w:rsidRDefault="0036075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60759" w:rsidRPr="00762B34" w:rsidRDefault="0036075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360759" w:rsidRPr="00762B34" w:rsidRDefault="0036075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60759" w:rsidRPr="00762B34" w:rsidRDefault="0036075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 DE AGOSTO </w:t>
      </w:r>
      <w:r>
        <w:rPr>
          <w:rFonts w:ascii="Helvetica" w:hAnsi="Helvetica"/>
          <w:b/>
          <w:lang w:val="es-ES_tradnl"/>
        </w:rPr>
        <w:t>DE 2017</w:t>
      </w:r>
    </w:p>
    <w:p w:rsidR="00360759" w:rsidRPr="00762B34" w:rsidRDefault="0036075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60759" w:rsidRPr="00360759" w:rsidRDefault="00360759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360759">
        <w:rPr>
          <w:rFonts w:cs="Arial"/>
          <w:b/>
          <w:lang w:val="es-AR"/>
        </w:rPr>
        <w:t xml:space="preserve">(E. E. Nº 2017-17-1-0003272, </w:t>
      </w:r>
      <w:proofErr w:type="spellStart"/>
      <w:r w:rsidRPr="00360759">
        <w:rPr>
          <w:rFonts w:cs="Arial"/>
          <w:b/>
          <w:lang w:val="es-AR"/>
        </w:rPr>
        <w:t>Ent</w:t>
      </w:r>
      <w:proofErr w:type="spellEnd"/>
      <w:r w:rsidRPr="00360759">
        <w:rPr>
          <w:rFonts w:cs="Arial"/>
          <w:b/>
          <w:lang w:val="es-AR"/>
        </w:rPr>
        <w:t>. N° 3137/17)</w:t>
      </w:r>
    </w:p>
    <w:p w:rsidR="00360759" w:rsidRPr="00360759" w:rsidRDefault="003607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360759" w:rsidRDefault="00360759" w:rsidP="0036075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VISTO:</w:t>
      </w:r>
      <w:r>
        <w:rPr>
          <w:rFonts w:cs="Arial"/>
          <w:lang w:val="es" w:eastAsia="es-AR"/>
        </w:rPr>
        <w:t xml:space="preserve"> el Oficio Nº 203/017 de fecha 13/06/17 remitido por la Intendencia de Colonia, relacionado con la reiteración del gasto resultante de la contratación directa con la Empresa Inducción Magnética S.A</w:t>
      </w:r>
      <w:r>
        <w:rPr>
          <w:rFonts w:cs="Arial"/>
          <w:lang w:val="es" w:eastAsia="es-AR"/>
        </w:rPr>
        <w:t>.</w:t>
      </w:r>
      <w:r>
        <w:rPr>
          <w:rFonts w:cs="Arial"/>
          <w:lang w:val="es" w:eastAsia="es-AR"/>
        </w:rPr>
        <w:t>, para efectuar el cambio de luminarias en las localidades de Colonia del Sacramento y Nueva Helvecia;</w:t>
      </w:r>
    </w:p>
    <w:p w:rsidR="00360759" w:rsidRDefault="00360759" w:rsidP="0036075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RESULTANDO:</w:t>
      </w:r>
      <w:r>
        <w:rPr>
          <w:rFonts w:cs="Arial"/>
          <w:lang w:val="es" w:eastAsia="es-AR"/>
        </w:rPr>
        <w:t xml:space="preserve"> </w:t>
      </w:r>
      <w:r>
        <w:rPr>
          <w:rFonts w:cs="Arial"/>
          <w:b/>
          <w:bCs/>
          <w:lang w:val="es" w:eastAsia="es-AR"/>
        </w:rPr>
        <w:t xml:space="preserve">1) </w:t>
      </w:r>
      <w:r>
        <w:rPr>
          <w:rFonts w:cs="Arial"/>
          <w:lang w:val="es" w:eastAsia="es-AR"/>
        </w:rPr>
        <w:t>que a efectos de optimizar el consumo energético y mejorar la calidad lumínica de las ciudades y centros poblados del Departamento, la Intendencia de Colonia elaboró, en el marco de lo dispuesto por el Artículo 59 de la Ley 18.834 de 4/11/2011, pautas para la Presentación de Propuestas por parte de las empresas registradas ante el Ministerio de Industria</w:t>
      </w:r>
      <w:r>
        <w:rPr>
          <w:rFonts w:cs="Arial"/>
          <w:lang w:val="es" w:eastAsia="es-AR"/>
        </w:rPr>
        <w:t>, Energía y Minería de acuerdo con</w:t>
      </w:r>
      <w:r>
        <w:rPr>
          <w:rFonts w:cs="Arial"/>
          <w:lang w:val="es" w:eastAsia="es-AR"/>
        </w:rPr>
        <w:t xml:space="preserve"> lo establecido en el Artículo 7 del Decreto 354/2009 (empresas ESCO);</w:t>
      </w:r>
    </w:p>
    <w:p w:rsidR="00360759" w:rsidRDefault="00360759" w:rsidP="00360759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2) </w:t>
      </w:r>
      <w:r>
        <w:rPr>
          <w:rFonts w:cs="Arial"/>
          <w:lang w:val="es" w:eastAsia="es-AR"/>
        </w:rPr>
        <w:t>que, habiéndose invitado a participar a seis firmas, para la implantación de un Plan de Eficiencia Energética en las ciudades de Colonia del Sacramento, Carmelo, Nueva Helvecia y Tarariras, se presentaron cinco proyectos: DIKREM S.A</w:t>
      </w:r>
      <w:r>
        <w:rPr>
          <w:rFonts w:cs="Arial"/>
          <w:lang w:val="es" w:eastAsia="es-AR"/>
        </w:rPr>
        <w:t>.</w:t>
      </w:r>
      <w:r>
        <w:rPr>
          <w:rFonts w:cs="Arial"/>
          <w:lang w:val="es" w:eastAsia="es-AR"/>
        </w:rPr>
        <w:t>, CCH Instalaciones S.A</w:t>
      </w:r>
      <w:r>
        <w:rPr>
          <w:rFonts w:cs="Arial"/>
          <w:lang w:val="es" w:eastAsia="es-AR"/>
        </w:rPr>
        <w:t>.</w:t>
      </w:r>
      <w:r>
        <w:rPr>
          <w:rFonts w:cs="Arial"/>
          <w:lang w:val="es" w:eastAsia="es-AR"/>
        </w:rPr>
        <w:t xml:space="preserve">, FIVISA, Inducción Electromagnética (IMSA) y </w:t>
      </w:r>
      <w:r>
        <w:rPr>
          <w:rFonts w:cs="Arial"/>
          <w:lang w:val="es" w:eastAsia="es-AR"/>
        </w:rPr>
        <w:t>Electro Uruguay (Nórdica S.A.);</w:t>
      </w:r>
    </w:p>
    <w:p w:rsidR="00360759" w:rsidRDefault="00360759" w:rsidP="00360759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3) </w:t>
      </w:r>
      <w:r>
        <w:rPr>
          <w:rFonts w:cs="Arial"/>
          <w:lang w:val="es" w:eastAsia="es-AR"/>
        </w:rPr>
        <w:t xml:space="preserve">que analizadas las alternativas por parte del Departamento de Electrotécnica y Alumbrado Público de la Intendencia se llegó a la conclusión que había dos empresas que estaban en un empate, teniendo en </w:t>
      </w:r>
      <w:r>
        <w:rPr>
          <w:rFonts w:cs="Arial"/>
          <w:lang w:val="es" w:eastAsia="es-AR"/>
        </w:rPr>
        <w:lastRenderedPageBreak/>
        <w:t>cuenta los aspectos analizados. Dad</w:t>
      </w:r>
      <w:r>
        <w:rPr>
          <w:rFonts w:cs="Arial"/>
          <w:lang w:val="es" w:eastAsia="es-AR"/>
        </w:rPr>
        <w:t>o el amparo otorgado por el Artículo 33, I</w:t>
      </w:r>
      <w:r>
        <w:rPr>
          <w:rFonts w:cs="Arial"/>
          <w:lang w:val="es" w:eastAsia="es-AR"/>
        </w:rPr>
        <w:t>nc</w:t>
      </w:r>
      <w:r>
        <w:rPr>
          <w:rFonts w:cs="Arial"/>
          <w:lang w:val="es" w:eastAsia="es-AR"/>
        </w:rPr>
        <w:t>iso C), N</w:t>
      </w:r>
      <w:r>
        <w:rPr>
          <w:rFonts w:cs="Arial"/>
          <w:lang w:val="es" w:eastAsia="es-AR"/>
        </w:rPr>
        <w:t>umeral 26) del TOCAF, y sumando aspectos como la ubicación geográfica del alumbrado público donde se intervendría, el cronograma de ejecución y minimización de riesgos, se llegó a la conclusión de sugerir la aceptación de las propuestas de los proyectos de las empresas Inducción Magnética S.A. (IMSA) y Electro Uruguay S.A</w:t>
      </w:r>
      <w:r>
        <w:rPr>
          <w:rFonts w:cs="Arial"/>
          <w:lang w:val="es" w:eastAsia="es-AR"/>
        </w:rPr>
        <w:t>.</w:t>
      </w:r>
      <w:r>
        <w:rPr>
          <w:rFonts w:cs="Arial"/>
          <w:lang w:val="es" w:eastAsia="es-AR"/>
        </w:rPr>
        <w:t xml:space="preserve"> (Nórdica), las que consultadas por la Administración actuante, confirmaron su intención de contratar;</w:t>
      </w:r>
    </w:p>
    <w:p w:rsidR="00360759" w:rsidRDefault="00360759" w:rsidP="00360759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4) </w:t>
      </w:r>
      <w:r>
        <w:rPr>
          <w:rFonts w:cs="Arial"/>
          <w:lang w:val="es" w:eastAsia="es-AR"/>
        </w:rPr>
        <w:t xml:space="preserve">que por Resolución Nº 330/017 de fecha 01/03/17, el Intendente de Colonia dispuso contratar – ad </w:t>
      </w:r>
      <w:proofErr w:type="spellStart"/>
      <w:r>
        <w:rPr>
          <w:rFonts w:cs="Arial"/>
          <w:lang w:val="es" w:eastAsia="es-AR"/>
        </w:rPr>
        <w:t>referendum</w:t>
      </w:r>
      <w:proofErr w:type="spellEnd"/>
      <w:r>
        <w:rPr>
          <w:rFonts w:cs="Arial"/>
          <w:lang w:val="es" w:eastAsia="es-AR"/>
        </w:rPr>
        <w:t xml:space="preserve"> de la intervención de este Tribunal, a la Empresa Inducción Magnética S.A. (IMSA), para efectuar el cambio de luminarias en las localidades de Colonia del Sacramento y Nueva Helve</w:t>
      </w:r>
      <w:r>
        <w:rPr>
          <w:rFonts w:cs="Arial"/>
          <w:lang w:val="es" w:eastAsia="es-AR"/>
        </w:rPr>
        <w:t>cia por un total de U$S 1:844.327</w:t>
      </w:r>
      <w:r>
        <w:rPr>
          <w:rFonts w:cs="Arial"/>
          <w:lang w:val="es" w:eastAsia="es-AR"/>
        </w:rPr>
        <w:t>, que se abonaría mediante contrato remunerado por desempeño;</w:t>
      </w:r>
    </w:p>
    <w:p w:rsidR="00360759" w:rsidRDefault="00360759" w:rsidP="00360759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5) </w:t>
      </w:r>
      <w:r>
        <w:rPr>
          <w:rFonts w:cs="Arial"/>
          <w:lang w:val="es" w:eastAsia="es-AR"/>
        </w:rPr>
        <w:t xml:space="preserve">que este Tribunal con fecha 25/05/17 en </w:t>
      </w:r>
      <w:proofErr w:type="spellStart"/>
      <w:r>
        <w:rPr>
          <w:rFonts w:cs="Arial"/>
          <w:lang w:val="es" w:eastAsia="es-AR"/>
        </w:rPr>
        <w:t>Exp</w:t>
      </w:r>
      <w:proofErr w:type="spellEnd"/>
      <w:r>
        <w:rPr>
          <w:rFonts w:cs="Arial"/>
          <w:lang w:val="es" w:eastAsia="es-AR"/>
        </w:rPr>
        <w:t>. 2017-17-1-0002539, (</w:t>
      </w:r>
      <w:proofErr w:type="spellStart"/>
      <w:r>
        <w:rPr>
          <w:rFonts w:cs="Arial"/>
          <w:lang w:val="es" w:eastAsia="es-AR"/>
        </w:rPr>
        <w:t>Ent</w:t>
      </w:r>
      <w:proofErr w:type="spellEnd"/>
      <w:r>
        <w:rPr>
          <w:rFonts w:cs="Arial"/>
          <w:lang w:val="es" w:eastAsia="es-AR"/>
        </w:rPr>
        <w:t>. 2052/17), acordó observar dicho gasto en cuanto a que de los antecedentes remitidos en esa oportunidad como de la resolución de adjudicación  no constaba ni se justificaba la adjudicación parcial a una sola de las empresas, al haber confirmado también la empresa Electro Uruguay que mantenía su intención de contratar. Por lo</w:t>
      </w:r>
      <w:r>
        <w:rPr>
          <w:rFonts w:cs="Arial"/>
          <w:lang w:val="es" w:eastAsia="es-AR"/>
        </w:rPr>
        <w:t xml:space="preserve"> que  la Administración, -</w:t>
      </w:r>
      <w:r>
        <w:rPr>
          <w:rFonts w:cs="Arial"/>
          <w:lang w:val="es" w:eastAsia="es-AR"/>
        </w:rPr>
        <w:t>al optar por efectua</w:t>
      </w:r>
      <w:r>
        <w:rPr>
          <w:rFonts w:cs="Arial"/>
          <w:lang w:val="es" w:eastAsia="es-AR"/>
        </w:rPr>
        <w:t>r un procedimiento competitivo-</w:t>
      </w:r>
      <w:r>
        <w:rPr>
          <w:rFonts w:cs="Arial"/>
          <w:lang w:val="es" w:eastAsia="es-AR"/>
        </w:rPr>
        <w:t xml:space="preserve"> debía haber cumplido con el principio de igualdad de los oferentes;</w:t>
      </w:r>
    </w:p>
    <w:p w:rsidR="00360759" w:rsidRDefault="00360759" w:rsidP="00360759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6)</w:t>
      </w:r>
      <w:r>
        <w:rPr>
          <w:rFonts w:cs="Arial"/>
          <w:lang w:val="es" w:eastAsia="es-AR"/>
        </w:rPr>
        <w:t xml:space="preserve"> que en la oportunidad, el Intendente mediante Resolución Nº 1033/017 de 13/06/17, dispuso reiterar el gasto, considerando que </w:t>
      </w:r>
      <w:proofErr w:type="gramStart"/>
      <w:r>
        <w:rPr>
          <w:rFonts w:cs="Arial"/>
          <w:lang w:val="es" w:eastAsia="es-AR"/>
        </w:rPr>
        <w:t>la</w:t>
      </w:r>
      <w:proofErr w:type="gramEnd"/>
      <w:r>
        <w:rPr>
          <w:rFonts w:cs="Arial"/>
          <w:lang w:val="es" w:eastAsia="es-AR"/>
        </w:rPr>
        <w:t xml:space="preserve"> contratación con la firma Electro Uruguay (Nórdica S.A.) se dispuso por Resolución Nº 335/017 de 02/03/17 para las localidades de Carmelo y Tarariras, sobre la cual este Tribunal se expidió en Resolución Nº 1863/17 del presente Expediente  2017-17-1-0003272;    </w:t>
      </w:r>
    </w:p>
    <w:p w:rsidR="00360759" w:rsidRDefault="00360759" w:rsidP="0036075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lastRenderedPageBreak/>
        <w:t>CONSIDERANDO</w:t>
      </w:r>
      <w:r>
        <w:rPr>
          <w:rFonts w:cs="Arial"/>
          <w:b/>
          <w:bCs/>
          <w:color w:val="000000"/>
          <w:sz w:val="16"/>
          <w:szCs w:val="16"/>
          <w:lang w:val="es" w:eastAsia="es-AR"/>
        </w:rPr>
        <w:t xml:space="preserve"> </w:t>
      </w:r>
      <w:r>
        <w:rPr>
          <w:rFonts w:cs="Arial"/>
          <w:b/>
          <w:bCs/>
          <w:color w:val="000000"/>
          <w:lang w:val="es" w:eastAsia="es-AR"/>
        </w:rPr>
        <w:t xml:space="preserve">1) </w:t>
      </w:r>
      <w:r>
        <w:rPr>
          <w:rFonts w:cs="Arial"/>
          <w:color w:val="000000"/>
          <w:lang w:val="es" w:eastAsia="es-AR"/>
        </w:rPr>
        <w:t>que el Art</w:t>
      </w:r>
      <w:r>
        <w:rPr>
          <w:rFonts w:cs="Arial"/>
          <w:color w:val="000000"/>
          <w:lang w:val="es" w:eastAsia="es-AR"/>
        </w:rPr>
        <w:t>ículo</w:t>
      </w:r>
      <w:r>
        <w:rPr>
          <w:rFonts w:cs="Arial"/>
          <w:color w:val="000000"/>
          <w:lang w:val="es" w:eastAsia="es-AR"/>
        </w:rPr>
        <w:t xml:space="preserve"> 475 de la Ley 17.296 establece que los Ordenadores de gastos y pagos, al ejercer la facultad de insistencia o rei</w:t>
      </w:r>
      <w:r>
        <w:rPr>
          <w:rFonts w:cs="Arial"/>
          <w:color w:val="000000"/>
          <w:lang w:val="es" w:eastAsia="es-AR"/>
        </w:rPr>
        <w:t>teración que les acuerda el Literal B) del Artículo</w:t>
      </w:r>
      <w:r>
        <w:rPr>
          <w:rFonts w:cs="Arial"/>
          <w:color w:val="000000"/>
          <w:lang w:val="es" w:eastAsia="es-AR"/>
        </w:rPr>
        <w:t xml:space="preserve"> 211 de la Constitución de la República, deben hacerlo en forma fundada,  expresando de manera detallada los motivos que justifican a su juicio seguir el curso del gasto</w:t>
      </w:r>
      <w:r>
        <w:rPr>
          <w:rFonts w:cs="Arial"/>
          <w:color w:val="000000"/>
          <w:lang w:val="es" w:eastAsia="es-AR"/>
        </w:rPr>
        <w:t xml:space="preserve"> o</w:t>
      </w:r>
      <w:r>
        <w:rPr>
          <w:rFonts w:cs="Arial"/>
          <w:color w:val="000000"/>
          <w:lang w:val="es" w:eastAsia="es-AR"/>
        </w:rPr>
        <w:t xml:space="preserve"> del pago;</w:t>
      </w:r>
    </w:p>
    <w:p w:rsidR="00360759" w:rsidRDefault="00360759" w:rsidP="00E70D41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 xml:space="preserve">2) </w:t>
      </w:r>
      <w:r>
        <w:rPr>
          <w:rFonts w:cs="Arial"/>
          <w:color w:val="000000"/>
          <w:lang w:val="es" w:eastAsia="es-AR"/>
        </w:rPr>
        <w:t>que los argumentos esgrimidos por el Ordenador son de recibo, ya que fueron contr</w:t>
      </w:r>
      <w:r w:rsidR="00E70D41">
        <w:rPr>
          <w:rFonts w:cs="Arial"/>
          <w:color w:val="000000"/>
          <w:lang w:val="es" w:eastAsia="es-AR"/>
        </w:rPr>
        <w:t>atadas ambas firmas de acuerdo con el</w:t>
      </w:r>
      <w:r>
        <w:rPr>
          <w:rFonts w:cs="Arial"/>
          <w:color w:val="000000"/>
          <w:lang w:val="es" w:eastAsia="es-AR"/>
        </w:rPr>
        <w:t xml:space="preserve"> procedimiento de selección realizado, para distintas zonas del Departamento, habiéndose expedido este Tribunal en S</w:t>
      </w:r>
      <w:r w:rsidR="00E70D41">
        <w:rPr>
          <w:rFonts w:cs="Arial"/>
          <w:color w:val="000000"/>
          <w:lang w:val="es" w:eastAsia="es-AR"/>
        </w:rPr>
        <w:t>esión de 14/6/2017 en relación con</w:t>
      </w:r>
      <w:r>
        <w:rPr>
          <w:rFonts w:cs="Arial"/>
          <w:color w:val="000000"/>
          <w:lang w:val="es" w:eastAsia="es-AR"/>
        </w:rPr>
        <w:t xml:space="preserve"> la adjudicación a Electro Uruguay (</w:t>
      </w:r>
      <w:proofErr w:type="spellStart"/>
      <w:r>
        <w:rPr>
          <w:rFonts w:cs="Arial"/>
          <w:color w:val="000000"/>
          <w:lang w:val="es" w:eastAsia="es-AR"/>
        </w:rPr>
        <w:t>Nordica</w:t>
      </w:r>
      <w:proofErr w:type="spellEnd"/>
      <w:r>
        <w:rPr>
          <w:rFonts w:cs="Arial"/>
          <w:color w:val="000000"/>
          <w:lang w:val="es" w:eastAsia="es-AR"/>
        </w:rPr>
        <w:t xml:space="preserve"> S.A.) en trámite por separado,  (Resultando 6), razón por la cual no se tuvo a la vista en estas actuaciones; </w:t>
      </w:r>
    </w:p>
    <w:p w:rsidR="00360759" w:rsidRDefault="00360759" w:rsidP="00E70D4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ATENTO:</w:t>
      </w:r>
      <w:r>
        <w:rPr>
          <w:rFonts w:cs="Arial"/>
          <w:color w:val="000000"/>
          <w:lang w:val="es" w:eastAsia="es-AR"/>
        </w:rPr>
        <w:t xml:space="preserve"> a lo e</w:t>
      </w:r>
      <w:r w:rsidR="00E70D41">
        <w:rPr>
          <w:rFonts w:cs="Arial"/>
          <w:color w:val="000000"/>
          <w:lang w:val="es" w:eastAsia="es-AR"/>
        </w:rPr>
        <w:t>xpuesto y a lo dispuesto por el</w:t>
      </w:r>
      <w:r>
        <w:rPr>
          <w:rFonts w:cs="Arial"/>
          <w:color w:val="000000"/>
          <w:lang w:val="es" w:eastAsia="es-AR"/>
        </w:rPr>
        <w:t xml:space="preserve"> Art</w:t>
      </w:r>
      <w:r w:rsidR="00E70D41">
        <w:rPr>
          <w:rFonts w:cs="Arial"/>
          <w:color w:val="000000"/>
          <w:lang w:val="es" w:eastAsia="es-AR"/>
        </w:rPr>
        <w:t>ículo 211 L</w:t>
      </w:r>
      <w:r>
        <w:rPr>
          <w:rFonts w:cs="Arial"/>
          <w:color w:val="000000"/>
          <w:lang w:val="es" w:eastAsia="es-AR"/>
        </w:rPr>
        <w:t>iteral B) de l</w:t>
      </w:r>
      <w:r w:rsidR="00E70D41">
        <w:rPr>
          <w:rFonts w:cs="Arial"/>
          <w:color w:val="000000"/>
          <w:lang w:val="es" w:eastAsia="es-AR"/>
        </w:rPr>
        <w:t>a Constitución de la República;</w:t>
      </w:r>
    </w:p>
    <w:p w:rsidR="00360759" w:rsidRDefault="00E70D41" w:rsidP="00360759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lang w:val="es" w:eastAsia="es-AR"/>
        </w:rPr>
      </w:pPr>
      <w:r>
        <w:rPr>
          <w:rFonts w:cs="Arial"/>
          <w:b/>
          <w:bCs/>
          <w:color w:val="000000"/>
          <w:lang w:val="es" w:eastAsia="es-AR"/>
        </w:rPr>
        <w:t>EL TRIBUNAL ACUERDA</w:t>
      </w:r>
    </w:p>
    <w:p w:rsidR="00360759" w:rsidRDefault="00360759" w:rsidP="00360759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cs="Arial"/>
          <w:color w:val="000000"/>
          <w:lang w:val="es" w:eastAsia="es-AR"/>
        </w:rPr>
      </w:pPr>
      <w:r>
        <w:rPr>
          <w:rFonts w:cs="Arial"/>
          <w:color w:val="000000"/>
          <w:lang w:val="es" w:eastAsia="es-AR"/>
        </w:rPr>
        <w:t xml:space="preserve">Levantar  la observación del gasto </w:t>
      </w:r>
      <w:r w:rsidR="00E70D41">
        <w:rPr>
          <w:rFonts w:cs="Arial"/>
          <w:color w:val="000000"/>
          <w:lang w:val="es" w:eastAsia="es-AR"/>
        </w:rPr>
        <w:t>dispuesta por este Tribunal en S</w:t>
      </w:r>
      <w:r>
        <w:rPr>
          <w:rFonts w:cs="Arial"/>
          <w:color w:val="000000"/>
          <w:lang w:val="es" w:eastAsia="es-AR"/>
        </w:rPr>
        <w:t>esión de fecha  25/05/2017; y</w:t>
      </w:r>
    </w:p>
    <w:p w:rsidR="00360759" w:rsidRDefault="00360759" w:rsidP="00360759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cs="Arial"/>
          <w:color w:val="000000"/>
          <w:lang w:val="es" w:eastAsia="es-AR"/>
        </w:rPr>
      </w:pPr>
      <w:r>
        <w:rPr>
          <w:rFonts w:cs="Arial"/>
          <w:color w:val="000000"/>
          <w:lang w:val="es" w:eastAsia="es-AR"/>
        </w:rPr>
        <w:t>Comunicar a la Intendencia y a la Junta Departamental de Colonia.</w:t>
      </w:r>
    </w:p>
    <w:p w:rsidR="00E70D41" w:rsidRDefault="00E70D41" w:rsidP="00E70D41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E70D41" w:rsidRDefault="00E70D41" w:rsidP="00E70D41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E70D41" w:rsidRDefault="00E70D41" w:rsidP="00E70D41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E70D41" w:rsidRDefault="00E70D41" w:rsidP="00E70D41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" w:eastAsia="es-AR"/>
        </w:rPr>
      </w:pPr>
    </w:p>
    <w:p w:rsidR="00E70D41" w:rsidRDefault="00E70D41" w:rsidP="00E70D41">
      <w:pPr>
        <w:tabs>
          <w:tab w:val="left" w:pos="360"/>
        </w:tabs>
        <w:autoSpaceDE w:val="0"/>
        <w:autoSpaceDN w:val="0"/>
        <w:adjustRightInd w:val="0"/>
        <w:spacing w:line="360" w:lineRule="auto"/>
        <w:ind w:hanging="284"/>
        <w:jc w:val="both"/>
        <w:rPr>
          <w:rFonts w:cs="Arial"/>
          <w:color w:val="000000"/>
          <w:lang w:val="es" w:eastAsia="es-AR"/>
        </w:rPr>
      </w:pPr>
      <w:proofErr w:type="gramStart"/>
      <w:r>
        <w:rPr>
          <w:rFonts w:cs="Arial"/>
          <w:color w:val="000000"/>
          <w:lang w:val="es" w:eastAsia="es-AR"/>
        </w:rPr>
        <w:t>dc</w:t>
      </w:r>
      <w:bookmarkStart w:id="0" w:name="_GoBack"/>
      <w:bookmarkEnd w:id="0"/>
      <w:proofErr w:type="gramEnd"/>
    </w:p>
    <w:sectPr w:rsidR="00E70D41" w:rsidSect="00360759">
      <w:footerReference w:type="default" r:id="rId8"/>
      <w:pgSz w:w="12240" w:h="15840" w:code="1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41" w:rsidRDefault="00E70D41" w:rsidP="00E70D41">
      <w:r>
        <w:separator/>
      </w:r>
    </w:p>
  </w:endnote>
  <w:endnote w:type="continuationSeparator" w:id="0">
    <w:p w:rsidR="00E70D41" w:rsidRDefault="00E70D41" w:rsidP="00E7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511183"/>
      <w:docPartObj>
        <w:docPartGallery w:val="Page Numbers (Bottom of Page)"/>
        <w:docPartUnique/>
      </w:docPartObj>
    </w:sdtPr>
    <w:sdtContent>
      <w:p w:rsidR="00E70D41" w:rsidRDefault="00E70D4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70D41" w:rsidRDefault="00E70D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41" w:rsidRDefault="00E70D41" w:rsidP="00E70D41">
      <w:r>
        <w:separator/>
      </w:r>
    </w:p>
  </w:footnote>
  <w:footnote w:type="continuationSeparator" w:id="0">
    <w:p w:rsidR="00E70D41" w:rsidRDefault="00E70D41" w:rsidP="00E7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1EE4"/>
    <w:multiLevelType w:val="singleLevel"/>
    <w:tmpl w:val="D76E4688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59"/>
    <w:rsid w:val="00330727"/>
    <w:rsid w:val="00360759"/>
    <w:rsid w:val="009D365A"/>
    <w:rsid w:val="00E70D41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759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D4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0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D41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759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D4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0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D41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695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2017-08-07T19:00:00Z</cp:lastPrinted>
  <dcterms:created xsi:type="dcterms:W3CDTF">2017-08-07T18:47:00Z</dcterms:created>
  <dcterms:modified xsi:type="dcterms:W3CDTF">2017-08-07T19:01:00Z</dcterms:modified>
</cp:coreProperties>
</file>