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2D" w:rsidRPr="00573C2D" w:rsidRDefault="00573C2D" w:rsidP="00573C2D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 Nº</w:t>
      </w:r>
      <w:r>
        <w:rPr>
          <w:rFonts w:ascii="Helvetica" w:hAnsi="Helvetica"/>
          <w:b/>
          <w:sz w:val="28"/>
          <w:szCs w:val="28"/>
          <w:lang w:val="es-ES_tradnl"/>
        </w:rPr>
        <w:t>2416</w:t>
      </w:r>
      <w:r>
        <w:rPr>
          <w:rFonts w:ascii="Helvetica" w:hAnsi="Helvetica"/>
          <w:b/>
          <w:sz w:val="28"/>
          <w:szCs w:val="28"/>
          <w:lang w:val="es-ES_tradnl"/>
        </w:rPr>
        <w:t>/17</w:t>
      </w:r>
    </w:p>
    <w:p w:rsidR="00573C2D" w:rsidRPr="00573C2D" w:rsidRDefault="00573C2D" w:rsidP="00573C2D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573C2D">
        <w:rPr>
          <w:rFonts w:ascii="Helvetica" w:hAnsi="Helvetica"/>
          <w:b/>
          <w:sz w:val="24"/>
          <w:szCs w:val="24"/>
          <w:lang w:val="es-ES_tradnl"/>
        </w:rPr>
        <w:t>RESOLUCION ADOPTADA POR EL</w:t>
      </w:r>
      <w:bookmarkStart w:id="0" w:name="_GoBack"/>
      <w:bookmarkEnd w:id="0"/>
    </w:p>
    <w:p w:rsidR="00573C2D" w:rsidRPr="00573C2D" w:rsidRDefault="00573C2D" w:rsidP="00573C2D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573C2D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573C2D" w:rsidRPr="00573C2D" w:rsidRDefault="00573C2D" w:rsidP="00573C2D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>
        <w:rPr>
          <w:rFonts w:ascii="Helvetica" w:hAnsi="Helvetica"/>
          <w:b/>
          <w:sz w:val="24"/>
          <w:szCs w:val="24"/>
          <w:lang w:val="es-ES_tradnl"/>
        </w:rPr>
        <w:t>EN SESION DE FECHA 2</w:t>
      </w:r>
      <w:r w:rsidRPr="00573C2D">
        <w:rPr>
          <w:rFonts w:ascii="Helvetica" w:hAnsi="Helvetica"/>
          <w:b/>
          <w:sz w:val="24"/>
          <w:szCs w:val="24"/>
          <w:lang w:val="es-ES_tradnl"/>
        </w:rPr>
        <w:t xml:space="preserve"> </w:t>
      </w:r>
      <w:r>
        <w:rPr>
          <w:rFonts w:ascii="Helvetica" w:hAnsi="Helvetica"/>
          <w:b/>
          <w:sz w:val="24"/>
          <w:szCs w:val="24"/>
          <w:lang w:val="es-ES_tradnl"/>
        </w:rPr>
        <w:t>DE AGOSTO</w:t>
      </w:r>
      <w:r w:rsidRPr="00573C2D">
        <w:rPr>
          <w:rFonts w:ascii="Helvetica" w:hAnsi="Helvetica"/>
          <w:b/>
          <w:sz w:val="24"/>
          <w:szCs w:val="24"/>
          <w:lang w:val="es-ES_tradnl"/>
        </w:rPr>
        <w:t xml:space="preserve"> DE 2017</w:t>
      </w:r>
    </w:p>
    <w:p w:rsidR="00203999" w:rsidRPr="00573C2D" w:rsidRDefault="00573C2D" w:rsidP="00573C2D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573C2D">
        <w:rPr>
          <w:rFonts w:ascii="Helvetica" w:hAnsi="Helvetica"/>
          <w:b/>
          <w:sz w:val="24"/>
          <w:szCs w:val="24"/>
        </w:rPr>
        <w:t>(E. E. Nº 201</w:t>
      </w:r>
      <w:r>
        <w:rPr>
          <w:rFonts w:ascii="Helvetica" w:hAnsi="Helvetica"/>
          <w:b/>
          <w:sz w:val="24"/>
          <w:szCs w:val="24"/>
        </w:rPr>
        <w:t>7-17-1-0002902</w:t>
      </w:r>
      <w:r w:rsidR="001447FA">
        <w:rPr>
          <w:rFonts w:ascii="Helvetica" w:hAnsi="Helvetica"/>
          <w:b/>
          <w:sz w:val="24"/>
          <w:szCs w:val="24"/>
        </w:rPr>
        <w:t xml:space="preserve">, Ent. </w:t>
      </w:r>
      <w:r w:rsidRPr="00573C2D">
        <w:rPr>
          <w:rFonts w:ascii="Helvetica" w:hAnsi="Helvetica"/>
          <w:b/>
          <w:sz w:val="24"/>
          <w:szCs w:val="24"/>
        </w:rPr>
        <w:t xml:space="preserve"> Nº</w:t>
      </w:r>
      <w:r w:rsidR="001447FA">
        <w:rPr>
          <w:rFonts w:ascii="Helvetica" w:hAnsi="Helvetica"/>
          <w:b/>
          <w:sz w:val="24"/>
          <w:szCs w:val="24"/>
        </w:rPr>
        <w:t>2420</w:t>
      </w:r>
      <w:r w:rsidRPr="00573C2D">
        <w:rPr>
          <w:rFonts w:ascii="Helvetica" w:hAnsi="Helvetica"/>
          <w:b/>
          <w:sz w:val="24"/>
          <w:szCs w:val="24"/>
        </w:rPr>
        <w:t>/2017)</w:t>
      </w:r>
    </w:p>
    <w:p w:rsidR="00573C2D" w:rsidRDefault="00573C2D" w:rsidP="00573C2D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03999" w:rsidRPr="004C77C6">
        <w:rPr>
          <w:rFonts w:ascii="Arial" w:hAnsi="Arial" w:cs="Arial"/>
          <w:b/>
          <w:sz w:val="24"/>
          <w:szCs w:val="24"/>
        </w:rPr>
        <w:t>VISTO</w:t>
      </w:r>
      <w:r>
        <w:rPr>
          <w:rFonts w:ascii="Arial" w:hAnsi="Arial" w:cs="Arial"/>
          <w:b/>
          <w:sz w:val="24"/>
          <w:szCs w:val="24"/>
        </w:rPr>
        <w:t>:</w:t>
      </w:r>
      <w:r w:rsidR="00203999" w:rsidRPr="004C77C6">
        <w:rPr>
          <w:rFonts w:ascii="Arial" w:hAnsi="Arial" w:cs="Arial"/>
          <w:sz w:val="24"/>
          <w:szCs w:val="24"/>
        </w:rPr>
        <w:t xml:space="preserve"> la Resolución N</w:t>
      </w:r>
      <w:r>
        <w:rPr>
          <w:rFonts w:ascii="Arial" w:hAnsi="Arial" w:cs="Arial"/>
          <w:sz w:val="24"/>
          <w:szCs w:val="24"/>
        </w:rPr>
        <w:t>° 1757/17 de 7 de junio de 2017 del Tribunal de Cuentas.</w:t>
      </w:r>
    </w:p>
    <w:p w:rsidR="00573C2D" w:rsidRDefault="00573C2D" w:rsidP="00573C2D">
      <w:pPr>
        <w:tabs>
          <w:tab w:val="left" w:pos="851"/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03999" w:rsidRPr="004C77C6">
        <w:rPr>
          <w:rFonts w:ascii="Arial" w:hAnsi="Arial" w:cs="Arial"/>
          <w:b/>
          <w:sz w:val="24"/>
          <w:szCs w:val="24"/>
        </w:rPr>
        <w:t>RESULTANDO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203999" w:rsidRPr="004C77C6">
        <w:rPr>
          <w:rFonts w:ascii="Arial" w:hAnsi="Arial" w:cs="Arial"/>
          <w:b/>
          <w:sz w:val="24"/>
          <w:szCs w:val="24"/>
        </w:rPr>
        <w:t>1)</w:t>
      </w:r>
      <w:r w:rsidR="00203999" w:rsidRPr="004C77C6">
        <w:rPr>
          <w:rFonts w:ascii="Arial" w:hAnsi="Arial" w:cs="Arial"/>
          <w:sz w:val="24"/>
          <w:szCs w:val="24"/>
        </w:rPr>
        <w:t xml:space="preserve"> que la mencionada Resolución recayó sobre las actuaciones remitidas por el Ministerio de Vivienda Ordenamiento Territorial y Medio Ambiente relativas a la Licitación Pública N° 25/002/2016 convocada para el “Suministro de terreno, diseño y construcción desde 30 hasta 40 viviendas para activos, estacionamientos y </w:t>
      </w:r>
      <w:r w:rsidR="001447FA">
        <w:rPr>
          <w:rFonts w:ascii="Arial" w:hAnsi="Arial" w:cs="Arial"/>
          <w:sz w:val="24"/>
          <w:szCs w:val="24"/>
        </w:rPr>
        <w:t>un Salón de Usos Múltiples (SUM)</w:t>
      </w:r>
      <w:r w:rsidR="00203999" w:rsidRPr="004C77C6">
        <w:rPr>
          <w:rFonts w:ascii="Arial" w:hAnsi="Arial" w:cs="Arial"/>
          <w:sz w:val="24"/>
          <w:szCs w:val="24"/>
        </w:rPr>
        <w:t xml:space="preserve"> en el inmueble padrón N° 66.905 de la ciudad de Montevideo, mediante el sistema de “llave en mano”;</w:t>
      </w:r>
    </w:p>
    <w:p w:rsidR="00203999" w:rsidRPr="004C77C6" w:rsidRDefault="00573C2D" w:rsidP="00573C2D">
      <w:pPr>
        <w:tabs>
          <w:tab w:val="left" w:pos="851"/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03999" w:rsidRPr="004C77C6">
        <w:rPr>
          <w:rFonts w:ascii="Arial" w:hAnsi="Arial" w:cs="Arial"/>
          <w:b/>
          <w:sz w:val="24"/>
          <w:szCs w:val="24"/>
        </w:rPr>
        <w:t>2)</w:t>
      </w:r>
      <w:r w:rsidR="00203999" w:rsidRPr="004C77C6">
        <w:rPr>
          <w:rFonts w:ascii="Arial" w:hAnsi="Arial" w:cs="Arial"/>
          <w:sz w:val="24"/>
          <w:szCs w:val="24"/>
        </w:rPr>
        <w:t xml:space="preserve"> que, según surgía de los antecedentes, el gasto emergente de la mencionada licitación, se imputará </w:t>
      </w:r>
      <w:r w:rsidR="00562D13">
        <w:rPr>
          <w:rFonts w:ascii="Arial" w:hAnsi="Arial" w:cs="Arial"/>
          <w:sz w:val="24"/>
          <w:szCs w:val="24"/>
        </w:rPr>
        <w:t>en</w:t>
      </w:r>
      <w:r w:rsidR="001447FA">
        <w:rPr>
          <w:rFonts w:ascii="Arial" w:hAnsi="Arial" w:cs="Arial"/>
          <w:sz w:val="24"/>
          <w:szCs w:val="24"/>
        </w:rPr>
        <w:t xml:space="preserve"> los E</w:t>
      </w:r>
      <w:r w:rsidR="00203999" w:rsidRPr="004C77C6">
        <w:rPr>
          <w:rFonts w:ascii="Arial" w:hAnsi="Arial" w:cs="Arial"/>
          <w:sz w:val="24"/>
          <w:szCs w:val="24"/>
        </w:rPr>
        <w:t>jercicios 2018, 2019 y 2020, de acuerdo a la constancia de afectación agregada;</w:t>
      </w:r>
    </w:p>
    <w:p w:rsidR="00203999" w:rsidRPr="004C77C6" w:rsidRDefault="00203999" w:rsidP="00573C2D">
      <w:pPr>
        <w:tabs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77C6">
        <w:rPr>
          <w:rFonts w:ascii="Arial" w:hAnsi="Arial" w:cs="Arial"/>
          <w:sz w:val="24"/>
          <w:szCs w:val="24"/>
        </w:rPr>
        <w:tab/>
      </w:r>
      <w:r w:rsidRPr="004C77C6">
        <w:rPr>
          <w:rFonts w:ascii="Arial" w:hAnsi="Arial" w:cs="Arial"/>
          <w:sz w:val="24"/>
          <w:szCs w:val="24"/>
        </w:rPr>
        <w:tab/>
      </w:r>
      <w:r w:rsidRPr="004C77C6">
        <w:rPr>
          <w:rFonts w:ascii="Arial" w:hAnsi="Arial" w:cs="Arial"/>
          <w:b/>
          <w:sz w:val="24"/>
          <w:szCs w:val="24"/>
        </w:rPr>
        <w:t>3)</w:t>
      </w:r>
      <w:r w:rsidRPr="004C77C6">
        <w:rPr>
          <w:rFonts w:ascii="Arial" w:hAnsi="Arial" w:cs="Arial"/>
          <w:sz w:val="24"/>
          <w:szCs w:val="24"/>
        </w:rPr>
        <w:t xml:space="preserve"> que este Tribunal, por la Resolución a que refiere el Visto de la presente, cometió a la Contadora Auditora en el MVOTMA la intervención del gasto, una vez dictada Resolución por el Ordenador competente</w:t>
      </w:r>
      <w:r w:rsidR="005708A1" w:rsidRPr="004C77C6">
        <w:rPr>
          <w:rFonts w:ascii="Arial" w:hAnsi="Arial" w:cs="Arial"/>
          <w:sz w:val="24"/>
          <w:szCs w:val="24"/>
        </w:rPr>
        <w:t>, “…previo control de su imputación al Grupo adecuado con disponibilidad suficiente…”;</w:t>
      </w:r>
    </w:p>
    <w:p w:rsidR="005708A1" w:rsidRPr="004C77C6" w:rsidRDefault="00573C2D" w:rsidP="00573C2D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CONSIDERANDO: </w:t>
      </w:r>
      <w:r w:rsidR="005708A1" w:rsidRPr="004C77C6">
        <w:rPr>
          <w:rFonts w:ascii="Arial" w:hAnsi="Arial" w:cs="Arial"/>
          <w:b/>
          <w:sz w:val="24"/>
          <w:szCs w:val="24"/>
        </w:rPr>
        <w:t>1)</w:t>
      </w:r>
      <w:r w:rsidR="005708A1" w:rsidRPr="004C77C6">
        <w:rPr>
          <w:rFonts w:ascii="Arial" w:hAnsi="Arial" w:cs="Arial"/>
          <w:sz w:val="24"/>
          <w:szCs w:val="24"/>
        </w:rPr>
        <w:t xml:space="preserve"> que, en la medida que el gasto será imputado a los Ejercicios 2018 y siguientes, la Contadora Auditora se ve impedida de intervenir el gasto hasta que se efectúe la imputación, de acuerdo a lo </w:t>
      </w:r>
      <w:r w:rsidR="005708A1" w:rsidRPr="004C77C6">
        <w:rPr>
          <w:rFonts w:ascii="Arial" w:hAnsi="Arial" w:cs="Arial"/>
          <w:sz w:val="24"/>
          <w:szCs w:val="24"/>
        </w:rPr>
        <w:lastRenderedPageBreak/>
        <w:t>dispuesto por el Tribunal, lo que inhibe al Ministerio de efectuar las notificaciones pertinentes;</w:t>
      </w:r>
    </w:p>
    <w:p w:rsidR="005708A1" w:rsidRPr="004C77C6" w:rsidRDefault="005708A1" w:rsidP="004C77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77C6">
        <w:rPr>
          <w:rFonts w:ascii="Arial" w:hAnsi="Arial" w:cs="Arial"/>
          <w:sz w:val="24"/>
          <w:szCs w:val="24"/>
        </w:rPr>
        <w:tab/>
      </w:r>
      <w:r w:rsidRPr="004C77C6">
        <w:rPr>
          <w:rFonts w:ascii="Arial" w:hAnsi="Arial" w:cs="Arial"/>
          <w:sz w:val="24"/>
          <w:szCs w:val="24"/>
        </w:rPr>
        <w:tab/>
      </w:r>
      <w:r w:rsidRPr="004C77C6">
        <w:rPr>
          <w:rFonts w:ascii="Arial" w:hAnsi="Arial" w:cs="Arial"/>
          <w:sz w:val="24"/>
          <w:szCs w:val="24"/>
        </w:rPr>
        <w:tab/>
      </w:r>
      <w:r w:rsidRPr="004C77C6">
        <w:rPr>
          <w:rFonts w:ascii="Arial" w:hAnsi="Arial" w:cs="Arial"/>
          <w:b/>
          <w:sz w:val="24"/>
          <w:szCs w:val="24"/>
        </w:rPr>
        <w:t>2)</w:t>
      </w:r>
      <w:r w:rsidRPr="004C77C6">
        <w:rPr>
          <w:rFonts w:ascii="Arial" w:hAnsi="Arial" w:cs="Arial"/>
          <w:sz w:val="24"/>
          <w:szCs w:val="24"/>
        </w:rPr>
        <w:t xml:space="preserve"> que, de conformidad con lo disp</w:t>
      </w:r>
      <w:r w:rsidR="001447FA">
        <w:rPr>
          <w:rFonts w:ascii="Arial" w:hAnsi="Arial" w:cs="Arial"/>
          <w:sz w:val="24"/>
          <w:szCs w:val="24"/>
        </w:rPr>
        <w:t xml:space="preserve">uesto por el </w:t>
      </w:r>
      <w:proofErr w:type="spellStart"/>
      <w:r w:rsidR="001447FA">
        <w:rPr>
          <w:rFonts w:ascii="Arial" w:hAnsi="Arial" w:cs="Arial"/>
          <w:sz w:val="24"/>
          <w:szCs w:val="24"/>
        </w:rPr>
        <w:t>Aº</w:t>
      </w:r>
      <w:proofErr w:type="spellEnd"/>
      <w:r w:rsidRPr="004C77C6">
        <w:rPr>
          <w:rFonts w:ascii="Arial" w:hAnsi="Arial" w:cs="Arial"/>
          <w:sz w:val="24"/>
          <w:szCs w:val="24"/>
        </w:rPr>
        <w:t xml:space="preserve"> 18 del TOCAF, los gastos de inversión podrán comprometerse en un ejercicio anterior a aquél en que se ha previsto su ejecución, haciendo la reserva de los créditos presupuestales, por lo que </w:t>
      </w:r>
      <w:r w:rsidR="00562D13">
        <w:rPr>
          <w:rFonts w:ascii="Arial" w:hAnsi="Arial" w:cs="Arial"/>
          <w:sz w:val="24"/>
          <w:szCs w:val="24"/>
        </w:rPr>
        <w:t>no resulta necesario que se realice la apertura de los créditos de los ejercicios siguientes</w:t>
      </w:r>
      <w:r w:rsidRPr="004C77C6">
        <w:rPr>
          <w:rFonts w:ascii="Arial" w:hAnsi="Arial" w:cs="Arial"/>
          <w:sz w:val="24"/>
          <w:szCs w:val="24"/>
        </w:rPr>
        <w:t>;</w:t>
      </w:r>
    </w:p>
    <w:p w:rsidR="005708A1" w:rsidRPr="004C77C6" w:rsidRDefault="00573C2D" w:rsidP="00573C2D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708A1" w:rsidRPr="004C77C6">
        <w:rPr>
          <w:rFonts w:ascii="Arial" w:hAnsi="Arial" w:cs="Arial"/>
          <w:b/>
          <w:sz w:val="24"/>
          <w:szCs w:val="24"/>
        </w:rPr>
        <w:t>ATENTO</w:t>
      </w:r>
      <w:r w:rsidR="004C77C6">
        <w:rPr>
          <w:rFonts w:ascii="Arial" w:hAnsi="Arial" w:cs="Arial"/>
          <w:sz w:val="24"/>
          <w:szCs w:val="24"/>
        </w:rPr>
        <w:t xml:space="preserve"> a lo expresado,</w:t>
      </w:r>
    </w:p>
    <w:p w:rsidR="005708A1" w:rsidRPr="004C77C6" w:rsidRDefault="005708A1" w:rsidP="004C77C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C77C6">
        <w:rPr>
          <w:rFonts w:ascii="Arial" w:hAnsi="Arial" w:cs="Arial"/>
          <w:b/>
          <w:sz w:val="24"/>
          <w:szCs w:val="24"/>
        </w:rPr>
        <w:t>EL TRIBUNAL ACUERDA</w:t>
      </w:r>
    </w:p>
    <w:p w:rsidR="005708A1" w:rsidRDefault="005708A1" w:rsidP="00573C2D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C77C6">
        <w:rPr>
          <w:rFonts w:ascii="Arial" w:hAnsi="Arial" w:cs="Arial"/>
          <w:sz w:val="24"/>
          <w:szCs w:val="24"/>
        </w:rPr>
        <w:t xml:space="preserve">Modificar el Numeral 1) de la parte dispositiva de la Resolución N° 1757/17 de 7 de junio de 2017, el que quedará redactado de la siguiente manera: </w:t>
      </w:r>
      <w:r w:rsidRPr="004C77C6">
        <w:rPr>
          <w:rFonts w:ascii="Arial" w:hAnsi="Arial" w:cs="Arial"/>
          <w:i/>
          <w:sz w:val="24"/>
          <w:szCs w:val="24"/>
        </w:rPr>
        <w:t>“1) Dictada la Resolución por el Ordenador competente en la forma propuesta, cométese al Contador Auditor destacado ante el Ministerio de Vivienda, Ordenamiento Territorial y Medio Ambiente,</w:t>
      </w:r>
      <w:r w:rsidR="001447FA">
        <w:rPr>
          <w:rFonts w:ascii="Arial" w:hAnsi="Arial" w:cs="Arial"/>
          <w:i/>
          <w:sz w:val="24"/>
          <w:szCs w:val="24"/>
        </w:rPr>
        <w:t xml:space="preserve"> la intervención del gasto de $</w:t>
      </w:r>
      <w:r w:rsidRPr="004C77C6">
        <w:rPr>
          <w:rFonts w:ascii="Arial" w:hAnsi="Arial" w:cs="Arial"/>
          <w:i/>
          <w:sz w:val="24"/>
          <w:szCs w:val="24"/>
        </w:rPr>
        <w:t xml:space="preserve">84:963.557,00, impuestos incluidos, </w:t>
      </w:r>
      <w:r w:rsidR="004C77C6" w:rsidRPr="004C77C6">
        <w:rPr>
          <w:rFonts w:ascii="Arial" w:hAnsi="Arial" w:cs="Arial"/>
          <w:i/>
          <w:sz w:val="24"/>
          <w:szCs w:val="24"/>
        </w:rPr>
        <w:t>más</w:t>
      </w:r>
      <w:r w:rsidRPr="004C77C6">
        <w:rPr>
          <w:rFonts w:ascii="Arial" w:hAnsi="Arial" w:cs="Arial"/>
          <w:i/>
          <w:sz w:val="24"/>
          <w:szCs w:val="24"/>
        </w:rPr>
        <w:t xml:space="preserve"> un monto de mano de obra imponible</w:t>
      </w:r>
      <w:r w:rsidR="004C77C6" w:rsidRPr="004C77C6">
        <w:rPr>
          <w:rFonts w:ascii="Arial" w:hAnsi="Arial" w:cs="Arial"/>
          <w:i/>
          <w:sz w:val="24"/>
          <w:szCs w:val="24"/>
        </w:rPr>
        <w:t xml:space="preserve"> máximo de hasta $ 14:993.569,00, previo control  de su imputación al Grupo adecuado con disponibilidad suficiente o la reserva del crédito, conforme a lo dispuesto por el </w:t>
      </w:r>
      <w:proofErr w:type="spellStart"/>
      <w:r w:rsidR="004C77C6" w:rsidRPr="004C77C6">
        <w:rPr>
          <w:rFonts w:ascii="Arial" w:hAnsi="Arial" w:cs="Arial"/>
          <w:i/>
          <w:sz w:val="24"/>
          <w:szCs w:val="24"/>
        </w:rPr>
        <w:t>A°</w:t>
      </w:r>
      <w:proofErr w:type="spellEnd"/>
      <w:r w:rsidR="004C77C6" w:rsidRPr="004C77C6">
        <w:rPr>
          <w:rFonts w:ascii="Arial" w:hAnsi="Arial" w:cs="Arial"/>
          <w:i/>
          <w:sz w:val="24"/>
          <w:szCs w:val="24"/>
        </w:rPr>
        <w:t xml:space="preserve"> 18 del TOCAF y del cumplimiento de lo establecido por el Artículo 3° de la Ley 18.244 del 27 de diciembre de 2007 (deudores alimentarios</w:t>
      </w:r>
      <w:r w:rsidR="004006C2">
        <w:rPr>
          <w:rFonts w:ascii="Arial" w:hAnsi="Arial" w:cs="Arial"/>
          <w:i/>
          <w:sz w:val="24"/>
          <w:szCs w:val="24"/>
        </w:rPr>
        <w:t>)</w:t>
      </w:r>
      <w:r w:rsidR="004C77C6" w:rsidRPr="004C77C6">
        <w:rPr>
          <w:rFonts w:ascii="Arial" w:hAnsi="Arial" w:cs="Arial"/>
          <w:i/>
          <w:sz w:val="24"/>
          <w:szCs w:val="24"/>
        </w:rPr>
        <w:t>”</w:t>
      </w:r>
      <w:r w:rsidR="004C77C6" w:rsidRPr="004C77C6">
        <w:rPr>
          <w:rFonts w:ascii="Arial" w:hAnsi="Arial" w:cs="Arial"/>
          <w:sz w:val="24"/>
          <w:szCs w:val="24"/>
        </w:rPr>
        <w:t>.</w:t>
      </w:r>
    </w:p>
    <w:p w:rsidR="004C77C6" w:rsidRDefault="004C77C6" w:rsidP="00573C2D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Comuníquese al Contador Auditor.</w:t>
      </w:r>
    </w:p>
    <w:p w:rsidR="004C77C6" w:rsidRDefault="004C77C6" w:rsidP="00573C2D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Ofíciese.</w:t>
      </w:r>
    </w:p>
    <w:p w:rsidR="00573C2D" w:rsidRPr="004C77C6" w:rsidRDefault="00573C2D" w:rsidP="00573C2D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sectPr w:rsidR="00573C2D" w:rsidRPr="004C77C6" w:rsidSect="00573C2D">
      <w:pgSz w:w="11906" w:h="16838"/>
      <w:pgMar w:top="328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B34E3"/>
    <w:multiLevelType w:val="hybridMultilevel"/>
    <w:tmpl w:val="D75EDC36"/>
    <w:lvl w:ilvl="0" w:tplc="99FABA8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99"/>
    <w:rsid w:val="001447FA"/>
    <w:rsid w:val="00203999"/>
    <w:rsid w:val="004006C2"/>
    <w:rsid w:val="004C77C6"/>
    <w:rsid w:val="00562D13"/>
    <w:rsid w:val="005708A1"/>
    <w:rsid w:val="00573C2D"/>
    <w:rsid w:val="007B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0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0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MARIA LORENA MACIEL</cp:lastModifiedBy>
  <cp:revision>2</cp:revision>
  <dcterms:created xsi:type="dcterms:W3CDTF">2017-08-03T15:55:00Z</dcterms:created>
  <dcterms:modified xsi:type="dcterms:W3CDTF">2017-08-03T15:55:00Z</dcterms:modified>
</cp:coreProperties>
</file>